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03.jpeg" ContentType="image/jpeg"/>
  <Override PartName="/word/media/image101.jpeg" ContentType="image/jpeg"/>
  <Override PartName="/word/media/image100.jpeg" ContentType="image/jpeg"/>
  <Override PartName="/word/media/image97.gif" ContentType="image/gif"/>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102.jpeg" ContentType="image/jpeg"/>
  <Override PartName="/word/media/image90.gif" ContentType="image/gif"/>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0645d6k.htm"/>
      <w:bookmarkStart w:id="1" w:name="ksd490645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April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1-31349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THOMSON REUTERS CORPORATION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333 Bay Street, Suite 300 </w:t>
      </w:r>
    </w:p>
    <w:p>
      <w:pPr>
        <w:pStyle w:val="TextBody"/>
        <w:spacing w:before="0" w:after="0"/>
        <w:jc w:val="center"/>
        <w:rPr>
          <w:rFonts w:ascii="Times New Roman" w:hAnsi="Times New Roman"/>
          <w:b/>
          <w:sz w:val="20"/>
        </w:rPr>
      </w:pPr>
      <w:r>
        <w:rPr>
          <w:rFonts w:ascii="Times New Roman" w:hAnsi="Times New Roman"/>
          <w:b/>
          <w:sz w:val="20"/>
        </w:rPr>
        <w:t xml:space="preserve">Toronto, Ontario M5H 2R2, Canada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240" w:after="0"/>
        <w:jc w:val="left"/>
        <w:rPr>
          <w:rFonts w:ascii="Times New Roman" w:hAnsi="Times New Roman"/>
          <w:sz w:val="20"/>
        </w:rPr>
      </w:pPr>
      <w:r>
        <w:rPr>
          <w:rFonts w:ascii="Times New Roman" w:hAnsi="Times New Roman"/>
          <w:sz w:val="20"/>
        </w:rPr>
        <w:t xml:space="preserve">The information contained in Exhibit 99.1 of this Form 6-K is incorporated by reference into, or as an additional exhibit to, as applicable, the registrants outstanding registration statements.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6"/>
        <w:gridCol w:w="60"/>
        <w:gridCol w:w="3656"/>
      </w:tblGrid>
      <w:tr>
        <w:trPr/>
        <w:tc>
          <w:tcPr>
            <w:tcW w:w="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THOMSON REUTERS CORPORATION</w:t>
            </w:r>
          </w:p>
          <w:p>
            <w:pPr>
              <w:pStyle w:val="TableContents"/>
              <w:spacing w:before="0" w:after="20"/>
              <w:rPr>
                <w:rFonts w:ascii="Times New Roman" w:hAnsi="Times New Roman"/>
                <w:sz w:val="20"/>
              </w:rPr>
            </w:pPr>
            <w:r>
              <w:rPr>
                <w:rFonts w:ascii="Times New Roman" w:hAnsi="Times New Roman"/>
                <w:sz w:val="20"/>
              </w:rPr>
              <w:t>(Registrant)</w:t>
            </w:r>
          </w:p>
        </w:tc>
      </w:tr>
      <w:tr>
        <w:trPr>
          <w:trHeight w:val="240" w:hRule="atLeast"/>
        </w:trPr>
        <w:tc>
          <w:tcPr>
            <w:tcW w:w="366" w:type="dxa"/>
            <w:tcBorders/>
            <w:shd w:fill="auto" w:val="clear"/>
            <w:vAlign w:val="center"/>
          </w:tcPr>
          <w:p>
            <w:pPr>
              <w:pStyle w:val="TableContents"/>
              <w:spacing w:before="0" w:after="283"/>
              <w:rPr>
                <w:sz w:val="4"/>
                <w:szCs w:val="4"/>
              </w:rPr>
            </w:pPr>
            <w:r>
              <w:rPr>
                <w:sz w:val="4"/>
                <w:szCs w:val="4"/>
              </w:rPr>
            </w:r>
          </w:p>
        </w:tc>
        <w:tc>
          <w:tcPr>
            <w:tcW w:w="3716" w:type="dxa"/>
            <w:gridSpan w:val="2"/>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vAlign w:val="bottom"/>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6"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Jennifer Ruddick</w:t>
            </w:r>
          </w:p>
        </w:tc>
      </w:tr>
      <w:tr>
        <w:trPr/>
        <w:tc>
          <w:tcPr>
            <w:tcW w:w="3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vAlign w:val="bottom"/>
          </w:tcPr>
          <w:p>
            <w:pPr>
              <w:pStyle w:val="TableContents"/>
              <w:spacing w:before="0" w:after="283"/>
              <w:rPr/>
            </w:pPr>
            <w:r>
              <w:rPr/>
              <w:t>Name:     Jennifer Ruddick</w:t>
            </w:r>
          </w:p>
        </w:tc>
      </w:tr>
      <w:tr>
        <w:trPr/>
        <w:tc>
          <w:tcPr>
            <w:tcW w:w="3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vAlign w:val="bottom"/>
          </w:tcPr>
          <w:p>
            <w:pPr>
              <w:pStyle w:val="TableContents"/>
              <w:spacing w:before="0" w:after="283"/>
              <w:rPr/>
            </w:pPr>
            <w:r>
              <w:rPr/>
              <w:t>Title:       Deputy Company Secretary</w:t>
            </w:r>
          </w:p>
        </w:tc>
      </w:tr>
    </w:tbl>
    <w:p>
      <w:pPr>
        <w:pStyle w:val="TextBody"/>
        <w:spacing w:before="240" w:after="0"/>
        <w:jc w:val="left"/>
        <w:rPr>
          <w:rFonts w:ascii="Times New Roman" w:hAnsi="Times New Roman"/>
          <w:sz w:val="20"/>
        </w:rPr>
      </w:pPr>
      <w:r>
        <w:rPr>
          <w:rFonts w:ascii="Times New Roman" w:hAnsi="Times New Roman"/>
          <w:sz w:val="20"/>
        </w:rPr>
        <w:t xml:space="preserve">Date: April 26, 2023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93"/>
        <w:gridCol w:w="819"/>
        <w:gridCol w:w="8193"/>
      </w:tblGrid>
      <w:tr>
        <w:trPr/>
        <w:tc>
          <w:tcPr>
            <w:tcW w:w="119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bottom"/>
          </w:tcPr>
          <w:p>
            <w:pPr>
              <w:pStyle w:val="TableContents"/>
              <w:spacing w:before="0" w:after="283"/>
              <w:rPr>
                <w:sz w:val="4"/>
                <w:szCs w:val="4"/>
              </w:rPr>
            </w:pPr>
            <w:r>
              <w:rPr>
                <w:sz w:val="4"/>
                <w:szCs w:val="4"/>
              </w:rPr>
            </w:r>
          </w:p>
        </w:tc>
        <w:tc>
          <w:tcPr>
            <w:tcW w:w="8193" w:type="dxa"/>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 Number</w:t>
            </w:r>
          </w:p>
        </w:tc>
        <w:tc>
          <w:tcPr>
            <w:tcW w:w="819" w:type="dxa"/>
            <w:tcBorders/>
            <w:shd w:fill="auto" w:val="clear"/>
            <w:vAlign w:val="bottom"/>
          </w:tcPr>
          <w:p>
            <w:pPr>
              <w:pStyle w:val="TableContents"/>
              <w:spacing w:before="0" w:after="283"/>
              <w:rPr/>
            </w:pPr>
            <w:r>
              <w:rPr/>
              <w:t>  </w:t>
            </w:r>
          </w:p>
        </w:tc>
        <w:tc>
          <w:tcPr>
            <w:tcW w:w="8193"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99.1</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Notice of Annual and Special Meeting of Shareholders and Management Proxy Circular dated April 26, 2023</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99.2</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Form of Proxy for Registered Shareholders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99.3</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Notice of Availability of Proxy Materials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99.4</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Letter of Transmittal for Registered Holders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99.5</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Opt-Out Election and Certification Form for Registered Holders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99.6</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Letter to Registered Holders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99.7</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Letter to Non-Registered Holders</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99.8</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Virtual AGM User Guide</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99.9</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Certificate of Abridgement</w:t>
            </w:r>
          </w:p>
        </w:tc>
      </w:tr>
      <w:tr>
        <w:trPr>
          <w:trHeight w:val="120" w:hRule="atLeast"/>
        </w:trPr>
        <w:tc>
          <w:tcPr>
            <w:tcW w:w="1193" w:type="dxa"/>
            <w:tcBorders/>
            <w:shd w:fill="auto" w:val="clear"/>
            <w:vAlign w:val="center"/>
          </w:tcPr>
          <w:p>
            <w:pPr>
              <w:pStyle w:val="TableContents"/>
              <w:spacing w:before="0" w:after="283"/>
              <w:rPr>
                <w:sz w:val="4"/>
                <w:szCs w:val="4"/>
              </w:rPr>
            </w:pPr>
            <w:r>
              <w:rPr>
                <w:sz w:val="4"/>
                <w:szCs w:val="4"/>
              </w:rPr>
            </w:r>
          </w:p>
        </w:tc>
        <w:tc>
          <w:tcPr>
            <w:tcW w:w="9012" w:type="dxa"/>
            <w:gridSpan w:val="2"/>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tcPr>
          <w:p>
            <w:pPr>
              <w:pStyle w:val="TableContents"/>
              <w:spacing w:before="0" w:after="283"/>
              <w:rPr/>
            </w:pPr>
            <w:r>
              <w:rPr/>
              <w:t>99.10</w:t>
            </w:r>
          </w:p>
        </w:tc>
        <w:tc>
          <w:tcPr>
            <w:tcW w:w="819" w:type="dxa"/>
            <w:tcBorders/>
            <w:shd w:fill="auto" w:val="clear"/>
            <w:vAlign w:val="bottom"/>
          </w:tcPr>
          <w:p>
            <w:pPr>
              <w:pStyle w:val="TableContents"/>
              <w:spacing w:before="0" w:after="283"/>
              <w:rPr/>
            </w:pPr>
            <w:r>
              <w:rPr/>
              <w:t>  </w:t>
            </w:r>
          </w:p>
        </w:tc>
        <w:tc>
          <w:tcPr>
            <w:tcW w:w="8193" w:type="dxa"/>
            <w:tcBorders/>
            <w:shd w:fill="auto" w:val="clear"/>
          </w:tcPr>
          <w:p>
            <w:pPr>
              <w:pStyle w:val="TableContents"/>
              <w:spacing w:before="0" w:after="283"/>
              <w:rPr/>
            </w:pPr>
            <w:r>
              <w:rPr/>
              <w:t>Corporate Governance Guidelines</w:t>
            </w:r>
          </w:p>
        </w:tc>
      </w:tr>
    </w:tbl>
    <w:p>
      <w:pPr>
        <w:pStyle w:val="Heading5"/>
        <w:jc w:val="left"/>
        <w:rPr/>
      </w:pPr>
      <w:r>
        <w:br w:type="page"/>
      </w:r>
      <w:hyperlink w:anchor="toc">
        <w:bookmarkStart w:id="2" w:name="d490645dex991.htm"/>
        <w:bookmarkStart w:id="3" w:name="ksd490645dex991"/>
        <w:bookmarkEnd w:id="2"/>
        <w:bookmarkEnd w:id="3"/>
        <w:r>
          <w:rPr>
            <w:rStyle w:val="InternetLink"/>
          </w:rPr>
          <w:t>Table of Contents</w:t>
        </w:r>
      </w:hyperlink>
    </w:p>
    <w:p>
      <w:pPr>
        <w:pStyle w:val="TextBody"/>
        <w:spacing w:before="0" w:after="0"/>
        <w:jc w:val="right"/>
        <w:rPr>
          <w:rFonts w:ascii="arial" w:hAnsi="arial"/>
          <w:b/>
          <w:sz w:val="20"/>
        </w:rPr>
      </w:pPr>
      <w:r>
        <w:rPr>
          <w:rFonts w:ascii="arial" w:hAnsi="arial"/>
          <w:b/>
          <w:sz w:val="20"/>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802005" cy="5607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56070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360" w:after="0"/>
        <w:jc w:val="left"/>
        <w:rPr>
          <w:rFonts w:ascii="arial" w:hAnsi="arial"/>
          <w:color w:val="4C4C4C"/>
          <w:sz w:val="72"/>
        </w:rPr>
      </w:pPr>
      <w:r>
        <w:rPr>
          <w:rFonts w:ascii="arial" w:hAnsi="arial"/>
          <w:color w:val="4C4C4C"/>
          <w:sz w:val="72"/>
        </w:rPr>
        <w:t xml:space="preserve">Management Proxy Circular and </w:t>
      </w:r>
    </w:p>
    <w:p>
      <w:pPr>
        <w:pStyle w:val="TextBody"/>
        <w:spacing w:before="0" w:after="0"/>
        <w:jc w:val="left"/>
        <w:rPr>
          <w:rFonts w:ascii="arial" w:hAnsi="arial"/>
          <w:color w:val="4C4C4C"/>
          <w:sz w:val="72"/>
        </w:rPr>
      </w:pPr>
      <w:r>
        <w:rPr>
          <w:rFonts w:ascii="arial" w:hAnsi="arial"/>
          <w:color w:val="4C4C4C"/>
          <w:sz w:val="72"/>
        </w:rPr>
        <w:t xml:space="preserve">Notice of Annual and Special Meeting of Shareholders </w:t>
      </w:r>
    </w:p>
    <w:p>
      <w:pPr>
        <w:pStyle w:val="TextBody"/>
        <w:spacing w:before="120" w:after="0"/>
        <w:jc w:val="left"/>
        <w:rPr>
          <w:rFonts w:ascii="Arial" w:hAnsi="Arial"/>
          <w:b/>
          <w:color w:val="B94831"/>
          <w:sz w:val="28"/>
        </w:rPr>
      </w:pPr>
      <w:r>
        <w:rPr>
          <w:rFonts w:ascii="Arial" w:hAnsi="Arial"/>
          <w:b/>
          <w:color w:val="B94831"/>
          <w:sz w:val="28"/>
        </w:rPr>
        <w:t xml:space="preserve">June 14, 2023 </w:t>
      </w:r>
    </w:p>
    <w:p>
      <w:pPr>
        <w:pStyle w:val="TextBody"/>
        <w:spacing w:before="0" w:after="0"/>
        <w:jc w:val="left"/>
        <w:rPr/>
      </w:pPr>
      <w:r>
        <w:rPr/>
        <w:t> </w:t>
      </w:r>
    </w:p>
    <w:p>
      <w:pPr>
        <w:pStyle w:val="TextBody"/>
        <w:pBdr>
          <w:bottom w:val="single" w:sz="2"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right"/>
        <w:rPr/>
      </w:pPr>
      <w:r>
        <w:rPr/>
        <w:drawing>
          <wp:inline distT="0" distB="0" distL="0" distR="0">
            <wp:extent cx="288290" cy="368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8290" cy="3683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32"/>
        <w:gridCol w:w="207"/>
        <w:gridCol w:w="4166"/>
      </w:tblGrid>
      <w:tr>
        <w:trPr/>
        <w:tc>
          <w:tcPr>
            <w:tcW w:w="583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166"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832"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4373" w:type="dxa"/>
            <w:gridSpan w:val="2"/>
            <w:tcBorders/>
            <w:shd w:fill="auto" w:val="clear"/>
            <w:vAlign w:val="center"/>
          </w:tcPr>
          <w:p>
            <w:pPr>
              <w:pStyle w:val="TableContents"/>
              <w:spacing w:before="0" w:after="283"/>
              <w:rPr>
                <w:sz w:val="4"/>
                <w:szCs w:val="4"/>
              </w:rPr>
            </w:pPr>
            <w:r>
              <w:rPr>
                <w:sz w:val="4"/>
                <w:szCs w:val="4"/>
              </w:rPr>
            </w:r>
          </w:p>
        </w:tc>
      </w:tr>
      <w:tr>
        <w:trPr/>
        <w:tc>
          <w:tcPr>
            <w:tcW w:w="5832"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0"/>
              <w:rPr>
                <w:rFonts w:ascii="Arial" w:hAnsi="Arial"/>
                <w:b/>
                <w:sz w:val="18"/>
              </w:rPr>
            </w:pPr>
            <w:r>
              <w:rPr>
                <w:rFonts w:ascii="Arial" w:hAnsi="Arial"/>
                <w:b/>
                <w:sz w:val="18"/>
              </w:rPr>
              <w:t>YOUR VOTE AND PARTICIPATION AS A SHAREHOLDER IS IMPORTANT.</w:t>
            </w:r>
          </w:p>
          <w:p>
            <w:pPr>
              <w:pStyle w:val="TableContents"/>
              <w:spacing w:before="0" w:after="20"/>
              <w:rPr/>
            </w:pPr>
            <w:r>
              <w:rPr/>
              <w:t>                                 </w:t>
            </w:r>
            <w:r>
              <w:rPr>
                <w:rFonts w:ascii="Arial" w:hAnsi="Arial"/>
                <w:b/>
                <w:sz w:val="18"/>
              </w:rPr>
              <w:t>Please read this document and vote.</w:t>
            </w:r>
          </w:p>
        </w:tc>
        <w:tc>
          <w:tcPr>
            <w:tcW w:w="207" w:type="dxa"/>
            <w:tcBorders/>
            <w:shd w:fill="auto" w:val="clear"/>
            <w:vAlign w:val="bottom"/>
          </w:tcPr>
          <w:p>
            <w:pPr>
              <w:pStyle w:val="TableContents"/>
              <w:spacing w:before="0" w:after="283"/>
              <w:rPr/>
            </w:pPr>
            <w:r>
              <w:rPr/>
              <w:t>  </w:t>
            </w:r>
          </w:p>
        </w:tc>
        <w:tc>
          <w:tcPr>
            <w:tcW w:w="4166"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r>
        <w:rPr>
          <w:rFonts w:ascii="arial" w:hAnsi="arial"/>
          <w:color w:val="B94831"/>
          <w:sz w:val="52"/>
        </w:rPr>
        <w:t xml:space="preserve">Notice of Annual and Special Meeting of Shareholders of Thomson Reuters Corporation </w:t>
      </w:r>
    </w:p>
    <w:p>
      <w:pPr>
        <w:pStyle w:val="TextBody"/>
        <w:spacing w:before="480" w:after="0"/>
        <w:jc w:val="left"/>
        <w:rPr>
          <w:rFonts w:ascii="Arial" w:hAnsi="Arial"/>
          <w:b/>
          <w:sz w:val="28"/>
        </w:rPr>
      </w:pPr>
      <w:r>
        <w:rPr>
          <w:rFonts w:ascii="Arial" w:hAnsi="Arial"/>
          <w:b/>
          <w:sz w:val="28"/>
        </w:rPr>
        <w:t xml:space="preserve">We are pleased to invite you to attend our 2023 annual and special meeting of shareholders.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30"/>
        <w:gridCol w:w="105"/>
        <w:gridCol w:w="4101"/>
        <w:gridCol w:w="175"/>
        <w:gridCol w:w="2674"/>
        <w:gridCol w:w="171"/>
        <w:gridCol w:w="1849"/>
      </w:tblGrid>
      <w:tr>
        <w:trPr/>
        <w:tc>
          <w:tcPr>
            <w:tcW w:w="113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4101" w:type="dxa"/>
            <w:tcBorders/>
            <w:shd w:fill="auto" w:val="clear"/>
            <w:vAlign w:val="bottom"/>
          </w:tcPr>
          <w:p>
            <w:pPr>
              <w:pStyle w:val="TableContents"/>
              <w:spacing w:before="0" w:after="283"/>
              <w:rPr>
                <w:rFonts w:ascii="Arial" w:hAnsi="Arial"/>
                <w:b/>
              </w:rPr>
            </w:pPr>
            <w:r>
              <w:rPr>
                <w:rFonts w:ascii="Arial" w:hAnsi="Arial"/>
                <w:b/>
              </w:rPr>
              <w:t>When</w:t>
            </w:r>
          </w:p>
        </w:tc>
        <w:tc>
          <w:tcPr>
            <w:tcW w:w="175" w:type="dxa"/>
            <w:tcBorders/>
            <w:shd w:fill="auto" w:val="clear"/>
            <w:vAlign w:val="bottom"/>
          </w:tcPr>
          <w:p>
            <w:pPr>
              <w:pStyle w:val="TableContents"/>
              <w:spacing w:before="0" w:after="283"/>
              <w:rPr/>
            </w:pPr>
            <w:r>
              <w:rPr/>
              <w:t> </w:t>
            </w:r>
          </w:p>
        </w:tc>
        <w:tc>
          <w:tcPr>
            <w:tcW w:w="2674" w:type="dxa"/>
            <w:tcBorders/>
            <w:shd w:fill="auto" w:val="clear"/>
            <w:vAlign w:val="bottom"/>
          </w:tcPr>
          <w:p>
            <w:pPr>
              <w:pStyle w:val="TableContents"/>
              <w:spacing w:before="0" w:after="283"/>
              <w:rPr>
                <w:rFonts w:ascii="Arial" w:hAnsi="Arial"/>
                <w:b/>
              </w:rPr>
            </w:pPr>
            <w:r>
              <w:rPr>
                <w:rFonts w:ascii="Arial" w:hAnsi="Arial"/>
                <w:b/>
              </w:rPr>
              <w:t>Where</w:t>
            </w:r>
          </w:p>
        </w:tc>
        <w:tc>
          <w:tcPr>
            <w:tcW w:w="171" w:type="dxa"/>
            <w:tcBorders/>
            <w:shd w:fill="auto" w:val="clear"/>
            <w:vAlign w:val="bottom"/>
          </w:tcPr>
          <w:p>
            <w:pPr>
              <w:pStyle w:val="TableContents"/>
              <w:spacing w:before="0" w:after="283"/>
              <w:rPr/>
            </w:pPr>
            <w:r>
              <w:rPr/>
              <w:t>  </w:t>
            </w:r>
          </w:p>
        </w:tc>
        <w:tc>
          <w:tcPr>
            <w:tcW w:w="1849" w:type="dxa"/>
            <w:tcBorders/>
            <w:shd w:fill="auto" w:val="clear"/>
            <w:vAlign w:val="bottom"/>
          </w:tcPr>
          <w:p>
            <w:pPr>
              <w:pStyle w:val="TableContents"/>
              <w:spacing w:before="0" w:after="283"/>
              <w:rPr>
                <w:sz w:val="4"/>
                <w:szCs w:val="4"/>
              </w:rPr>
            </w:pPr>
            <w:r>
              <w:rPr>
                <w:sz w:val="4"/>
                <w:szCs w:val="4"/>
              </w:rPr>
            </w:r>
          </w:p>
        </w:tc>
      </w:tr>
      <w:tr>
        <w:trPr/>
        <w:tc>
          <w:tcPr>
            <w:tcW w:w="1130" w:type="dxa"/>
            <w:tcBorders/>
            <w:shd w:fill="auto" w:val="clear"/>
          </w:tcPr>
          <w:p>
            <w:pPr>
              <w:pStyle w:val="TableContents"/>
              <w:spacing w:before="0" w:after="0"/>
              <w:rPr/>
            </w:pPr>
            <w:r>
              <w:rPr/>
              <w:t>                </w:t>
            </w:r>
          </w:p>
        </w:tc>
        <w:tc>
          <w:tcPr>
            <w:tcW w:w="105" w:type="dxa"/>
            <w:tcBorders/>
            <w:shd w:fill="auto" w:val="clear"/>
            <w:vAlign w:val="bottom"/>
          </w:tcPr>
          <w:p>
            <w:pPr>
              <w:pStyle w:val="TableContents"/>
              <w:spacing w:before="0" w:after="283"/>
              <w:rPr/>
            </w:pPr>
            <w:r>
              <w:rPr/>
              <w:t> </w:t>
            </w:r>
          </w:p>
        </w:tc>
        <w:tc>
          <w:tcPr>
            <w:tcW w:w="4101" w:type="dxa"/>
            <w:tcBorders/>
            <w:shd w:fill="auto" w:val="clear"/>
          </w:tcPr>
          <w:p>
            <w:pPr>
              <w:pStyle w:val="TableContents"/>
              <w:spacing w:before="0" w:after="0"/>
              <w:rPr>
                <w:rFonts w:ascii="arial" w:hAnsi="arial"/>
                <w:sz w:val="20"/>
              </w:rPr>
            </w:pPr>
            <w:r>
              <w:rPr>
                <w:rFonts w:ascii="arial" w:hAnsi="arial"/>
                <w:sz w:val="20"/>
              </w:rPr>
              <w:t>Wednesday, June 14, 2023</w:t>
            </w:r>
          </w:p>
          <w:p>
            <w:pPr>
              <w:pStyle w:val="TableContents"/>
              <w:spacing w:before="0" w:after="20"/>
              <w:rPr>
                <w:rFonts w:ascii="arial" w:hAnsi="arial"/>
                <w:sz w:val="20"/>
              </w:rPr>
            </w:pPr>
            <w:r>
              <w:rPr>
                <w:rFonts w:ascii="arial" w:hAnsi="arial"/>
                <w:sz w:val="20"/>
              </w:rPr>
              <w:t>12:00 p.m. (Eastern Daylight Time)</w:t>
            </w:r>
          </w:p>
        </w:tc>
        <w:tc>
          <w:tcPr>
            <w:tcW w:w="175" w:type="dxa"/>
            <w:tcBorders/>
            <w:shd w:fill="auto" w:val="clear"/>
            <w:vAlign w:val="bottom"/>
          </w:tcPr>
          <w:p>
            <w:pPr>
              <w:pStyle w:val="TableContents"/>
              <w:spacing w:before="0" w:after="283"/>
              <w:rPr/>
            </w:pPr>
            <w:r>
              <w:rPr/>
              <w:t> </w:t>
            </w:r>
          </w:p>
        </w:tc>
        <w:tc>
          <w:tcPr>
            <w:tcW w:w="4694" w:type="dxa"/>
            <w:gridSpan w:val="3"/>
            <w:tcBorders/>
            <w:shd w:fill="auto" w:val="clear"/>
            <w:vAlign w:val="bottom"/>
          </w:tcPr>
          <w:p>
            <w:pPr>
              <w:pStyle w:val="TableContents"/>
              <w:spacing w:before="0" w:after="0"/>
              <w:rPr>
                <w:rFonts w:ascii="arial" w:hAnsi="arial"/>
                <w:sz w:val="20"/>
              </w:rPr>
            </w:pPr>
            <w:r>
              <w:rPr>
                <w:rFonts w:ascii="arial" w:hAnsi="arial"/>
                <w:sz w:val="20"/>
              </w:rPr>
              <w:t>Virtual-only meeting  a live audio webcast will be available</w:t>
            </w:r>
          </w:p>
          <w:p>
            <w:pPr>
              <w:pStyle w:val="TableContents"/>
              <w:spacing w:before="0" w:after="0"/>
              <w:rPr>
                <w:rFonts w:ascii="arial" w:hAnsi="arial"/>
                <w:sz w:val="20"/>
              </w:rPr>
            </w:pPr>
            <w:r>
              <w:rPr>
                <w:rFonts w:ascii="arial" w:hAnsi="arial"/>
                <w:sz w:val="20"/>
              </w:rPr>
              <w:t xml:space="preserve">at: </w:t>
            </w:r>
            <w:r>
              <w:rPr>
                <w:rFonts w:ascii="Arial" w:hAnsi="Arial"/>
                <w:b/>
                <w:color w:val="335367"/>
                <w:sz w:val="20"/>
              </w:rPr>
              <w:t>www.tr.com/agm2023</w:t>
            </w:r>
          </w:p>
          <w:p>
            <w:pPr>
              <w:pStyle w:val="TableContents"/>
              <w:spacing w:before="0" w:after="0"/>
              <w:rPr/>
            </w:pPr>
            <w:r>
              <w:rPr/>
              <w:t> </w:t>
            </w:r>
          </w:p>
          <w:p>
            <w:pPr>
              <w:pStyle w:val="TableContents"/>
              <w:spacing w:before="0" w:after="20"/>
              <w:rPr>
                <w:rFonts w:ascii="arial" w:hAnsi="arial"/>
                <w:sz w:val="20"/>
              </w:rPr>
            </w:pPr>
            <w:r>
              <w:rPr>
                <w:rFonts w:ascii="arial" w:hAnsi="arial"/>
                <w:sz w:val="20"/>
              </w:rPr>
              <w:t xml:space="preserve">Shareholders attending the meeting should enter their control number or username and the password for the meeting: </w:t>
            </w:r>
            <w:r>
              <w:rPr>
                <w:rFonts w:ascii="Arial" w:hAnsi="Arial"/>
                <w:b/>
                <w:color w:val="335367"/>
                <w:sz w:val="20"/>
              </w:rPr>
              <w:t>tri2023</w:t>
            </w:r>
            <w:r>
              <w:rPr>
                <w:rFonts w:ascii="arial" w:hAnsi="arial"/>
                <w:sz w:val="20"/>
              </w:rPr>
              <w:t xml:space="preserve"> (case sensitive). Guests do not need a control number, username or password to attend the meeting. You can find information about control numbers and usernames in this notice and in the accompanying management proxy circular.</w:t>
            </w:r>
          </w:p>
        </w:tc>
      </w:tr>
      <w:tr>
        <w:trPr>
          <w:trHeight w:val="120" w:hRule="atLeast"/>
        </w:trPr>
        <w:tc>
          <w:tcPr>
            <w:tcW w:w="1130" w:type="dxa"/>
            <w:tcBorders/>
            <w:shd w:fill="auto" w:val="clear"/>
            <w:vAlign w:val="center"/>
          </w:tcPr>
          <w:p>
            <w:pPr>
              <w:pStyle w:val="TableContents"/>
              <w:spacing w:before="0" w:after="283"/>
              <w:rPr>
                <w:sz w:val="4"/>
                <w:szCs w:val="4"/>
              </w:rPr>
            </w:pPr>
            <w:r>
              <w:rPr>
                <w:sz w:val="4"/>
                <w:szCs w:val="4"/>
              </w:rPr>
            </w:r>
          </w:p>
        </w:tc>
        <w:tc>
          <w:tcPr>
            <w:tcW w:w="4206" w:type="dxa"/>
            <w:gridSpan w:val="2"/>
            <w:tcBorders/>
            <w:shd w:fill="auto" w:val="clear"/>
            <w:vAlign w:val="center"/>
          </w:tcPr>
          <w:p>
            <w:pPr>
              <w:pStyle w:val="TableContents"/>
              <w:spacing w:before="0" w:after="283"/>
              <w:rPr>
                <w:sz w:val="4"/>
                <w:szCs w:val="4"/>
              </w:rPr>
            </w:pPr>
            <w:r>
              <w:rPr>
                <w:sz w:val="4"/>
                <w:szCs w:val="4"/>
              </w:rPr>
            </w:r>
          </w:p>
        </w:tc>
        <w:tc>
          <w:tcPr>
            <w:tcW w:w="4869" w:type="dxa"/>
            <w:gridSpan w:val="4"/>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4101"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pPr>
            <w:r>
              <w:rPr/>
              <w:t> </w:t>
            </w:r>
          </w:p>
        </w:tc>
        <w:tc>
          <w:tcPr>
            <w:tcW w:w="4694" w:type="dxa"/>
            <w:gridSpan w:val="3"/>
            <w:tcBorders/>
            <w:shd w:fill="auto" w:val="clear"/>
            <w:vAlign w:val="bottom"/>
          </w:tcPr>
          <w:p>
            <w:pPr>
              <w:pStyle w:val="TableContents"/>
              <w:spacing w:before="0" w:after="0"/>
              <w:rPr>
                <w:rFonts w:ascii="arial" w:hAnsi="arial"/>
                <w:i/>
                <w:sz w:val="20"/>
              </w:rPr>
            </w:pPr>
            <w:r>
              <w:rPr>
                <w:rFonts w:ascii="arial" w:hAnsi="arial"/>
                <w:i/>
                <w:sz w:val="20"/>
              </w:rPr>
              <w:t>A replay of the webcast will be posted on our website after the meeting.</w:t>
            </w:r>
          </w:p>
        </w:tc>
      </w:tr>
    </w:tbl>
    <w:p>
      <w:pPr>
        <w:pStyle w:val="TextBody"/>
        <w:spacing w:before="120" w:after="0"/>
        <w:jc w:val="left"/>
        <w:rPr>
          <w:rFonts w:ascii="arial" w:hAnsi="arial"/>
          <w:sz w:val="20"/>
        </w:rPr>
      </w:pPr>
      <w:r>
        <w:rPr>
          <w:rFonts w:ascii="arial" w:hAnsi="arial"/>
          <w:sz w:val="20"/>
        </w:rPr>
        <w:t xml:space="preserve">To our Shareholders, </w:t>
      </w:r>
    </w:p>
    <w:p>
      <w:pPr>
        <w:pStyle w:val="TextBody"/>
        <w:spacing w:before="120" w:after="0"/>
        <w:jc w:val="left"/>
        <w:rPr>
          <w:rFonts w:ascii="arial" w:hAnsi="arial"/>
          <w:sz w:val="20"/>
        </w:rPr>
      </w:pPr>
      <w:r>
        <w:rPr>
          <w:rFonts w:ascii="arial" w:hAnsi="arial"/>
          <w:sz w:val="20"/>
        </w:rPr>
        <w:t xml:space="preserve">We are pleased to invite you to attend the 2023 Thomson Reuters annual and special meeting of shareholders on Wednesday, June 14, 2023 at 12:00 p.m. (Eastern Daylight Time). </w:t>
      </w:r>
    </w:p>
    <w:p>
      <w:pPr>
        <w:pStyle w:val="TextBody"/>
        <w:spacing w:before="120" w:after="0"/>
        <w:jc w:val="left"/>
        <w:rPr>
          <w:rFonts w:ascii="Arial" w:hAnsi="Arial"/>
          <w:b/>
          <w:sz w:val="20"/>
        </w:rPr>
      </w:pPr>
      <w:r>
        <w:rPr>
          <w:rFonts w:ascii="Arial" w:hAnsi="Arial"/>
          <w:b/>
          <w:sz w:val="20"/>
        </w:rPr>
        <w:t xml:space="preserve">We are holding the meeting as a virtual only meeting, which will be conducted through a live webcast. Shareholders will have an opportunity to attend, submit or ask questions and vote at the meeting in real time through a web-based platform, regardless of geographic location. Shareholders will not be able to attend the meeting in person. </w:t>
      </w:r>
    </w:p>
    <w:p>
      <w:pPr>
        <w:pStyle w:val="TextBody"/>
        <w:spacing w:before="120" w:after="0"/>
        <w:jc w:val="left"/>
        <w:rPr>
          <w:rFonts w:ascii="Arial" w:hAnsi="Arial"/>
          <w:b/>
          <w:sz w:val="28"/>
        </w:rPr>
      </w:pPr>
      <w:r>
        <w:rPr>
          <w:rFonts w:ascii="Arial" w:hAnsi="Arial"/>
          <w:b/>
          <w:sz w:val="28"/>
        </w:rPr>
        <w:t xml:space="preserve">Business of the Meeting </w:t>
      </w:r>
    </w:p>
    <w:p>
      <w:pPr>
        <w:pStyle w:val="TextBody"/>
        <w:spacing w:before="40" w:after="0"/>
        <w:jc w:val="left"/>
        <w:rPr>
          <w:rFonts w:ascii="arial" w:hAnsi="arial"/>
          <w:sz w:val="20"/>
        </w:rPr>
      </w:pPr>
      <w:r>
        <w:rPr>
          <w:rFonts w:ascii="arial" w:hAnsi="arial"/>
          <w:sz w:val="20"/>
        </w:rPr>
        <w:t xml:space="preserve">At the meeting, shareholders will be asked to: </w:t>
      </w:r>
    </w:p>
    <w:p>
      <w:pPr>
        <w:pStyle w:val="TextBody"/>
        <w:spacing w:before="120" w:after="0"/>
        <w:jc w:val="left"/>
        <w:rPr>
          <w:rFonts w:ascii="arial" w:hAnsi="arial"/>
          <w:sz w:val="20"/>
        </w:rPr>
      </w:pPr>
      <w:r>
        <w:rPr>
          <w:rFonts w:ascii="arial" w:hAnsi="arial"/>
          <w:sz w:val="20"/>
        </w:rPr>
        <w:t xml:space="preserve">1. Receive our consolidated financial statements for the year ended December 31, 2022 and the auditors report on those statements; </w:t>
      </w:r>
    </w:p>
    <w:p>
      <w:pPr>
        <w:pStyle w:val="TextBody"/>
        <w:spacing w:before="120" w:after="0"/>
        <w:jc w:val="left"/>
        <w:rPr>
          <w:rFonts w:ascii="arial" w:hAnsi="arial"/>
          <w:sz w:val="20"/>
        </w:rPr>
      </w:pPr>
      <w:r>
        <w:rPr>
          <w:rFonts w:ascii="arial" w:hAnsi="arial"/>
          <w:sz w:val="20"/>
        </w:rPr>
        <w:t xml:space="preserve">2. Elect directors; </w:t>
      </w:r>
    </w:p>
    <w:p>
      <w:pPr>
        <w:pStyle w:val="TextBody"/>
        <w:spacing w:before="120" w:after="0"/>
        <w:jc w:val="left"/>
        <w:rPr>
          <w:rFonts w:ascii="arial" w:hAnsi="arial"/>
          <w:sz w:val="20"/>
        </w:rPr>
      </w:pPr>
      <w:r>
        <w:rPr>
          <w:rFonts w:ascii="arial" w:hAnsi="arial"/>
          <w:sz w:val="20"/>
        </w:rPr>
        <w:t xml:space="preserve">3. Appoint PricewaterhouseCoopers LLP as the auditor and authorize the directors to fix the auditors remuneration; </w:t>
      </w:r>
    </w:p>
    <w:p>
      <w:pPr>
        <w:pStyle w:val="TextBody"/>
        <w:spacing w:before="120" w:after="0"/>
        <w:jc w:val="left"/>
        <w:rPr>
          <w:rFonts w:ascii="arial" w:hAnsi="arial"/>
          <w:sz w:val="20"/>
        </w:rPr>
      </w:pPr>
      <w:r>
        <w:rPr>
          <w:rFonts w:ascii="arial" w:hAnsi="arial"/>
          <w:sz w:val="20"/>
        </w:rPr>
        <w:t xml:space="preserve">4. Consider an advisory resolution on executive compensation; </w:t>
      </w:r>
    </w:p>
    <w:p>
      <w:pPr>
        <w:pStyle w:val="TextBody"/>
        <w:spacing w:before="120" w:after="0"/>
        <w:jc w:val="left"/>
        <w:rPr>
          <w:rFonts w:ascii="arial" w:hAnsi="arial"/>
          <w:sz w:val="20"/>
        </w:rPr>
      </w:pPr>
      <w:r>
        <w:rPr>
          <w:rFonts w:ascii="arial" w:hAnsi="arial"/>
          <w:sz w:val="20"/>
        </w:rPr>
        <w:t xml:space="preserve">5. Consider, pursuant to an interim order of the Ontario Superior Court of Justice (Commercial List) dated April 21, 2023, and, if deemed advisable, to approve, with or without amendment, a special resolution approving a plan of arrangement pursuant to Section 182 of the Business Corporations Act (Ontario) (OBCA) under which Thomson Reuters Corporation will (i) make a cash distribution of US$4.67 per common share, or approximately US$2.2 billion in the aggregate and (ii) consolidate its outstanding common shares (or reverse stock split) on a basis that is proportional to the cash distribution, as described in the accompanying circular; and </w:t>
      </w:r>
    </w:p>
    <w:p>
      <w:pPr>
        <w:pStyle w:val="TextBody"/>
        <w:spacing w:before="120" w:after="0"/>
        <w:jc w:val="left"/>
        <w:rPr>
          <w:rFonts w:ascii="arial" w:hAnsi="arial"/>
          <w:sz w:val="20"/>
        </w:rPr>
      </w:pPr>
      <w:r>
        <w:rPr>
          <w:rFonts w:ascii="arial" w:hAnsi="arial"/>
          <w:sz w:val="20"/>
        </w:rPr>
        <w:t xml:space="preserve">6. Transact any other business properly brought before the meeting and any adjourned or postponed meeting. </w:t>
      </w:r>
    </w:p>
    <w:p>
      <w:pPr>
        <w:pStyle w:val="TextBody"/>
        <w:spacing w:before="120" w:after="0"/>
        <w:jc w:val="left"/>
        <w:rPr>
          <w:rFonts w:ascii="arial" w:hAnsi="arial"/>
          <w:sz w:val="20"/>
        </w:rPr>
      </w:pPr>
      <w:r>
        <w:rPr>
          <w:rFonts w:ascii="arial" w:hAnsi="arial"/>
          <w:sz w:val="20"/>
        </w:rPr>
        <w:t xml:space="preserve">You can read about each of these items in more detail in the accompanying management proxy circular. A copy of the text of the special resolution and a copy of the plan of arrangement related to item 5 are attached as Appendices B and C, respectively, to the circular. At the meeting, you will also have an opportunity to hear about our 2022 performance and our plans for Thomson Reuters going forward.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r>
        <w:rPr>
          <w:rFonts w:ascii="Arial" w:hAnsi="Arial"/>
          <w:b/>
          <w:sz w:val="28"/>
        </w:rPr>
        <w:t xml:space="preserve">Participating in the Meeting </w:t>
      </w:r>
    </w:p>
    <w:p>
      <w:pPr>
        <w:pStyle w:val="TextBody"/>
        <w:spacing w:before="120" w:after="0"/>
        <w:jc w:val="left"/>
        <w:rPr>
          <w:rFonts w:ascii="arial" w:hAnsi="arial"/>
          <w:sz w:val="20"/>
        </w:rPr>
      </w:pPr>
      <w:r>
        <w:rPr>
          <w:rFonts w:ascii="arial" w:hAnsi="arial"/>
          <w:sz w:val="20"/>
        </w:rPr>
        <w:t xml:space="preserve">The process for participating in the virtual meeting depends on whether youre a registered or non-registered shareholder. You can find more information about these terms in the Voting Information and How to Attend section of the accompanying management proxy circular.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Registered shareholders and duly appointed proxyholders (including non-registered shareholders who have duly appointed themselves as proxyholder) will be able to attend the virtual meeting, submit or ask questions and vote in real time, provided they are connected to the Internet and follow the instructions in the accompanying management proxy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b/>
                <w:sz w:val="20"/>
              </w:rPr>
            </w:pPr>
            <w:r>
              <w:rPr>
                <w:rFonts w:ascii="Arial" w:hAnsi="Arial"/>
                <w:b/>
                <w:sz w:val="20"/>
              </w:rPr>
              <w:t xml:space="preserve">If you are a non-registered shareholder (or beneficial owner) who wishes to attend the virtual meeting, submit or ask questions and vote in real time, you have to appoint yourself as proxyholder first and then also register with our transfer agent, Computershare Trust Company of Canada. If youre a non-registered shareholder and dont appoint yourself as proxyholder, you can still attend the virtual meeting as a guest, but you wont be able to submit or ask questions or vote at the meeting. If you are a non-registered shareholder located in the United States and wish to appoint yourself as a proxyholder in order to attend, participate or vote at the meeting, you MUST also obtain a valid legal proxy from your intermediary and submit it to Computershare Trust Company of Canada. </w:t>
            </w:r>
          </w:p>
        </w:tc>
      </w:tr>
    </w:tbl>
    <w:p>
      <w:pPr>
        <w:pStyle w:val="TextBody"/>
        <w:spacing w:before="120" w:after="0"/>
        <w:jc w:val="left"/>
        <w:rPr>
          <w:rFonts w:ascii="arial" w:hAnsi="arial"/>
          <w:sz w:val="20"/>
        </w:rPr>
      </w:pPr>
      <w:r>
        <w:rPr>
          <w:rFonts w:ascii="arial" w:hAnsi="arial"/>
          <w:sz w:val="20"/>
        </w:rPr>
        <w:t xml:space="preserve">Please carefully follow the instructions in the Voting Information and How to Attend section of the accompanying management proxy circular and on your form of proxy or voting instruction form (VIF). </w:t>
      </w:r>
    </w:p>
    <w:p>
      <w:pPr>
        <w:pStyle w:val="TextBody"/>
        <w:spacing w:before="0" w:after="0"/>
        <w:jc w:val="left"/>
        <w:rPr/>
      </w:pPr>
      <w:r>
        <w:rPr/>
        <w:t> </w:t>
      </w:r>
    </w:p>
    <w:p>
      <w:pPr>
        <w:pStyle w:val="TextBody"/>
        <w:pBdr/>
        <w:spacing w:before="0" w:after="0"/>
        <w:jc w:val="left"/>
        <w:rPr>
          <w:rFonts w:ascii="arial" w:hAnsi="arial"/>
          <w:i/>
          <w:color w:val="B94831"/>
          <w:sz w:val="28"/>
          <w:bdr w:val="single" w:sz="2" w:space="2" w:color="000000"/>
        </w:rPr>
      </w:pPr>
      <w:r>
        <w:rPr>
          <w:rFonts w:ascii="arial" w:hAnsi="arial"/>
          <w:i/>
          <w:color w:val="B94831"/>
          <w:sz w:val="28"/>
          <w:bdr w:val="single" w:sz="2" w:space="2" w:color="000000"/>
        </w:rPr>
        <w:t xml:space="preserve">How to Attend the Meeting </w:t>
      </w:r>
    </w:p>
    <w:p>
      <w:pPr>
        <w:pStyle w:val="TextBody"/>
        <w:spacing w:before="120" w:after="0"/>
        <w:jc w:val="left"/>
        <w:rPr>
          <w:rFonts w:ascii="arial" w:hAnsi="arial"/>
          <w:sz w:val="20"/>
          <w:bdr w:val="single" w:sz="2" w:space="2" w:color="000000"/>
        </w:rPr>
      </w:pPr>
      <w:r>
        <w:rPr>
          <w:rFonts w:ascii="Arial" w:hAnsi="Arial"/>
          <w:b/>
          <w:sz w:val="20"/>
          <w:bdr w:val="single" w:sz="2" w:space="2" w:color="000000"/>
        </w:rPr>
        <w:t>STEP ONE</w:t>
      </w:r>
      <w:r>
        <w:rPr>
          <w:rFonts w:ascii="arial" w:hAnsi="arial"/>
          <w:sz w:val="20"/>
          <w:bdr w:val="single" w:sz="2" w:space="2" w:color="000000"/>
        </w:rPr>
        <w:t xml:space="preserve">: Log in online at: </w:t>
      </w:r>
      <w:r>
        <w:rPr>
          <w:rFonts w:ascii="Arial" w:hAnsi="Arial"/>
          <w:b/>
          <w:color w:val="335367"/>
          <w:sz w:val="20"/>
          <w:bdr w:val="single" w:sz="2" w:space="2" w:color="000000"/>
        </w:rPr>
        <w:t xml:space="preserve">www.tr.com/agm2023 </w:t>
      </w:r>
    </w:p>
    <w:p>
      <w:pPr>
        <w:pStyle w:val="TextBody"/>
        <w:spacing w:before="120" w:after="0"/>
        <w:jc w:val="left"/>
        <w:rPr>
          <w:rFonts w:ascii="arial" w:hAnsi="arial"/>
          <w:sz w:val="20"/>
          <w:bdr w:val="single" w:sz="2" w:space="2" w:color="000000"/>
        </w:rPr>
      </w:pPr>
      <w:r>
        <w:rPr>
          <w:rFonts w:ascii="arial" w:hAnsi="arial"/>
          <w:sz w:val="20"/>
          <w:bdr w:val="single" w:sz="2" w:space="2" w:color="000000"/>
        </w:rPr>
        <w:t xml:space="preserve">We recommend that you log into the meeting at least 15 minutes before the meeting starts. </w:t>
      </w:r>
    </w:p>
    <w:p>
      <w:pPr>
        <w:pStyle w:val="TextBody"/>
        <w:spacing w:before="120" w:after="0"/>
        <w:jc w:val="left"/>
        <w:rPr>
          <w:rFonts w:ascii="arial" w:hAnsi="arial"/>
          <w:sz w:val="20"/>
          <w:bdr w:val="single" w:sz="2" w:space="2" w:color="000000"/>
        </w:rPr>
      </w:pPr>
      <w:r>
        <w:rPr>
          <w:rFonts w:ascii="Arial" w:hAnsi="Arial"/>
          <w:b/>
          <w:sz w:val="20"/>
          <w:bdr w:val="single" w:sz="2" w:space="2" w:color="000000"/>
        </w:rPr>
        <w:t>STEP TWO</w:t>
      </w:r>
      <w:r>
        <w:rPr>
          <w:rFonts w:ascii="arial" w:hAnsi="arial"/>
          <w:sz w:val="20"/>
          <w:bdr w:val="single" w:sz="2" w:space="2" w:color="000000"/>
        </w:rPr>
        <w:t xml:space="preserve">: Follow these instructions: </w:t>
      </w:r>
    </w:p>
    <w:p>
      <w:pPr>
        <w:pStyle w:val="TextBody"/>
        <w:spacing w:before="0" w:after="0"/>
        <w:jc w:val="left"/>
        <w:rPr>
          <w:bdr w:val="single" w:sz="2" w:space="2" w:color="000000"/>
        </w:rPr>
      </w:pPr>
      <w:r>
        <w:rPr>
          <w:bdr w:val="single" w:sz="2" w:space="2" w:color="000000"/>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arial" w:hAnsi="arial"/>
                <w:sz w:val="20"/>
              </w:rPr>
            </w:pPr>
            <w:r>
              <w:rPr>
                <w:rFonts w:ascii="arial" w:hAnsi="arial"/>
                <w:i/>
                <w:sz w:val="20"/>
              </w:rPr>
              <w:t>Duly appointed proxyholders (including non-registered shareholders who have duly appointed themselves as proxyholder)</w:t>
            </w:r>
            <w:r>
              <w:rPr>
                <w:rFonts w:ascii="arial" w:hAnsi="arial"/>
                <w:sz w:val="20"/>
              </w:rPr>
              <w:t xml:space="preserve">: Click Shareholder. Enter your username and the password: </w:t>
            </w:r>
            <w:r>
              <w:rPr>
                <w:rFonts w:ascii="Arial" w:hAnsi="Arial"/>
                <w:b/>
                <w:color w:val="335367"/>
                <w:sz w:val="20"/>
              </w:rPr>
              <w:t xml:space="preserve">tri2023 </w:t>
            </w:r>
            <w:r>
              <w:rPr>
                <w:rFonts w:ascii="arial" w:hAnsi="arial"/>
                <w:sz w:val="20"/>
              </w:rPr>
              <w:t xml:space="preserve">(case sensitive). Proxyholders who have been duly appointed and registered with Computershare Trust Company of Canada as described in the accompanying management proxy circular will receive a username by e-mail from Computershare Trust Company of Canada after the proxy voting deadline has passed. </w:t>
            </w:r>
          </w:p>
        </w:tc>
      </w:tr>
    </w:tbl>
    <w:p>
      <w:pPr>
        <w:pStyle w:val="TextBody"/>
        <w:spacing w:before="0" w:after="0"/>
        <w:jc w:val="left"/>
        <w:rPr>
          <w:bdr w:val="single" w:sz="2" w:space="2" w:color="000000"/>
        </w:rPr>
      </w:pPr>
      <w:r>
        <w:rPr>
          <w:bdr w:val="single" w:sz="2" w:space="2" w:color="000000"/>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arial" w:hAnsi="arial"/>
                <w:sz w:val="20"/>
              </w:rPr>
            </w:pPr>
            <w:r>
              <w:rPr>
                <w:rFonts w:ascii="arial" w:hAnsi="arial"/>
                <w:i/>
                <w:sz w:val="20"/>
              </w:rPr>
              <w:t>Registered shareholders</w:t>
            </w:r>
            <w:r>
              <w:rPr>
                <w:rFonts w:ascii="arial" w:hAnsi="arial"/>
                <w:sz w:val="20"/>
              </w:rPr>
              <w:t xml:space="preserve">: Click Shareholder. Enter your control number as your username and the password: </w:t>
            </w:r>
            <w:r>
              <w:rPr>
                <w:rFonts w:ascii="Arial" w:hAnsi="Arial"/>
                <w:b/>
                <w:color w:val="335367"/>
                <w:sz w:val="20"/>
              </w:rPr>
              <w:t xml:space="preserve">tri2023 </w:t>
            </w:r>
            <w:r>
              <w:rPr>
                <w:rFonts w:ascii="arial" w:hAnsi="arial"/>
                <w:sz w:val="20"/>
              </w:rPr>
              <w:t xml:space="preserve">(case sensitive). The control number is located on the proxy form or in the e-mail notification you received from Computershare Trust Company of Canada. If you use your control number as a username to log into the meeting and you accept the terms and conditions, any vote that you cast at the meeting will revoke any proxy that you previously submitted. If you do not wish to revoke a previously submitted proxy, you should not vote during the meeting. </w:t>
            </w:r>
          </w:p>
        </w:tc>
      </w:tr>
    </w:tbl>
    <w:p>
      <w:pPr>
        <w:pStyle w:val="TextBody"/>
        <w:spacing w:before="0" w:after="0"/>
        <w:jc w:val="left"/>
        <w:rPr>
          <w:bdr w:val="single" w:sz="2" w:space="2" w:color="000000"/>
        </w:rPr>
      </w:pPr>
      <w:r>
        <w:rPr>
          <w:bdr w:val="single" w:sz="2" w:space="2" w:color="000000"/>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arial" w:hAnsi="arial"/>
                <w:sz w:val="20"/>
              </w:rPr>
            </w:pPr>
            <w:r>
              <w:rPr>
                <w:rFonts w:ascii="arial" w:hAnsi="arial"/>
                <w:i/>
                <w:sz w:val="20"/>
              </w:rPr>
              <w:t>Guests</w:t>
            </w:r>
            <w:r>
              <w:rPr>
                <w:rFonts w:ascii="arial" w:hAnsi="arial"/>
                <w:sz w:val="20"/>
              </w:rPr>
              <w:t xml:space="preserve">: Click Guest and then complete the online form. </w:t>
            </w:r>
          </w:p>
        </w:tc>
      </w:tr>
    </w:tbl>
    <w:p>
      <w:pPr>
        <w:pStyle w:val="TextBody"/>
        <w:spacing w:before="120" w:after="0"/>
        <w:jc w:val="left"/>
        <w:rPr>
          <w:rFonts w:ascii="arial" w:hAnsi="arial"/>
          <w:sz w:val="20"/>
          <w:bdr w:val="single" w:sz="2" w:space="2" w:color="000000"/>
        </w:rPr>
      </w:pPr>
      <w:r>
        <w:rPr>
          <w:rFonts w:ascii="arial" w:hAnsi="arial"/>
          <w:sz w:val="20"/>
          <w:bdr w:val="single" w:sz="2" w:space="2" w:color="000000"/>
        </w:rPr>
        <w:t xml:space="preserve">If you attend the virtual meeting, it is your responsibility to have Internet connectivity for the duration of the meeting. </w:t>
      </w:r>
    </w:p>
    <w:p>
      <w:pPr>
        <w:pStyle w:val="TextBody"/>
        <w:spacing w:before="120" w:after="0"/>
        <w:jc w:val="left"/>
        <w:rPr>
          <w:rFonts w:ascii="arial" w:hAnsi="arial"/>
          <w:sz w:val="20"/>
          <w:bdr w:val="single" w:sz="2" w:space="2" w:color="000000"/>
        </w:rPr>
      </w:pPr>
      <w:r>
        <w:rPr>
          <w:rFonts w:ascii="arial" w:hAnsi="arial"/>
          <w:sz w:val="20"/>
          <w:bdr w:val="single" w:sz="2" w:space="2" w:color="000000"/>
        </w:rPr>
        <w:t xml:space="preserve">Please carefully follow the instructions in the Voting Information and How to Attend section of the accompanying management proxy circular. </w:t>
      </w:r>
    </w:p>
    <w:p>
      <w:pPr>
        <w:pStyle w:val="TextBody"/>
        <w:pBdr/>
        <w:spacing w:before="120" w:after="0"/>
        <w:jc w:val="left"/>
        <w:rPr>
          <w:rFonts w:ascii="arial" w:hAnsi="arial"/>
          <w:sz w:val="20"/>
          <w:bdr w:val="single" w:sz="2" w:space="2" w:color="000000"/>
        </w:rPr>
      </w:pPr>
      <w:r>
        <w:rPr>
          <w:rFonts w:ascii="arial" w:hAnsi="arial"/>
          <w:sz w:val="20"/>
          <w:bdr w:val="single" w:sz="2" w:space="2" w:color="000000"/>
        </w:rPr>
        <w:t xml:space="preserve">Additional information about participation in the meeting is set forth in our Virtual AGM User Guide which accompanies the circular and is available on our website. </w:t>
      </w:r>
    </w:p>
    <w:p>
      <w:pPr>
        <w:pStyle w:val="TextBody"/>
        <w:spacing w:before="120" w:after="0"/>
        <w:jc w:val="left"/>
        <w:rPr>
          <w:rFonts w:ascii="Arial" w:hAnsi="Arial"/>
          <w:b/>
          <w:sz w:val="28"/>
        </w:rPr>
      </w:pPr>
      <w:r>
        <w:rPr>
          <w:rFonts w:ascii="Arial" w:hAnsi="Arial"/>
          <w:b/>
          <w:sz w:val="28"/>
        </w:rPr>
        <w:t xml:space="preserve">Record Date </w:t>
      </w:r>
    </w:p>
    <w:p>
      <w:pPr>
        <w:pStyle w:val="TextBody"/>
        <w:spacing w:before="40" w:after="0"/>
        <w:jc w:val="left"/>
        <w:rPr>
          <w:rFonts w:ascii="arial" w:hAnsi="arial"/>
          <w:sz w:val="20"/>
        </w:rPr>
      </w:pPr>
      <w:r>
        <w:rPr>
          <w:rFonts w:ascii="arial" w:hAnsi="arial"/>
          <w:sz w:val="20"/>
        </w:rPr>
        <w:t xml:space="preserve">You are entitled to vote at the meeting, and any adjourned or postponed meeting, if you were a holder of our common shares as of 5:00 p.m. (Eastern Daylight Time) on April 21, 2023.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40" w:after="0"/>
        <w:jc w:val="lef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r>
        <w:rPr>
          <w:rFonts w:ascii="Arial" w:hAnsi="Arial"/>
          <w:b/>
          <w:sz w:val="28"/>
        </w:rPr>
        <w:t xml:space="preserve">Notice-And-Access </w:t>
      </w:r>
    </w:p>
    <w:p>
      <w:pPr>
        <w:pStyle w:val="TextBody"/>
        <w:spacing w:before="120" w:after="0"/>
        <w:jc w:val="left"/>
        <w:rPr>
          <w:rFonts w:ascii="arial" w:hAnsi="arial"/>
          <w:sz w:val="20"/>
        </w:rPr>
      </w:pPr>
      <w:r>
        <w:rPr>
          <w:rFonts w:ascii="arial" w:hAnsi="arial"/>
          <w:sz w:val="20"/>
        </w:rPr>
        <w:t xml:space="preserve">We are using the notice-and-access system for the delivery of our proxy materials through our website, </w:t>
      </w:r>
      <w:r>
        <w:rPr>
          <w:rFonts w:ascii="Arial" w:hAnsi="Arial"/>
          <w:b/>
          <w:color w:val="335367"/>
          <w:sz w:val="20"/>
        </w:rPr>
        <w:t>www.tr.com</w:t>
      </w:r>
      <w:r>
        <w:rPr>
          <w:rFonts w:ascii="arial" w:hAnsi="arial"/>
          <w:sz w:val="20"/>
        </w:rPr>
        <w:t xml:space="preserve">,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 Electronic delivery reduces the cost and environmental impact of producing and distributing paper copies of documents in very large quantities. It also provides shareholders with faster access to information about Thomson Reuters. </w:t>
      </w:r>
    </w:p>
    <w:p>
      <w:pPr>
        <w:pStyle w:val="TextBody"/>
        <w:spacing w:before="120" w:after="0"/>
        <w:jc w:val="left"/>
        <w:rPr>
          <w:rFonts w:ascii="arial" w:hAnsi="arial"/>
          <w:sz w:val="20"/>
        </w:rPr>
      </w:pPr>
      <w:r>
        <w:rPr>
          <w:rFonts w:ascii="arial" w:hAnsi="arial"/>
          <w:sz w:val="20"/>
        </w:rPr>
        <w:t xml:space="preserve">Shareholders who have already signed up for electronic delivery of proxy materials will continue to receive them by e-mail. </w:t>
      </w:r>
    </w:p>
    <w:p>
      <w:pPr>
        <w:pStyle w:val="TextBody"/>
        <w:spacing w:before="120" w:after="0"/>
        <w:jc w:val="left"/>
        <w:rPr>
          <w:rFonts w:ascii="Arial" w:hAnsi="Arial"/>
          <w:b/>
          <w:sz w:val="28"/>
        </w:rPr>
      </w:pPr>
      <w:r>
        <w:rPr>
          <w:rFonts w:ascii="Arial" w:hAnsi="Arial"/>
          <w:b/>
          <w:sz w:val="28"/>
        </w:rPr>
        <w:t xml:space="preserve">Voting </w:t>
      </w:r>
    </w:p>
    <w:p>
      <w:pPr>
        <w:pStyle w:val="TextBody"/>
        <w:spacing w:before="40" w:after="0"/>
        <w:jc w:val="left"/>
        <w:rPr>
          <w:rFonts w:ascii="arial" w:hAnsi="arial"/>
          <w:sz w:val="20"/>
        </w:rPr>
      </w:pPr>
      <w:r>
        <w:rPr>
          <w:rFonts w:ascii="arial" w:hAnsi="arial"/>
          <w:sz w:val="20"/>
        </w:rPr>
        <w:t xml:space="preserve">Your vote is important. If youre unable to attend the meeting, please vote by proxy. The proxy form contains instructions on how to complete and send your voting instructions. If you hold your shares through a broker or other intermediary, you should follow the procedures provided by your broker or intermediary. </w:t>
      </w:r>
    </w:p>
    <w:p>
      <w:pPr>
        <w:pStyle w:val="TextBody"/>
        <w:spacing w:before="120" w:after="0"/>
        <w:jc w:val="left"/>
        <w:rPr>
          <w:rFonts w:ascii="arial" w:hAnsi="arial"/>
          <w:sz w:val="20"/>
        </w:rPr>
      </w:pPr>
      <w:r>
        <w:rPr>
          <w:rFonts w:ascii="arial" w:hAnsi="arial"/>
          <w:sz w:val="20"/>
        </w:rPr>
        <w:t xml:space="preserve">If youre a registered shareholder, our transfer agent, Computershare Trust Company of Canada, must receive your proxy or voting instructions no later than 5:00 p.m. (Eastern Daylight Time) on Monday, June 12, 2023 or if the meeting is adjourned or postponed, no later than 48 hours (excluding Saturdays, Sundays and holidays) before any adjourned or postponed meeting. If youre a registered shareholder and have any questions or need assistance voting your shares, please call Computershare Trust Company of Canada, toll-free in Canada and the United States, at 1.800.564.6253. </w:t>
      </w:r>
    </w:p>
    <w:p>
      <w:pPr>
        <w:pStyle w:val="TextBody"/>
        <w:spacing w:before="120" w:after="0"/>
        <w:jc w:val="left"/>
        <w:rPr>
          <w:rFonts w:ascii="arial" w:hAnsi="arial"/>
          <w:sz w:val="20"/>
        </w:rPr>
      </w:pPr>
      <w:r>
        <w:rPr>
          <w:rFonts w:ascii="arial" w:hAnsi="arial"/>
          <w:sz w:val="20"/>
        </w:rPr>
        <w:t xml:space="preserve">Non-registered/beneficial shareholders will be subject to earlier voting deadlines as specified in their proxy or voting instructions. </w:t>
      </w:r>
    </w:p>
    <w:p>
      <w:pPr>
        <w:pStyle w:val="TextBody"/>
        <w:spacing w:before="120" w:after="0"/>
        <w:jc w:val="left"/>
        <w:rPr>
          <w:rFonts w:ascii="arial" w:hAnsi="arial"/>
          <w:sz w:val="20"/>
        </w:rPr>
      </w:pPr>
      <w:r>
        <w:rPr>
          <w:rFonts w:ascii="arial" w:hAnsi="arial"/>
          <w:sz w:val="20"/>
        </w:rPr>
        <w:t xml:space="preserve">Thank you for your continued support of, and interest in, Thomson Reuters. </w:t>
      </w:r>
    </w:p>
    <w:p>
      <w:pPr>
        <w:pStyle w:val="TextBody"/>
        <w:spacing w:before="120" w:after="0"/>
        <w:jc w:val="left"/>
        <w:rPr>
          <w:rFonts w:ascii="arial" w:hAnsi="arial"/>
          <w:sz w:val="20"/>
        </w:rPr>
      </w:pPr>
      <w:r>
        <w:rPr>
          <w:rFonts w:ascii="arial" w:hAnsi="arial"/>
          <w:sz w:val="20"/>
        </w:rPr>
        <w:t xml:space="preserve">Very truly yours,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17"/>
        <w:gridCol w:w="121"/>
        <w:gridCol w:w="4967"/>
      </w:tblGrid>
      <w:tr>
        <w:trPr/>
        <w:tc>
          <w:tcPr>
            <w:tcW w:w="51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967" w:type="dxa"/>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tcPr>
          <w:p>
            <w:pPr>
              <w:pStyle w:val="TableContents"/>
              <w:spacing w:before="0" w:after="0"/>
              <w:rPr/>
            </w:pPr>
            <w:r>
              <w:rPr/>
              <w:drawing>
                <wp:inline distT="0" distB="0" distL="0" distR="0">
                  <wp:extent cx="122555" cy="355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2555" cy="3556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pPr>
            <w:r>
              <w:rPr/>
              <w:drawing>
                <wp:inline distT="0" distB="0" distL="0" distR="0">
                  <wp:extent cx="134620" cy="323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4620" cy="32385"/>
                          </a:xfrm>
                          <a:prstGeom prst="rect">
                            <a:avLst/>
                          </a:prstGeom>
                        </pic:spPr>
                      </pic:pic>
                    </a:graphicData>
                  </a:graphic>
                </wp:inline>
              </w:drawing>
            </w:r>
            <w:r>
              <w:rPr/>
              <w:t xml:space="preserve"> </w:t>
            </w:r>
          </w:p>
        </w:tc>
      </w:tr>
      <w:tr>
        <w:trPr>
          <w:trHeight w:val="120" w:hRule="atLeast"/>
        </w:trPr>
        <w:tc>
          <w:tcPr>
            <w:tcW w:w="5117" w:type="dxa"/>
            <w:tcBorders/>
            <w:shd w:fill="auto" w:val="clear"/>
            <w:vAlign w:val="center"/>
          </w:tcPr>
          <w:p>
            <w:pPr>
              <w:pStyle w:val="TableContents"/>
              <w:spacing w:before="0" w:after="283"/>
              <w:rPr>
                <w:sz w:val="4"/>
                <w:szCs w:val="4"/>
              </w:rPr>
            </w:pPr>
            <w:r>
              <w:rPr>
                <w:sz w:val="4"/>
                <w:szCs w:val="4"/>
              </w:rPr>
            </w:r>
          </w:p>
        </w:tc>
        <w:tc>
          <w:tcPr>
            <w:tcW w:w="5088" w:type="dxa"/>
            <w:gridSpan w:val="2"/>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tcPr>
          <w:p>
            <w:pPr>
              <w:pStyle w:val="TableContents"/>
              <w:spacing w:before="0" w:after="0"/>
              <w:rPr>
                <w:rFonts w:ascii="Arial" w:hAnsi="Arial"/>
                <w:b/>
                <w:sz w:val="20"/>
              </w:rPr>
            </w:pPr>
            <w:r>
              <w:rPr>
                <w:rFonts w:ascii="Arial" w:hAnsi="Arial"/>
                <w:b/>
                <w:sz w:val="20"/>
              </w:rPr>
              <w:t>David Thomson</w:t>
            </w:r>
          </w:p>
          <w:p>
            <w:pPr>
              <w:pStyle w:val="TableContents"/>
              <w:spacing w:before="0" w:after="20"/>
              <w:rPr>
                <w:rFonts w:ascii="arial" w:hAnsi="arial"/>
                <w:sz w:val="20"/>
              </w:rPr>
            </w:pPr>
            <w:r>
              <w:rPr>
                <w:rFonts w:ascii="arial" w:hAnsi="arial"/>
                <w:sz w:val="20"/>
              </w:rPr>
              <w:t>Chairman of the Board</w:t>
            </w:r>
          </w:p>
        </w:tc>
        <w:tc>
          <w:tcPr>
            <w:tcW w:w="12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0"/>
              <w:rPr>
                <w:rFonts w:ascii="Arial" w:hAnsi="Arial"/>
                <w:b/>
                <w:sz w:val="20"/>
              </w:rPr>
            </w:pPr>
            <w:r>
              <w:rPr>
                <w:rFonts w:ascii="Arial" w:hAnsi="Arial"/>
                <w:b/>
                <w:sz w:val="20"/>
              </w:rPr>
              <w:t>Steve Hasker</w:t>
            </w:r>
          </w:p>
          <w:p>
            <w:pPr>
              <w:pStyle w:val="TableContents"/>
              <w:spacing w:before="0" w:after="20"/>
              <w:rPr>
                <w:rFonts w:ascii="arial" w:hAnsi="arial"/>
                <w:sz w:val="20"/>
              </w:rPr>
            </w:pPr>
            <w:r>
              <w:rPr>
                <w:rFonts w:ascii="arial" w:hAnsi="arial"/>
                <w:sz w:val="20"/>
              </w:rPr>
              <w:t>President &amp; Chief Executive Officer</w:t>
            </w:r>
          </w:p>
        </w:tc>
      </w:tr>
      <w:tr>
        <w:trPr>
          <w:trHeight w:val="120" w:hRule="atLeast"/>
        </w:trPr>
        <w:tc>
          <w:tcPr>
            <w:tcW w:w="5117" w:type="dxa"/>
            <w:tcBorders/>
            <w:shd w:fill="auto" w:val="clear"/>
            <w:vAlign w:val="center"/>
          </w:tcPr>
          <w:p>
            <w:pPr>
              <w:pStyle w:val="TableContents"/>
              <w:spacing w:before="0" w:after="283"/>
              <w:rPr>
                <w:sz w:val="4"/>
                <w:szCs w:val="4"/>
              </w:rPr>
            </w:pPr>
            <w:r>
              <w:rPr>
                <w:sz w:val="4"/>
                <w:szCs w:val="4"/>
              </w:rPr>
            </w:r>
          </w:p>
        </w:tc>
        <w:tc>
          <w:tcPr>
            <w:tcW w:w="5088" w:type="dxa"/>
            <w:gridSpan w:val="2"/>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tcPr>
          <w:p>
            <w:pPr>
              <w:pStyle w:val="TableContents"/>
              <w:spacing w:before="0" w:after="283"/>
              <w:rPr>
                <w:sz w:val="20"/>
              </w:rPr>
            </w:pPr>
            <w:r>
              <w:rPr>
                <w:sz w:val="20"/>
              </w:rPr>
              <w:t>April 26, 2023</w:t>
            </w:r>
          </w:p>
        </w:tc>
        <w:tc>
          <w:tcPr>
            <w:tcW w:w="12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r>
        <w:rPr>
          <w:rFonts w:ascii="arial" w:hAnsi="arial"/>
          <w:color w:val="B94831"/>
          <w:sz w:val="52"/>
        </w:rPr>
        <w:t xml:space="preserve">Letter to Shareholders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102" w:type="dxa"/>
            <w:tcBorders>
              <w:top w:val="single" w:sz="2" w:space="0" w:color="000000"/>
              <w:left w:val="single" w:sz="2" w:space="0" w:color="000000"/>
              <w:right w:val="single" w:sz="2" w:space="0" w:color="000000"/>
            </w:tcBorders>
            <w:shd w:fill="F4E3E0" w:val="clear"/>
            <w:tcMar>
              <w:top w:w="28" w:type="dxa"/>
              <w:left w:w="160" w:type="dxa"/>
              <w:right w:w="28" w:type="dxa"/>
            </w:tcMar>
            <w:vAlign w:val="center"/>
          </w:tcPr>
          <w:p>
            <w:pPr>
              <w:pStyle w:val="TableContents"/>
              <w:spacing w:before="0" w:after="283"/>
              <w:rPr/>
            </w:pPr>
            <w:r>
              <w:rPr/>
              <w:t> </w:t>
            </w:r>
          </w:p>
        </w:tc>
      </w:tr>
      <w:tr>
        <w:trPr/>
        <w:tc>
          <w:tcPr>
            <w:tcW w:w="10102" w:type="dxa"/>
            <w:tcBorders>
              <w:left w:val="single" w:sz="2" w:space="0" w:color="000000"/>
              <w:bottom w:val="single" w:sz="2" w:space="0" w:color="000000"/>
              <w:right w:val="single" w:sz="2" w:space="0" w:color="000000"/>
            </w:tcBorders>
            <w:shd w:fill="F4E3E0" w:val="clear"/>
            <w:tcMar>
              <w:left w:w="160" w:type="dxa"/>
              <w:bottom w:w="80" w:type="dxa"/>
              <w:right w:w="40" w:type="dxa"/>
            </w:tcMar>
          </w:tcPr>
          <w:p>
            <w:pPr>
              <w:pStyle w:val="TableContents"/>
              <w:spacing w:before="0" w:after="0"/>
              <w:rPr>
                <w:rFonts w:ascii="arial" w:hAnsi="arial"/>
                <w:sz w:val="20"/>
              </w:rPr>
            </w:pPr>
            <w:r>
              <w:rPr>
                <w:rFonts w:ascii="arial" w:hAnsi="arial"/>
                <w:sz w:val="20"/>
              </w:rPr>
              <w:t xml:space="preserve">We will be holding this years annual and special meeting of shareholders in a </w:t>
            </w:r>
            <w:r>
              <w:rPr>
                <w:rFonts w:ascii="Arial" w:hAnsi="Arial"/>
                <w:b/>
                <w:sz w:val="20"/>
              </w:rPr>
              <w:t>virtual-only format</w:t>
            </w:r>
            <w:r>
              <w:rPr>
                <w:rFonts w:ascii="arial" w:hAnsi="arial"/>
                <w:sz w:val="20"/>
              </w:rPr>
              <w:t>. The meeting will be conducted through a live audio webcast, and youll have an opportunity to attend, submit or ask questions and vote at the meeting in real time through a web-based platform. This circular provides information and instructions regarding how to participate in the virtual annual and special meeting.</w:t>
            </w:r>
          </w:p>
          <w:p>
            <w:pPr>
              <w:pStyle w:val="TableContents"/>
              <w:spacing w:before="0" w:after="20"/>
              <w:rPr/>
            </w:pPr>
            <w:r>
              <w:rPr/>
              <w:t> </w:t>
            </w:r>
          </w:p>
        </w:tc>
      </w:tr>
    </w:tbl>
    <w:p>
      <w:pPr>
        <w:pStyle w:val="TextBody"/>
        <w:spacing w:before="200" w:after="0"/>
        <w:jc w:val="left"/>
        <w:rPr>
          <w:rFonts w:ascii="arial" w:hAnsi="arial"/>
          <w:sz w:val="20"/>
        </w:rPr>
      </w:pPr>
      <w:r>
        <w:rPr>
          <w:rFonts w:ascii="arial" w:hAnsi="arial"/>
          <w:sz w:val="20"/>
        </w:rPr>
        <w:t xml:space="preserve">To our Shareholders, </w:t>
      </w:r>
    </w:p>
    <w:p>
      <w:pPr>
        <w:pStyle w:val="TextBody"/>
        <w:spacing w:before="120" w:after="0"/>
        <w:jc w:val="left"/>
        <w:rPr>
          <w:rFonts w:ascii="arial" w:hAnsi="arial"/>
          <w:sz w:val="20"/>
        </w:rPr>
      </w:pPr>
      <w:r>
        <w:rPr>
          <w:rFonts w:ascii="arial" w:hAnsi="arial"/>
          <w:sz w:val="20"/>
        </w:rPr>
        <w:t>2022 brought gradual easing of the global pandemic, elevated inflation across most countries, and a protracted war in Ukraine. Businesses continued to adapt to new ways of working, and AI showed early signs of accelerated development. While these global news stories were unfolding, the regulatory and compliance environment grew ever more complex, placing additional pressures upon lawyers, tax and accounting, and risk professionals. The Trust Principles and our purpose, To Inform the Way Forward, guide us as a company. We continue to provide the industry with expertise, technology and content that empowers professionals and institutions to solve complex problems and execute difficult decisions with confidence.</w:t>
      </w:r>
    </w:p>
    <w:p>
      <w:pPr>
        <w:pStyle w:val="TextBody"/>
        <w:spacing w:before="120" w:after="0"/>
        <w:jc w:val="left"/>
        <w:rPr>
          <w:rFonts w:ascii="arial" w:hAnsi="arial"/>
          <w:sz w:val="20"/>
        </w:rPr>
      </w:pPr>
      <w:r>
        <w:rPr>
          <w:rFonts w:ascii="arial" w:hAnsi="arial"/>
          <w:sz w:val="20"/>
        </w:rPr>
        <w:t xml:space="preserve">As always, we are grateful for the important role that you, our shareholders, continue to play. </w:t>
      </w:r>
    </w:p>
    <w:p>
      <w:pPr>
        <w:pStyle w:val="TextBody"/>
        <w:spacing w:before="120" w:after="0"/>
        <w:jc w:val="left"/>
        <w:rPr>
          <w:rFonts w:ascii="Arial" w:hAnsi="Arial"/>
          <w:b/>
          <w:sz w:val="20"/>
        </w:rPr>
      </w:pPr>
      <w:r>
        <w:rPr>
          <w:rFonts w:ascii="Arial" w:hAnsi="Arial"/>
          <w:b/>
          <w:sz w:val="20"/>
        </w:rPr>
        <w:t xml:space="preserve">2022 Achievements </w:t>
      </w:r>
    </w:p>
    <w:p>
      <w:pPr>
        <w:pStyle w:val="TextBody"/>
        <w:spacing w:before="120" w:after="0"/>
        <w:jc w:val="left"/>
        <w:rPr>
          <w:rFonts w:ascii="arial" w:hAnsi="arial"/>
          <w:sz w:val="20"/>
        </w:rPr>
      </w:pPr>
      <w:r>
        <w:rPr>
          <w:rFonts w:ascii="arial" w:hAnsi="arial"/>
          <w:sz w:val="20"/>
        </w:rPr>
        <w:t xml:space="preserve">2022 was a year of great progress and change at Thomson Reuters. We have continued to invest in the success of our customers, our colleagues, and our shareholders. </w:t>
      </w:r>
    </w:p>
    <w:p>
      <w:pPr>
        <w:pStyle w:val="TextBody"/>
        <w:spacing w:before="120" w:after="0"/>
        <w:jc w:val="left"/>
        <w:rPr>
          <w:rFonts w:ascii="arial" w:hAnsi="arial"/>
          <w:sz w:val="20"/>
        </w:rPr>
      </w:pPr>
      <w:r>
        <w:rPr>
          <w:rFonts w:ascii="arial" w:hAnsi="arial"/>
          <w:sz w:val="20"/>
        </w:rPr>
        <w:t xml:space="preserve">In 2022, we successfully completed our two-year Change Program, achieving our overarching goals of transitioning Thomson Reuters from a holding company to an operating company, and from a content company to a content-driven technology company. We invested nearly $600 million in customer experience and innovation, whilst at the same time creating $540 million of run-rate operating cost savings across our company. </w:t>
      </w:r>
    </w:p>
    <w:p>
      <w:pPr>
        <w:pStyle w:val="TextBody"/>
        <w:spacing w:before="120" w:after="0"/>
        <w:jc w:val="left"/>
        <w:rPr>
          <w:rFonts w:ascii="arial" w:hAnsi="arial"/>
          <w:sz w:val="20"/>
        </w:rPr>
      </w:pPr>
      <w:r>
        <w:rPr>
          <w:rFonts w:ascii="arial" w:hAnsi="arial"/>
          <w:sz w:val="20"/>
        </w:rPr>
        <w:t xml:space="preserve">The Change Program provides a strong foundation for our future growth. A simpler product portfolio allows us to prioritize investment on the finest opportunities for our customers and our company. Improved customer-facing capabilities, modernized technology, streamlined infrastructure and world-class talent ensure continued success for our longstanding partnerships forged upon trust. While this work is ongoing, we are proud of what has been achieved. Our simplified operations enable a more focused and performance-driven company, with improved organic revenue growth, profitability, and an unwavering focus on our customers success. </w:t>
      </w:r>
    </w:p>
    <w:p>
      <w:pPr>
        <w:pStyle w:val="TextBody"/>
        <w:spacing w:before="120" w:after="0"/>
        <w:jc w:val="left"/>
        <w:rPr>
          <w:rFonts w:ascii="arial" w:hAnsi="arial"/>
          <w:sz w:val="20"/>
        </w:rPr>
      </w:pPr>
      <w:r>
        <w:rPr>
          <w:rFonts w:ascii="arial" w:hAnsi="arial"/>
          <w:sz w:val="20"/>
        </w:rPr>
        <w:t xml:space="preserve">Throughout the year we continued to drive innovation in our markets for our customers. A highlight was the September launch of Westlaw Precision, the latest version of our flagship legal franchise, which extends our legacy of customer-driven innovation. Precision leverages unique content, leading software, and world-class AI to provide a meaningful improvement in the efficiency and accuracy of legal research, allowing our customers to conduct research more than twice as fast while reducing the risk of missing relevant cases. Our customers require simple and embedded solutions that save them both time and costs. 2022 also witnessed a host of new offerings and enhancements across the portfolio, as well as new third-party product integrations. </w:t>
      </w:r>
    </w:p>
    <w:p>
      <w:pPr>
        <w:pStyle w:val="TextBody"/>
        <w:spacing w:before="120" w:after="0"/>
        <w:jc w:val="left"/>
        <w:rPr>
          <w:rFonts w:ascii="arial" w:hAnsi="arial"/>
          <w:sz w:val="20"/>
        </w:rPr>
      </w:pPr>
      <w:r>
        <w:rPr>
          <w:rFonts w:ascii="arial" w:hAnsi="arial"/>
          <w:sz w:val="20"/>
        </w:rPr>
        <w:t xml:space="preserve">Inorganic opportunities were pursued to better serve our markets. In January 2023, we closed on the acquisition of SurePrep, a California-based company whose products leverage leading software and AI models to automate the collection and processing of tax documents, providing efficiency and accuracy benefits for our customers. In combination with our leading tax research and compliance software, SurePrep allows us to offer truly end-to-end automated workflow solutions. This acquisition followed three smaller acquisitions throughout 2022 and reflects our multi-channel approach to deliver innovative, market-leading solutions. </w:t>
      </w:r>
    </w:p>
    <w:p>
      <w:pPr>
        <w:pStyle w:val="TextBody"/>
        <w:spacing w:before="120" w:after="0"/>
        <w:jc w:val="left"/>
        <w:rPr>
          <w:rFonts w:ascii="arial" w:hAnsi="arial"/>
          <w:sz w:val="20"/>
        </w:rPr>
      </w:pPr>
      <w:r>
        <w:rPr>
          <w:rFonts w:ascii="arial" w:hAnsi="arial"/>
          <w:sz w:val="20"/>
        </w:rPr>
        <w:t xml:space="preserve">The above efforts drove strong financial performance for the year, meeting or exceeding our key 2022 guidance metrics. For the full year, our organic revenues grew 6%, and our core markets remain stable as the fourth quarter marked the seventh consecutive quarter that our Big 3 segments  Legal Professionals, Corporates, and Tax &amp; Accounting Professionals  have grown at least 6% organically. Our adjusted EBITDA for the year increased 18% to $2.3 billion, resulting in a margin of 35.1%, and adjusted EPS for the year was up 31% to $2.56. In February of this year, we announced a 10% increase in our annualized dividend, representing the 30th consecutive year of dividend increases.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Our Opportunity </w:t>
      </w:r>
    </w:p>
    <w:p>
      <w:pPr>
        <w:pStyle w:val="TextBody"/>
        <w:spacing w:before="120" w:after="0"/>
        <w:jc w:val="left"/>
        <w:rPr>
          <w:rFonts w:ascii="arial" w:hAnsi="arial"/>
          <w:sz w:val="20"/>
        </w:rPr>
      </w:pPr>
      <w:r>
        <w:rPr>
          <w:rFonts w:ascii="arial" w:hAnsi="arial"/>
          <w:sz w:val="20"/>
        </w:rPr>
        <w:t xml:space="preserve">As we look to 2023 and beyond, we remain committed to delivering real value for our customers and our shareholders and remain in an enviable position to do so. </w:t>
      </w:r>
    </w:p>
    <w:p>
      <w:pPr>
        <w:pStyle w:val="TextBody"/>
        <w:spacing w:before="120" w:after="0"/>
        <w:jc w:val="left"/>
        <w:rPr>
          <w:rFonts w:ascii="arial" w:hAnsi="arial"/>
          <w:sz w:val="20"/>
        </w:rPr>
      </w:pPr>
      <w:r>
        <w:rPr>
          <w:rFonts w:ascii="arial" w:hAnsi="arial"/>
          <w:sz w:val="20"/>
        </w:rPr>
        <w:t xml:space="preserve">Technology will support us in our mission to digitally transform the foundations of legal, tax, risk and compliance, and a free press. We will continue to innovate across our markets, driven by world-class applications of AI and market-leading partnerships. We are committed to shaping the future of the professionals we serve through a smarter, connected product portfolio supported by world-class talent. </w:t>
      </w:r>
    </w:p>
    <w:p>
      <w:pPr>
        <w:pStyle w:val="TextBody"/>
        <w:spacing w:before="120" w:after="0"/>
        <w:jc w:val="left"/>
        <w:rPr>
          <w:rFonts w:ascii="arial" w:hAnsi="arial"/>
          <w:sz w:val="20"/>
        </w:rPr>
      </w:pPr>
      <w:r>
        <w:rPr>
          <w:rFonts w:ascii="arial" w:hAnsi="arial"/>
          <w:sz w:val="20"/>
        </w:rPr>
        <w:t xml:space="preserve">Successful completion of the Change Program allows us to stay better focused on pursing investment in our best opportunities, and where our customers and shareholders can envisage tangible benefits. We expect our digital-first and reimagined customer experience to drive closer partnerships, greater retention, and smarter ways of working with our customers. </w:t>
      </w:r>
    </w:p>
    <w:p>
      <w:pPr>
        <w:pStyle w:val="TextBody"/>
        <w:spacing w:before="120" w:after="0"/>
        <w:jc w:val="left"/>
        <w:rPr>
          <w:rFonts w:ascii="arial" w:hAnsi="arial"/>
          <w:sz w:val="20"/>
        </w:rPr>
      </w:pPr>
      <w:r>
        <w:rPr>
          <w:rFonts w:ascii="arial" w:hAnsi="arial"/>
          <w:sz w:val="20"/>
        </w:rPr>
        <w:t xml:space="preserve">In addition to driving organic growth through technology and innovation, we are also focused on creating shareholder value through the deployment of an estimated $11 billion of capital capacity between now and 2025 from the proceeds of our London Stock Exchange Group plc (LSEG) shares and our growing free cash flow. We will pursue a balanced approach to deploying this capital that includes annual dividend growth, strategic M&amp;A, and shareholder returns. On April 4, 2023, we launched a $2.2 billion return of capital and share consolidation, discussed in more detail below. We will also maintain a disciplined approach to M&amp;A, focusing on high-quality assets that meet our customers evolving needs while reinforcing our leading market positions. </w:t>
      </w:r>
    </w:p>
    <w:p>
      <w:pPr>
        <w:pStyle w:val="TextBody"/>
        <w:spacing w:before="120" w:after="0"/>
        <w:jc w:val="left"/>
        <w:rPr>
          <w:rFonts w:ascii="arial" w:hAnsi="arial"/>
          <w:sz w:val="20"/>
        </w:rPr>
      </w:pPr>
      <w:r>
        <w:rPr>
          <w:rFonts w:ascii="arial" w:hAnsi="arial"/>
          <w:sz w:val="20"/>
        </w:rPr>
        <w:t xml:space="preserve">Across the professions and institutions we serve, we are delivering expertise, technology and content that expand our opportunity to automate our customers workflows, and better connect their worlds. </w:t>
      </w:r>
    </w:p>
    <w:p>
      <w:pPr>
        <w:pStyle w:val="TextBody"/>
        <w:spacing w:before="120" w:after="0"/>
        <w:jc w:val="left"/>
        <w:rPr>
          <w:rFonts w:ascii="Arial" w:hAnsi="Arial"/>
          <w:b/>
          <w:sz w:val="20"/>
        </w:rPr>
      </w:pPr>
      <w:r>
        <w:rPr>
          <w:rFonts w:ascii="Arial" w:hAnsi="Arial"/>
          <w:b/>
          <w:sz w:val="20"/>
        </w:rPr>
        <w:t xml:space="preserve">Return of Capital Transaction </w:t>
      </w:r>
    </w:p>
    <w:p>
      <w:pPr>
        <w:pStyle w:val="TextBody"/>
        <w:spacing w:before="120" w:after="0"/>
        <w:jc w:val="left"/>
        <w:rPr>
          <w:rFonts w:ascii="arial" w:hAnsi="arial"/>
          <w:sz w:val="20"/>
        </w:rPr>
      </w:pPr>
      <w:r>
        <w:rPr>
          <w:rFonts w:ascii="arial" w:hAnsi="arial"/>
          <w:sz w:val="20"/>
        </w:rPr>
        <w:t xml:space="preserve">The proposed return of capital transaction requires shareholder approval. The purpose of this meeting is to, among other things, consider and vote upon a special resolution approving a statutory arrangement to implement the return of capital transaction. The transaction consists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 cash distribution of US$4.67 per common share, or approximately US$2.2 billion in the aggregate;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 consolidation of our outstanding common shares (or reverse stock split) on a basis that is proportional to the cash distribution. </w:t>
            </w:r>
          </w:p>
        </w:tc>
      </w:tr>
    </w:tbl>
    <w:p>
      <w:pPr>
        <w:pStyle w:val="TextBody"/>
        <w:spacing w:before="120" w:after="0"/>
        <w:jc w:val="left"/>
        <w:rPr>
          <w:rFonts w:ascii="arial" w:hAnsi="arial"/>
          <w:sz w:val="20"/>
        </w:rPr>
      </w:pPr>
      <w:r>
        <w:rPr>
          <w:rFonts w:ascii="arial" w:hAnsi="arial"/>
          <w:sz w:val="20"/>
        </w:rPr>
        <w:t xml:space="preserve">The proposed return of capital transaction is intended to distribute cash on a basis that is generally expected to be tax-free for Canadian tax purposes. Certain shareholders who are taxable in a jurisdiction outside of Canada (including taxable U.S. resident shareholders and others) (referred to as Eligible Opt-Out Shareholders) will be able to opt out of the transaction. This right to opt out is being provided to those shareholders because in jurisdictions other than Canada the tax consequences of not participating in the transaction may be preferable to those associated with participating in the transaction. If you are an Eligible Opt-Out Shareholder and choose to opt out, you will not receive the cash distribution and will continue to hold the same number of shares that you currently hold. </w:t>
      </w:r>
    </w:p>
    <w:p>
      <w:pPr>
        <w:pStyle w:val="TextBody"/>
        <w:spacing w:before="120" w:after="0"/>
        <w:jc w:val="left"/>
        <w:rPr>
          <w:rFonts w:ascii="arial" w:hAnsi="arial"/>
          <w:sz w:val="20"/>
        </w:rPr>
      </w:pPr>
      <w:r>
        <w:rPr>
          <w:rFonts w:ascii="arial" w:hAnsi="arial"/>
          <w:sz w:val="20"/>
        </w:rPr>
        <w:t xml:space="preserve">The details of the transaction are described in the accompanying management proxy circular and other related materials. </w:t>
      </w:r>
    </w:p>
    <w:p>
      <w:pPr>
        <w:pStyle w:val="TextBody"/>
        <w:spacing w:before="120" w:after="0"/>
        <w:jc w:val="left"/>
        <w:rPr>
          <w:rFonts w:ascii="arial" w:hAnsi="arial"/>
          <w:sz w:val="20"/>
        </w:rPr>
      </w:pPr>
      <w:r>
        <w:rPr>
          <w:rFonts w:ascii="arial" w:hAnsi="arial"/>
          <w:sz w:val="20"/>
        </w:rPr>
        <w:t xml:space="preserve">To become effective, the special resolution approving the arrangement must be approved by at least two-thirds of the votes cast at the meeting. Our principal shareholder, The Woodbridge Company Limited, which owns approximately 69% of our outstanding common shares, has indicated that it will vote in favour of the resolution. Accordingly, we expect the resolution will be approved. The arrangement also requires the approval of the Ontario Superior Court of Justice (Commercial List). </w:t>
      </w:r>
    </w:p>
    <w:p>
      <w:pPr>
        <w:pStyle w:val="TextBody"/>
        <w:spacing w:before="120" w:after="0"/>
        <w:jc w:val="left"/>
        <w:rPr>
          <w:rFonts w:ascii="arial" w:hAnsi="arial"/>
          <w:sz w:val="20"/>
        </w:rPr>
      </w:pPr>
      <w:r>
        <w:rPr>
          <w:rFonts w:ascii="arial" w:hAnsi="arial"/>
          <w:sz w:val="20"/>
        </w:rPr>
        <w:t xml:space="preserve">The board of directors, upon careful consideration of a number of factors, has determined that the proposed arrangement is in the best interests of our company and unanimously recommends that you vote to approve the arrangement. </w:t>
      </w:r>
    </w:p>
    <w:p>
      <w:pPr>
        <w:pStyle w:val="TextBody"/>
        <w:spacing w:before="120" w:after="0"/>
        <w:jc w:val="left"/>
        <w:rPr>
          <w:rFonts w:ascii="arial" w:hAnsi="arial"/>
          <w:sz w:val="20"/>
        </w:rPr>
      </w:pPr>
      <w:r>
        <w:rPr>
          <w:rFonts w:ascii="arial" w:hAnsi="arial"/>
          <w:sz w:val="20"/>
        </w:rPr>
        <w:t xml:space="preserve">You are invited to attend the annual and special meeting. However, if you are unable to attend, please vote by proxy. If you have any questions about how to vote your shares or, if you are an Eligible Opt-Out Shareholder, how to opt out of the proposed return of capital transaction, please call Computershare Investor Services Inc., toll-free in Canada and the United States, at 1.800.564.6253 (if you are a registered shareholder), your intermediary (if you are a non-registered shareholder), or D.F. King &amp; Co., Inc., the Information Agent, toll-free in Canada or the United States at 1.866.864.4943. </w:t>
      </w:r>
    </w:p>
    <w:p>
      <w:pPr>
        <w:pStyle w:val="TextBody"/>
        <w:spacing w:before="120" w:after="0"/>
        <w:jc w:val="left"/>
        <w:rPr>
          <w:rFonts w:ascii="arial" w:hAnsi="arial"/>
          <w:sz w:val="20"/>
        </w:rPr>
      </w:pPr>
      <w:r>
        <w:rPr>
          <w:rFonts w:ascii="arial" w:hAnsi="arial"/>
          <w:sz w:val="20"/>
        </w:rPr>
        <w:t xml:space="preserve">If shareholders approve the arrangement, it is expected to become effective on or about June 23, 2023.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40" w:after="0"/>
        <w:jc w:val="lef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Our Role in the World </w:t>
      </w:r>
    </w:p>
    <w:p>
      <w:pPr>
        <w:pStyle w:val="TextBody"/>
        <w:spacing w:before="120" w:after="0"/>
        <w:jc w:val="left"/>
        <w:rPr>
          <w:rFonts w:ascii="arial" w:hAnsi="arial"/>
          <w:sz w:val="20"/>
        </w:rPr>
      </w:pPr>
      <w:r>
        <w:rPr>
          <w:rFonts w:ascii="arial" w:hAnsi="arial"/>
          <w:sz w:val="20"/>
        </w:rPr>
        <w:t xml:space="preserve">Our purpose is brought to life each day through the work of our global colleagues. The ability to attract and retain world class talent remains core to our success as we believe progress is derived by the ideas and experiences of our people. We strive to foster an ever-inclusive workplace in which colleagues have every opportunity to reach their full potential. </w:t>
      </w:r>
    </w:p>
    <w:p>
      <w:pPr>
        <w:pStyle w:val="TextBody"/>
        <w:spacing w:before="120" w:after="0"/>
        <w:jc w:val="left"/>
        <w:rPr>
          <w:rFonts w:ascii="arial" w:hAnsi="arial"/>
          <w:sz w:val="20"/>
        </w:rPr>
      </w:pPr>
      <w:r>
        <w:rPr>
          <w:rFonts w:ascii="arial" w:hAnsi="arial"/>
          <w:sz w:val="20"/>
        </w:rPr>
        <w:t xml:space="preserve">The pandemic has affected all of our lives in a profound way, and the offer of support and greater flexibility for our employees has never been more crucial. Thomson Reuters Flex My Way was launched last year and offers flexible working arrangements in locations other than the employees home or office for up to eight weeks per year, expanded caregiver paid time off, and enhanced bereavement leave. </w:t>
      </w:r>
    </w:p>
    <w:p>
      <w:pPr>
        <w:pStyle w:val="TextBody"/>
        <w:spacing w:before="120" w:after="0"/>
        <w:jc w:val="left"/>
        <w:rPr>
          <w:rFonts w:ascii="arial" w:hAnsi="arial"/>
          <w:sz w:val="20"/>
        </w:rPr>
      </w:pPr>
      <w:r>
        <w:rPr>
          <w:rFonts w:ascii="arial" w:hAnsi="arial"/>
          <w:sz w:val="20"/>
        </w:rPr>
        <w:t xml:space="preserve">Thomson Reuters has received more than 20 awards in 2022 that globally recognize our company as a top employer, a best place to work for LGBTQ+ communities, a female-friendly company, and a best workplace for persons with disabilities, among others. </w:t>
      </w:r>
    </w:p>
    <w:p>
      <w:pPr>
        <w:pStyle w:val="TextBody"/>
        <w:spacing w:before="120" w:after="0"/>
        <w:jc w:val="left"/>
        <w:rPr>
          <w:rFonts w:ascii="arial" w:hAnsi="arial"/>
          <w:sz w:val="20"/>
        </w:rPr>
      </w:pPr>
      <w:r>
        <w:rPr>
          <w:rFonts w:ascii="arial" w:hAnsi="arial"/>
          <w:sz w:val="20"/>
        </w:rPr>
        <w:t xml:space="preserve">We are immensely proud of the work our colleagues produce each day, especially our Reuters journalists, who work tirelessly to shine light in the darkest corners of the earth. In 2022, we celebrated their achievements of four Pulitzer Prizes, including to the late Danish Siddiqui, for outstanding journalism that helps foster free, fair, and informed societies. </w:t>
      </w:r>
    </w:p>
    <w:p>
      <w:pPr>
        <w:pStyle w:val="TextBody"/>
        <w:spacing w:before="120" w:after="0"/>
        <w:jc w:val="left"/>
        <w:rPr>
          <w:rFonts w:ascii="arial" w:hAnsi="arial"/>
          <w:sz w:val="20"/>
        </w:rPr>
      </w:pPr>
      <w:r>
        <w:rPr>
          <w:rFonts w:ascii="arial" w:hAnsi="arial"/>
          <w:sz w:val="20"/>
        </w:rPr>
        <w:t xml:space="preserve">Our robust ESG efforts across the globe further uplifted our purpose. We are a company focused on making the foundations of societies stronger, and we strive to do so by creating opportunities for innovation, community investment, volunteer impact, and sustainable corporate citizenship. Our longstanding commitment to supporting communities in which we live and work was displayed through volunteering and acts of service. Our colleagues once again enhanced their efforts in 2022, volunteering more than 68,000 hours to various causes. Please visit our Social Impact Institute for more information about our companys and colleagues commitment to social impact in our communities. </w:t>
      </w:r>
    </w:p>
    <w:p>
      <w:pPr>
        <w:pStyle w:val="TextBody"/>
        <w:spacing w:before="120" w:after="0"/>
        <w:jc w:val="left"/>
        <w:rPr>
          <w:rFonts w:ascii="arial" w:hAnsi="arial"/>
          <w:sz w:val="20"/>
        </w:rPr>
      </w:pPr>
      <w:r>
        <w:rPr>
          <w:rFonts w:ascii="arial" w:hAnsi="arial"/>
          <w:sz w:val="20"/>
        </w:rPr>
        <w:t xml:space="preserve">Thomson Reuters remains in a great position to continue investing in our customers success with a strong and sustained financial performance, healthy balance sheet, partnerships shaped upon trust, and playing a critical role in society. </w:t>
      </w:r>
    </w:p>
    <w:p>
      <w:pPr>
        <w:pStyle w:val="TextBody"/>
        <w:spacing w:before="120" w:after="0"/>
        <w:jc w:val="left"/>
        <w:rPr>
          <w:rFonts w:ascii="arial" w:hAnsi="arial"/>
          <w:sz w:val="20"/>
        </w:rPr>
      </w:pPr>
      <w:r>
        <w:rPr>
          <w:rFonts w:ascii="arial" w:hAnsi="arial"/>
          <w:sz w:val="20"/>
        </w:rPr>
        <w:t xml:space="preserve">Our customers and colleagues are most grateful for your ongoing commitment to Thomson Reuters. Your support allows us to work towards a more trusting, transparent, informed, and prosperous future amidst a world of sea change.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17"/>
        <w:gridCol w:w="121"/>
        <w:gridCol w:w="4967"/>
      </w:tblGrid>
      <w:tr>
        <w:trPr/>
        <w:tc>
          <w:tcPr>
            <w:tcW w:w="51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967" w:type="dxa"/>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vAlign w:val="bottom"/>
          </w:tcPr>
          <w:p>
            <w:pPr>
              <w:pStyle w:val="TableContents"/>
              <w:spacing w:before="0" w:after="0"/>
              <w:rPr/>
            </w:pPr>
            <w:r>
              <w:rPr/>
              <w:drawing>
                <wp:inline distT="0" distB="0" distL="0" distR="0">
                  <wp:extent cx="122555" cy="355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2555" cy="3556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0"/>
              <w:rPr/>
            </w:pPr>
            <w:r>
              <w:rPr/>
              <w:drawing>
                <wp:inline distT="0" distB="0" distL="0" distR="0">
                  <wp:extent cx="134620" cy="323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4620" cy="32385"/>
                          </a:xfrm>
                          <a:prstGeom prst="rect">
                            <a:avLst/>
                          </a:prstGeom>
                        </pic:spPr>
                      </pic:pic>
                    </a:graphicData>
                  </a:graphic>
                </wp:inline>
              </w:drawing>
            </w:r>
            <w:r>
              <w:rPr/>
              <w:t xml:space="preserve"> </w:t>
            </w:r>
          </w:p>
        </w:tc>
      </w:tr>
      <w:tr>
        <w:trPr>
          <w:trHeight w:val="75" w:hRule="atLeast"/>
        </w:trPr>
        <w:tc>
          <w:tcPr>
            <w:tcW w:w="5117" w:type="dxa"/>
            <w:tcBorders/>
            <w:shd w:fill="auto" w:val="clear"/>
            <w:vAlign w:val="center"/>
          </w:tcPr>
          <w:p>
            <w:pPr>
              <w:pStyle w:val="TableContents"/>
              <w:spacing w:before="0" w:after="283"/>
              <w:rPr>
                <w:sz w:val="4"/>
                <w:szCs w:val="4"/>
              </w:rPr>
            </w:pPr>
            <w:r>
              <w:rPr>
                <w:sz w:val="4"/>
                <w:szCs w:val="4"/>
              </w:rPr>
            </w:r>
          </w:p>
        </w:tc>
        <w:tc>
          <w:tcPr>
            <w:tcW w:w="5088" w:type="dxa"/>
            <w:gridSpan w:val="2"/>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tcPr>
          <w:p>
            <w:pPr>
              <w:pStyle w:val="TableContents"/>
              <w:spacing w:before="0" w:after="0"/>
              <w:rPr>
                <w:rFonts w:ascii="Arial" w:hAnsi="Arial"/>
                <w:b/>
                <w:sz w:val="20"/>
              </w:rPr>
            </w:pPr>
            <w:r>
              <w:rPr>
                <w:rFonts w:ascii="Arial" w:hAnsi="Arial"/>
                <w:b/>
                <w:sz w:val="20"/>
              </w:rPr>
              <w:t>David Thomson</w:t>
            </w:r>
          </w:p>
          <w:p>
            <w:pPr>
              <w:pStyle w:val="TableContents"/>
              <w:spacing w:before="0" w:after="20"/>
              <w:rPr>
                <w:rFonts w:ascii="arial" w:hAnsi="arial"/>
                <w:sz w:val="20"/>
              </w:rPr>
            </w:pPr>
            <w:r>
              <w:rPr>
                <w:rFonts w:ascii="arial" w:hAnsi="arial"/>
                <w:sz w:val="20"/>
              </w:rPr>
              <w:t>Chairman of the Board</w:t>
            </w:r>
          </w:p>
        </w:tc>
        <w:tc>
          <w:tcPr>
            <w:tcW w:w="12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0"/>
              <w:rPr>
                <w:rFonts w:ascii="Arial" w:hAnsi="Arial"/>
                <w:b/>
                <w:sz w:val="20"/>
              </w:rPr>
            </w:pPr>
            <w:r>
              <w:rPr>
                <w:rFonts w:ascii="Arial" w:hAnsi="Arial"/>
                <w:b/>
                <w:sz w:val="20"/>
              </w:rPr>
              <w:t>Steve Hasker</w:t>
            </w:r>
          </w:p>
          <w:p>
            <w:pPr>
              <w:pStyle w:val="TableContents"/>
              <w:spacing w:before="0" w:after="20"/>
              <w:rPr>
                <w:rFonts w:ascii="arial" w:hAnsi="arial"/>
                <w:sz w:val="20"/>
              </w:rPr>
            </w:pPr>
            <w:r>
              <w:rPr>
                <w:rFonts w:ascii="arial" w:hAnsi="arial"/>
                <w:sz w:val="20"/>
              </w:rPr>
              <w:t>President &amp; Chief Executive Officer</w:t>
            </w:r>
          </w:p>
        </w:tc>
      </w:tr>
    </w:tbl>
    <w:p>
      <w:pPr>
        <w:pStyle w:val="TextBody"/>
        <w:spacing w:before="240" w:after="0"/>
        <w:jc w:val="left"/>
        <w:rPr>
          <w:rFonts w:ascii="arial" w:hAnsi="arial"/>
          <w:sz w:val="15"/>
        </w:rPr>
      </w:pPr>
      <w:r>
        <w:rPr>
          <w:rFonts w:ascii="arial" w:hAnsi="arial"/>
          <w:sz w:val="15"/>
        </w:rPr>
        <w:t xml:space="preserve">Certain statements in the letter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our 2022 annual report as well as in other materials that we from time to time file with, or furnish to, the Canadian securities regulatory authorities and the U.S. Securities and Exchange Commission (SEC). There is no assurance that any forward-looking statements will materialize. You are cautioned not to place undue reliance on forward-looking statements, which reflect expectations only as of this date. Except as may be required by applicable law, we disclaim any intention or obligation to update or revise any forward-looking statements.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r>
        <w:rPr>
          <w:rFonts w:ascii="arial" w:hAnsi="arial"/>
          <w:color w:val="B94831"/>
          <w:sz w:val="52"/>
        </w:rPr>
        <w:t xml:space="preserve">Shareholder resources on our website </w:t>
      </w:r>
    </w:p>
    <w:p>
      <w:pPr>
        <w:pStyle w:val="TextBody"/>
        <w:spacing w:before="440" w:after="0"/>
        <w:jc w:val="left"/>
        <w:rPr>
          <w:rFonts w:ascii="Arial" w:hAnsi="Arial"/>
          <w:b/>
          <w:sz w:val="20"/>
        </w:rPr>
      </w:pPr>
      <w:r>
        <w:rPr>
          <w:rFonts w:ascii="Arial" w:hAnsi="Arial"/>
          <w:b/>
          <w:sz w:val="20"/>
        </w:rPr>
        <w:t xml:space="preserve">Annual and Special Meeting of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0"/>
              <w:jc w:val="left"/>
              <w:rPr>
                <w:rFonts w:ascii="arial" w:hAnsi="arial"/>
                <w:sz w:val="20"/>
              </w:rPr>
            </w:pPr>
            <w:r>
              <w:rPr>
                <w:rFonts w:ascii="arial" w:hAnsi="arial"/>
                <w:sz w:val="20"/>
              </w:rPr>
              <w:t xml:space="preserve">Management proxy circular  </w:t>
            </w:r>
            <w:r>
              <w:rPr>
                <w:rFonts w:ascii="Arial" w:hAnsi="Arial"/>
                <w:b/>
                <w:color w:val="335367"/>
                <w:sz w:val="20"/>
              </w:rPr>
              <w:t xml:space="preserve">www.tr.com/2023AGMcircular/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101"/>
        <w:gridCol w:w="9596"/>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0"/>
              <w:jc w:val="left"/>
              <w:rPr>
                <w:rFonts w:ascii="arial" w:hAnsi="arial"/>
                <w:sz w:val="20"/>
              </w:rPr>
            </w:pPr>
            <w:r>
              <w:rPr>
                <w:rFonts w:ascii="arial" w:hAnsi="arial"/>
                <w:sz w:val="20"/>
              </w:rPr>
              <w:t xml:space="preserve">Annual report  </w:t>
            </w:r>
            <w:r>
              <w:rPr>
                <w:rFonts w:ascii="Arial" w:hAnsi="Arial"/>
                <w:b/>
                <w:color w:val="335367"/>
                <w:sz w:val="20"/>
              </w:rPr>
              <w:t>www.tr.com/2022annualreport/</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203"/>
        <w:gridCol w:w="101"/>
        <w:gridCol w:w="9597"/>
      </w:tblGrid>
      <w:tr>
        <w:trPr/>
        <w:tc>
          <w:tcPr>
            <w:tcW w:w="304"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0"/>
              <w:jc w:val="left"/>
              <w:rPr>
                <w:rFonts w:ascii="arial" w:hAnsi="arial"/>
                <w:sz w:val="20"/>
              </w:rPr>
            </w:pPr>
            <w:r>
              <w:rPr>
                <w:rFonts w:ascii="arial" w:hAnsi="arial"/>
                <w:sz w:val="20"/>
              </w:rPr>
              <w:t xml:space="preserve">Virtual AGM User Guide  </w:t>
            </w:r>
            <w:r>
              <w:rPr>
                <w:rFonts w:ascii="Arial" w:hAnsi="Arial"/>
                <w:b/>
                <w:color w:val="335367"/>
                <w:sz w:val="20"/>
              </w:rPr>
              <w:t>www.tr.com/2023AGMUserGuide/</w:t>
            </w:r>
            <w:r>
              <w:rPr>
                <w:rFonts w:ascii="arial" w:hAnsi="arial"/>
                <w:sz w:val="20"/>
              </w:rPr>
              <w:t xml:space="preserve"> </w:t>
            </w:r>
          </w:p>
        </w:tc>
      </w:tr>
    </w:tbl>
    <w:p>
      <w:pPr>
        <w:pStyle w:val="TextBody"/>
        <w:spacing w:before="240" w:after="0"/>
        <w:jc w:val="left"/>
        <w:rPr>
          <w:rFonts w:ascii="Arial" w:hAnsi="Arial"/>
          <w:b/>
          <w:sz w:val="20"/>
        </w:rPr>
      </w:pPr>
      <w:r>
        <w:rPr>
          <w:rFonts w:ascii="Arial" w:hAnsi="Arial"/>
          <w:b/>
          <w:sz w:val="20"/>
        </w:rPr>
        <w:t xml:space="preserve">Corporate Governance Documents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left"/>
              <w:rPr>
                <w:rFonts w:ascii="arial" w:hAnsi="arial"/>
                <w:sz w:val="20"/>
              </w:rPr>
            </w:pPr>
            <w:r>
              <w:rPr>
                <w:rFonts w:ascii="arial" w:hAnsi="arial"/>
                <w:sz w:val="20"/>
              </w:rPr>
              <w:t xml:space="preserve">Corporate Governance Guidelines, Board committee charters, and position descriptions  </w:t>
            </w:r>
            <w:r>
              <w:rPr>
                <w:rFonts w:ascii="Arial" w:hAnsi="Arial"/>
                <w:b/>
                <w:color w:val="335367"/>
                <w:sz w:val="20"/>
              </w:rPr>
              <w:t xml:space="preserve">ir.tr.com/corporate-governance/governance-highlights </w:t>
            </w:r>
          </w:p>
        </w:tc>
      </w:tr>
    </w:tbl>
    <w:p>
      <w:pPr>
        <w:pStyle w:val="TextBody"/>
        <w:spacing w:before="240" w:after="0"/>
        <w:jc w:val="left"/>
        <w:rPr>
          <w:rFonts w:ascii="Arial" w:hAnsi="Arial"/>
          <w:b/>
          <w:sz w:val="20"/>
        </w:rPr>
      </w:pPr>
      <w:r>
        <w:rPr>
          <w:rFonts w:ascii="Arial" w:hAnsi="Arial"/>
          <w:b/>
          <w:sz w:val="20"/>
        </w:rPr>
        <w:t xml:space="preserve">Environmental, Social and Governance (ESG)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left"/>
              <w:rPr>
                <w:rFonts w:ascii="arial" w:hAnsi="arial"/>
                <w:sz w:val="20"/>
              </w:rPr>
            </w:pPr>
            <w:r>
              <w:rPr>
                <w:rFonts w:ascii="arial" w:hAnsi="arial"/>
                <w:sz w:val="20"/>
              </w:rPr>
              <w:t xml:space="preserve">Social Impact &amp; ESG Report  </w:t>
            </w:r>
            <w:r>
              <w:rPr>
                <w:rFonts w:ascii="Arial" w:hAnsi="Arial"/>
                <w:b/>
                <w:color w:val="335367"/>
                <w:sz w:val="20"/>
              </w:rPr>
              <w:t>www.tr.com/social-impact-report</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4"/>
        <w:gridCol w:w="101"/>
        <w:gridCol w:w="9595"/>
      </w:tblGrid>
      <w:tr>
        <w:trPr/>
        <w:tc>
          <w:tcPr>
            <w:tcW w:w="30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left"/>
              <w:rPr>
                <w:rFonts w:ascii="arial" w:hAnsi="arial"/>
                <w:sz w:val="20"/>
              </w:rPr>
            </w:pPr>
            <w:r>
              <w:rPr>
                <w:rFonts w:ascii="arial" w:hAnsi="arial"/>
                <w:sz w:val="20"/>
              </w:rPr>
              <w:t xml:space="preserve">Code of Business Conduct and Ethics  </w:t>
            </w:r>
            <w:r>
              <w:rPr>
                <w:rFonts w:ascii="Arial" w:hAnsi="Arial"/>
                <w:b/>
                <w:color w:val="335367"/>
                <w:sz w:val="20"/>
              </w:rPr>
              <w:t>ir.tr.com/corporate-governance/code-conduct</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2"/>
        <w:gridCol w:w="101"/>
        <w:gridCol w:w="9597"/>
      </w:tblGrid>
      <w:tr>
        <w:trPr/>
        <w:tc>
          <w:tcPr>
            <w:tcW w:w="305"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0"/>
              <w:jc w:val="left"/>
              <w:rPr>
                <w:rFonts w:ascii="arial" w:hAnsi="arial"/>
                <w:sz w:val="20"/>
              </w:rPr>
            </w:pPr>
            <w:r>
              <w:rPr>
                <w:rFonts w:ascii="arial" w:hAnsi="arial"/>
                <w:sz w:val="20"/>
              </w:rPr>
              <w:t xml:space="preserve">Supply Chain Ethical Code  </w:t>
            </w:r>
            <w:r>
              <w:rPr>
                <w:rFonts w:ascii="Arial" w:hAnsi="Arial"/>
                <w:b/>
                <w:color w:val="335367"/>
                <w:sz w:val="20"/>
              </w:rPr>
              <w:t>www.tr.com/en/resources/global-sourcing-procurement.html</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2"/>
        <w:gridCol w:w="101"/>
        <w:gridCol w:w="9597"/>
      </w:tblGrid>
      <w:tr>
        <w:trPr/>
        <w:tc>
          <w:tcPr>
            <w:tcW w:w="305"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0"/>
              <w:jc w:val="left"/>
              <w:rPr>
                <w:rFonts w:ascii="arial" w:hAnsi="arial"/>
                <w:sz w:val="20"/>
              </w:rPr>
            </w:pPr>
            <w:r>
              <w:rPr>
                <w:rFonts w:ascii="arial" w:hAnsi="arial"/>
                <w:sz w:val="20"/>
              </w:rPr>
              <w:t xml:space="preserve">Human Rights Policy  </w:t>
            </w:r>
            <w:r>
              <w:rPr>
                <w:rFonts w:ascii="Arial" w:hAnsi="Arial"/>
                <w:b/>
                <w:color w:val="335367"/>
                <w:sz w:val="20"/>
              </w:rPr>
              <w:t xml:space="preserve">www.tr.com/en/policies/human-rights-policy.html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100"/>
        <w:gridCol w:w="9597"/>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0"/>
              <w:jc w:val="left"/>
              <w:rPr>
                <w:rFonts w:ascii="arial" w:hAnsi="arial"/>
                <w:sz w:val="20"/>
              </w:rPr>
            </w:pPr>
            <w:r>
              <w:rPr>
                <w:rFonts w:ascii="arial" w:hAnsi="arial"/>
                <w:sz w:val="20"/>
              </w:rPr>
              <w:t xml:space="preserve">Modern Slavery Act Transparency Statement  </w:t>
            </w:r>
            <w:r>
              <w:rPr>
                <w:rFonts w:ascii="Arial" w:hAnsi="Arial"/>
                <w:b/>
                <w:color w:val="335367"/>
                <w:sz w:val="20"/>
              </w:rPr>
              <w:t xml:space="preserve">www.tr.com/en/modern-slavery-act.html </w:t>
            </w:r>
          </w:p>
        </w:tc>
      </w:tr>
    </w:tbl>
    <w:p>
      <w:pPr>
        <w:pStyle w:val="TextBody"/>
        <w:spacing w:before="240" w:after="0"/>
        <w:jc w:val="left"/>
        <w:rPr>
          <w:rFonts w:ascii="Arial" w:hAnsi="Arial"/>
          <w:b/>
          <w:sz w:val="20"/>
        </w:rPr>
      </w:pPr>
      <w:r>
        <w:rPr>
          <w:rFonts w:ascii="Arial" w:hAnsi="Arial"/>
          <w:b/>
          <w:sz w:val="20"/>
        </w:rPr>
        <w:t>Products and Services </w:t>
      </w:r>
      <w:r>
        <w:rPr>
          <w:rFonts w:ascii="Arial" w:hAnsi="Arial"/>
          <w:b/>
          <w:color w:val="335367"/>
          <w:sz w:val="20"/>
        </w:rPr>
        <w:t xml:space="preserve"> www.tr.com</w:t>
      </w:r>
      <w:r>
        <w:rPr>
          <w:rFonts w:ascii="Arial" w:hAnsi="Arial"/>
          <w:b/>
          <w:sz w:val="20"/>
        </w:rPr>
        <w:t xml:space="preserve"> </w:t>
      </w:r>
    </w:p>
    <w:p>
      <w:pPr>
        <w:pStyle w:val="TextBody"/>
        <w:spacing w:before="240" w:after="0"/>
        <w:jc w:val="left"/>
        <w:rPr>
          <w:rFonts w:ascii="Arial" w:hAnsi="Arial"/>
          <w:b/>
          <w:sz w:val="20"/>
        </w:rPr>
      </w:pPr>
      <w:r>
        <w:rPr>
          <w:rFonts w:ascii="Arial" w:hAnsi="Arial"/>
          <w:b/>
          <w:sz w:val="20"/>
        </w:rPr>
        <w:t>Investor Relations </w:t>
      </w:r>
      <w:r>
        <w:rPr>
          <w:rFonts w:ascii="Arial" w:hAnsi="Arial"/>
          <w:b/>
          <w:color w:val="335367"/>
          <w:sz w:val="20"/>
        </w:rPr>
        <w:t xml:space="preserve"> ir.tr.com</w:t>
      </w:r>
      <w:r>
        <w:rPr>
          <w:rFonts w:ascii="Arial" w:hAnsi="Arial"/>
          <w:b/>
          <w:sz w:val="20"/>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4" w:name="toc"/>
      <w:bookmarkEnd w:id="4"/>
      <w:r>
        <w:rPr>
          <w:rFonts w:ascii="arial" w:hAnsi="arial"/>
          <w:color w:val="B94831"/>
          <w:sz w:val="52"/>
        </w:rPr>
        <w:t xml:space="preserve">Frequently Referenced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27"/>
        <w:gridCol w:w="136"/>
        <w:gridCol w:w="60"/>
        <w:gridCol w:w="719"/>
        <w:gridCol w:w="63"/>
      </w:tblGrid>
      <w:tr>
        <w:trPr/>
        <w:tc>
          <w:tcPr>
            <w:tcW w:w="922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27" w:type="dxa"/>
            <w:tcBorders/>
            <w:shd w:fill="auto" w:val="clear"/>
            <w:vAlign w:val="bottom"/>
          </w:tcPr>
          <w:p>
            <w:pPr>
              <w:pStyle w:val="TableContents"/>
              <w:spacing w:before="0" w:after="0"/>
              <w:rPr/>
            </w:pPr>
            <w:hyperlink w:anchor="tx494196_1">
              <w:r>
                <w:rPr>
                  <w:rStyle w:val="InternetLink"/>
                  <w:rFonts w:ascii="arial" w:hAnsi="arial"/>
                  <w:sz w:val="20"/>
                </w:rPr>
                <w:t>Auditor Fees</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61</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2">
              <w:r>
                <w:rPr>
                  <w:rStyle w:val="InternetLink"/>
                  <w:rFonts w:ascii="arial" w:hAnsi="arial"/>
                  <w:sz w:val="20"/>
                </w:rPr>
                <w:t>Director Biographies</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29-36</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3">
              <w:r>
                <w:rPr>
                  <w:rStyle w:val="InternetLink"/>
                  <w:rFonts w:ascii="arial" w:hAnsi="arial"/>
                  <w:sz w:val="20"/>
                </w:rPr>
                <w:t>Director Compensation</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37-40</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4">
              <w:r>
                <w:rPr>
                  <w:rStyle w:val="InternetLink"/>
                  <w:rFonts w:ascii="arial" w:hAnsi="arial"/>
                  <w:sz w:val="20"/>
                </w:rPr>
                <w:t>Director Independence</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26-27</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5">
              <w:r>
                <w:rPr>
                  <w:rStyle w:val="InternetLink"/>
                  <w:rFonts w:ascii="arial" w:hAnsi="arial"/>
                  <w:sz w:val="20"/>
                </w:rPr>
                <w:t>ESG</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6">
              <w:r>
                <w:rPr>
                  <w:rStyle w:val="InternetLink"/>
                  <w:rFonts w:ascii="arial" w:hAnsi="arial"/>
                  <w:sz w:val="20"/>
                </w:rPr>
                <w:t>Executive Compensation</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96-108</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7">
              <w:r>
                <w:rPr>
                  <w:rStyle w:val="InternetLink"/>
                  <w:rFonts w:ascii="arial" w:hAnsi="arial"/>
                  <w:sz w:val="20"/>
                </w:rPr>
                <w:t>Financial Performance</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69</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8">
              <w:r>
                <w:rPr>
                  <w:rStyle w:val="InternetLink"/>
                  <w:rFonts w:ascii="arial" w:hAnsi="arial"/>
                  <w:sz w:val="20"/>
                </w:rPr>
                <w:t>Human Capital Management</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58-59</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9">
              <w:r>
                <w:rPr>
                  <w:rStyle w:val="InternetLink"/>
                  <w:rFonts w:ascii="arial" w:hAnsi="arial"/>
                  <w:sz w:val="20"/>
                </w:rPr>
                <w:t>Peer Groups</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77-78</w:t>
            </w:r>
          </w:p>
        </w:tc>
        <w:tc>
          <w:tcPr>
            <w:tcW w:w="63" w:type="dxa"/>
            <w:tcBorders/>
            <w:shd w:fill="auto" w:val="clear"/>
            <w:vAlign w:val="bottom"/>
          </w:tcPr>
          <w:p>
            <w:pPr>
              <w:pStyle w:val="TableContents"/>
              <w:spacing w:before="0" w:after="283"/>
              <w:rPr/>
            </w:pPr>
            <w:r>
              <w:rPr/>
              <w:t> </w:t>
            </w:r>
          </w:p>
        </w:tc>
      </w:tr>
      <w:tr>
        <w:trPr/>
        <w:tc>
          <w:tcPr>
            <w:tcW w:w="9227" w:type="dxa"/>
            <w:tcBorders/>
            <w:shd w:fill="auto" w:val="clear"/>
            <w:vAlign w:val="bottom"/>
          </w:tcPr>
          <w:p>
            <w:pPr>
              <w:pStyle w:val="TableContents"/>
              <w:spacing w:before="0" w:after="0"/>
              <w:rPr/>
            </w:pPr>
            <w:hyperlink w:anchor="tx494196_10">
              <w:r>
                <w:rPr>
                  <w:rStyle w:val="InternetLink"/>
                  <w:rFonts w:ascii="arial" w:hAnsi="arial"/>
                  <w:sz w:val="20"/>
                </w:rPr>
                <w:t>Say on Pay</w:t>
              </w:r>
            </w:hyperlink>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9"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bl>
    <w:p>
      <w:pPr>
        <w:pStyle w:val="TextBody"/>
        <w:spacing w:before="440" w:after="0"/>
        <w:jc w:val="left"/>
        <w:rPr>
          <w:rFonts w:ascii="arial" w:hAnsi="arial"/>
          <w:color w:val="B94831"/>
          <w:sz w:val="52"/>
        </w:rPr>
      </w:pPr>
      <w:r>
        <w:rPr>
          <w:rFonts w:ascii="arial" w:hAnsi="arial"/>
          <w:color w:val="B94831"/>
          <w:sz w:val="52"/>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5"/>
        <w:gridCol w:w="130"/>
        <w:gridCol w:w="60"/>
        <w:gridCol w:w="267"/>
        <w:gridCol w:w="63"/>
      </w:tblGrid>
      <w:tr>
        <w:trPr/>
        <w:tc>
          <w:tcPr>
            <w:tcW w:w="968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85" w:type="dxa"/>
            <w:tcBorders/>
            <w:shd w:fill="auto" w:val="clear"/>
            <w:vAlign w:val="bottom"/>
          </w:tcPr>
          <w:p>
            <w:pPr>
              <w:pStyle w:val="TableContents"/>
              <w:spacing w:before="0" w:after="0"/>
              <w:rPr/>
            </w:pPr>
            <w:hyperlink w:anchor="tx494196_11">
              <w:r>
                <w:rPr>
                  <w:rStyle w:val="InternetLink"/>
                  <w:rFonts w:ascii="arial" w:hAnsi="arial"/>
                  <w:sz w:val="20"/>
                </w:rPr>
                <w:t>Fast Facts About Thomson Reuters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2">
              <w:r>
                <w:rPr>
                  <w:rStyle w:val="InternetLink"/>
                  <w:rFonts w:ascii="arial" w:hAnsi="arial"/>
                  <w:sz w:val="20"/>
                </w:rPr>
                <w:t>About this Circular and Related Proxy Materials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3">
              <w:r>
                <w:rPr>
                  <w:rStyle w:val="InternetLink"/>
                  <w:rFonts w:ascii="arial" w:hAnsi="arial"/>
                  <w:sz w:val="20"/>
                </w:rPr>
                <w:t>Business of the Meeting</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4">
              <w:r>
                <w:rPr>
                  <w:rStyle w:val="InternetLink"/>
                  <w:rFonts w:ascii="arial" w:hAnsi="arial"/>
                  <w:sz w:val="20"/>
                </w:rPr>
                <w:t>Voting Information and How to Attend</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5">
              <w:r>
                <w:rPr>
                  <w:rStyle w:val="InternetLink"/>
                  <w:rFonts w:ascii="arial" w:hAnsi="arial"/>
                  <w:sz w:val="20"/>
                </w:rPr>
                <w:t>Annual and Quarterly Financial Statements and Related MD&amp;A</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6">
              <w:r>
                <w:rPr>
                  <w:rStyle w:val="InternetLink"/>
                  <w:rFonts w:ascii="arial" w:hAnsi="arial"/>
                  <w:sz w:val="20"/>
                </w:rPr>
                <w:t>Notice-and-Access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7">
              <w:r>
                <w:rPr>
                  <w:rStyle w:val="InternetLink"/>
                  <w:rFonts w:ascii="arial" w:hAnsi="arial"/>
                  <w:sz w:val="20"/>
                </w:rPr>
                <w:t>Electronic Delivery of Shareholder Communications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8">
              <w:r>
                <w:rPr>
                  <w:rStyle w:val="InternetLink"/>
                  <w:rFonts w:ascii="arial" w:hAnsi="arial"/>
                  <w:sz w:val="20"/>
                </w:rPr>
                <w:t>Principal Shareholder and Share Capital</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19">
              <w:r>
                <w:rPr>
                  <w:rStyle w:val="InternetLink"/>
                  <w:rFonts w:ascii="arial" w:hAnsi="arial"/>
                  <w:sz w:val="20"/>
                </w:rPr>
                <w:t>About Our Directors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0">
              <w:r>
                <w:rPr>
                  <w:rStyle w:val="InternetLink"/>
                  <w:rFonts w:ascii="arial" w:hAnsi="arial"/>
                  <w:sz w:val="20"/>
                </w:rPr>
                <w:t>Nominee Information</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1">
              <w:r>
                <w:rPr>
                  <w:rStyle w:val="InternetLink"/>
                  <w:rFonts w:ascii="arial" w:hAnsi="arial"/>
                  <w:sz w:val="20"/>
                </w:rPr>
                <w:t>Director Compensation and Share Ownership</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37</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2">
              <w:r>
                <w:rPr>
                  <w:rStyle w:val="InternetLink"/>
                  <w:rFonts w:ascii="arial" w:hAnsi="arial"/>
                  <w:sz w:val="20"/>
                </w:rPr>
                <w:t>Corporate Governance Practices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3">
              <w:r>
                <w:rPr>
                  <w:rStyle w:val="InternetLink"/>
                  <w:rFonts w:ascii="arial" w:hAnsi="arial"/>
                  <w:sz w:val="20"/>
                </w:rPr>
                <w:t>Board Composition and Responsibilities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4">
              <w:r>
                <w:rPr>
                  <w:rStyle w:val="InternetLink"/>
                  <w:rFonts w:ascii="arial" w:hAnsi="arial"/>
                  <w:sz w:val="20"/>
                </w:rPr>
                <w:t>Director Attendance</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47</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5">
              <w:r>
                <w:rPr>
                  <w:rStyle w:val="InternetLink"/>
                  <w:rFonts w:ascii="arial" w:hAnsi="arial"/>
                  <w:sz w:val="20"/>
                </w:rPr>
                <w:t>Controlled Company</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48</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6">
              <w:r>
                <w:rPr>
                  <w:rStyle w:val="InternetLink"/>
                  <w:rFonts w:ascii="arial" w:hAnsi="arial"/>
                  <w:sz w:val="20"/>
                </w:rPr>
                <w:t>Board Committees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7">
              <w:r>
                <w:rPr>
                  <w:rStyle w:val="InternetLink"/>
                  <w:rFonts w:ascii="arial" w:hAnsi="arial"/>
                  <w:sz w:val="20"/>
                </w:rPr>
                <w:t>Audit Committee</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50</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8">
              <w:r>
                <w:rPr>
                  <w:rStyle w:val="InternetLink"/>
                  <w:rFonts w:ascii="arial" w:hAnsi="arial"/>
                  <w:sz w:val="20"/>
                </w:rPr>
                <w:t>Corporate Governance Committee</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54</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29">
              <w:r>
                <w:rPr>
                  <w:rStyle w:val="InternetLink"/>
                  <w:rFonts w:ascii="arial" w:hAnsi="arial"/>
                  <w:sz w:val="20"/>
                </w:rPr>
                <w:t>HR Committee</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0">
              <w:r>
                <w:rPr>
                  <w:rStyle w:val="InternetLink"/>
                  <w:rFonts w:ascii="arial" w:hAnsi="arial"/>
                  <w:sz w:val="20"/>
                </w:rPr>
                <w:t>Risk Committee</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59</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1">
              <w:r>
                <w:rPr>
                  <w:rStyle w:val="InternetLink"/>
                  <w:rFonts w:ascii="arial" w:hAnsi="arial"/>
                  <w:sz w:val="20"/>
                </w:rPr>
                <w:t>Joint Audit Committee and Risk Committee Meetings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60</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2">
              <w:r>
                <w:rPr>
                  <w:rStyle w:val="InternetLink"/>
                  <w:rFonts w:ascii="arial" w:hAnsi="arial"/>
                  <w:sz w:val="20"/>
                </w:rPr>
                <w:t>About Our Independent Auditor</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61</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3">
              <w:r>
                <w:rPr>
                  <w:rStyle w:val="InternetLink"/>
                  <w:rFonts w:ascii="arial" w:hAnsi="arial"/>
                  <w:sz w:val="20"/>
                </w:rPr>
                <w:t>Stakeholder Engagement</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62</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4">
              <w:r>
                <w:rPr>
                  <w:rStyle w:val="InternetLink"/>
                  <w:rFonts w:ascii="arial" w:hAnsi="arial"/>
                  <w:sz w:val="20"/>
                </w:rPr>
                <w:t>ESG</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5">
              <w:r>
                <w:rPr>
                  <w:rStyle w:val="InternetLink"/>
                  <w:rFonts w:ascii="arial" w:hAnsi="arial"/>
                  <w:sz w:val="20"/>
                </w:rPr>
                <w:t>Advisory Resolution on Executive Compensation (Say on Pay)</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6">
              <w:r>
                <w:rPr>
                  <w:rStyle w:val="InternetLink"/>
                  <w:rFonts w:ascii="arial" w:hAnsi="arial"/>
                  <w:sz w:val="20"/>
                </w:rPr>
                <w:t>Compensation Discussion and Analysis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7">
              <w:r>
                <w:rPr>
                  <w:rStyle w:val="InternetLink"/>
                  <w:rFonts w:ascii="arial" w:hAnsi="arial"/>
                  <w:sz w:val="20"/>
                </w:rPr>
                <w:t>Executive Summary</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8">
              <w:r>
                <w:rPr>
                  <w:rStyle w:val="InternetLink"/>
                  <w:rFonts w:ascii="arial" w:hAnsi="arial"/>
                  <w:sz w:val="20"/>
                </w:rPr>
                <w:t>Key 2023 Compensation Developments and Decisions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71</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39">
              <w:r>
                <w:rPr>
                  <w:rStyle w:val="InternetLink"/>
                  <w:rFonts w:ascii="arial" w:hAnsi="arial"/>
                  <w:sz w:val="20"/>
                </w:rPr>
                <w:t>Our 2022 Compensation Program</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72</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40">
              <w:r>
                <w:rPr>
                  <w:rStyle w:val="InternetLink"/>
                  <w:rFonts w:ascii="arial" w:hAnsi="arial"/>
                  <w:sz w:val="20"/>
                </w:rPr>
                <w:t>Our Process for Designing and Determining Executive Compensation</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73</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41">
              <w:r>
                <w:rPr>
                  <w:rStyle w:val="InternetLink"/>
                  <w:rFonts w:ascii="arial" w:hAnsi="arial"/>
                  <w:sz w:val="20"/>
                </w:rPr>
                <w:t>Our Key Compensation Principles</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74</w:t>
            </w:r>
          </w:p>
        </w:tc>
        <w:tc>
          <w:tcPr>
            <w:tcW w:w="63" w:type="dxa"/>
            <w:tcBorders/>
            <w:shd w:fill="auto" w:val="clear"/>
            <w:vAlign w:val="bottom"/>
          </w:tcPr>
          <w:p>
            <w:pPr>
              <w:pStyle w:val="TableContents"/>
              <w:spacing w:before="0" w:after="283"/>
              <w:rPr/>
            </w:pPr>
            <w:r>
              <w:rPr/>
              <w:t> </w:t>
            </w:r>
          </w:p>
        </w:tc>
      </w:tr>
      <w:tr>
        <w:trPr/>
        <w:tc>
          <w:tcPr>
            <w:tcW w:w="9685" w:type="dxa"/>
            <w:tcBorders/>
            <w:shd w:fill="auto" w:val="clear"/>
            <w:vAlign w:val="bottom"/>
          </w:tcPr>
          <w:p>
            <w:pPr>
              <w:pStyle w:val="TableContents"/>
              <w:spacing w:before="0" w:after="0"/>
              <w:rPr/>
            </w:pPr>
            <w:hyperlink w:anchor="tx494196_42">
              <w:r>
                <w:rPr>
                  <w:rStyle w:val="InternetLink"/>
                  <w:rFonts w:ascii="arial" w:hAnsi="arial"/>
                  <w:sz w:val="20"/>
                </w:rPr>
                <w:t>2022 Compensation</w:t>
              </w:r>
            </w:hyperlink>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529"/>
        <w:gridCol w:w="156"/>
        <w:gridCol w:w="60"/>
        <w:gridCol w:w="398"/>
        <w:gridCol w:w="62"/>
      </w:tblGrid>
      <w:tr>
        <w:trPr/>
        <w:tc>
          <w:tcPr>
            <w:tcW w:w="952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529" w:type="dxa"/>
            <w:tcBorders/>
            <w:shd w:fill="auto" w:val="clear"/>
            <w:vAlign w:val="bottom"/>
          </w:tcPr>
          <w:p>
            <w:pPr>
              <w:pStyle w:val="TableContents"/>
              <w:spacing w:before="0" w:after="0"/>
              <w:rPr/>
            </w:pPr>
            <w:hyperlink w:anchor="tx494196_43">
              <w:r>
                <w:rPr>
                  <w:rStyle w:val="InternetLink"/>
                  <w:rFonts w:ascii="arial" w:hAnsi="arial"/>
                  <w:sz w:val="20"/>
                </w:rPr>
                <w:t>2022 Named Executive Officer Compensation and Key Accomplishments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86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4">
              <w:r>
                <w:rPr>
                  <w:rStyle w:val="InternetLink"/>
                  <w:rFonts w:ascii="arial" w:hAnsi="arial"/>
                  <w:sz w:val="20"/>
                </w:rPr>
                <w:t>Performance Graphs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92</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5">
              <w:r>
                <w:rPr>
                  <w:rStyle w:val="InternetLink"/>
                  <w:rFonts w:ascii="arial" w:hAnsi="arial"/>
                  <w:sz w:val="20"/>
                </w:rPr>
                <w:t>Historic Named Executive Officer Compensation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93</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6">
              <w:r>
                <w:rPr>
                  <w:rStyle w:val="InternetLink"/>
                  <w:rFonts w:ascii="arial" w:hAnsi="arial"/>
                  <w:sz w:val="20"/>
                </w:rPr>
                <w:t>Executive Compensation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96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7">
              <w:r>
                <w:rPr>
                  <w:rStyle w:val="InternetLink"/>
                  <w:rFonts w:ascii="arial" w:hAnsi="arial"/>
                  <w:sz w:val="20"/>
                </w:rPr>
                <w:t>Summary Compensation Table</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96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8">
              <w:r>
                <w:rPr>
                  <w:rStyle w:val="InternetLink"/>
                  <w:rFonts w:ascii="arial" w:hAnsi="arial"/>
                  <w:sz w:val="20"/>
                </w:rPr>
                <w:t>Incentive Plan Awards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98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49">
              <w:r>
                <w:rPr>
                  <w:rStyle w:val="InternetLink"/>
                  <w:rFonts w:ascii="arial" w:hAnsi="arial"/>
                  <w:sz w:val="20"/>
                </w:rPr>
                <w:t>Pension and Other Retirement Benefits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100</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
              <w:r>
                <w:rPr>
                  <w:rStyle w:val="InternetLink"/>
                  <w:rFonts w:ascii="arial" w:hAnsi="arial"/>
                  <w:sz w:val="20"/>
                </w:rPr>
                <w:t>Termination Benefits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102</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0">
              <w:r>
                <w:rPr>
                  <w:rStyle w:val="InternetLink"/>
                  <w:rFonts w:ascii="arial" w:hAnsi="arial"/>
                  <w:sz w:val="20"/>
                </w:rPr>
                <w:t>Information Regarding the Return of Capital Transaction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109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1">
              <w:r>
                <w:rPr>
                  <w:rStyle w:val="InternetLink"/>
                  <w:rFonts w:ascii="arial" w:hAnsi="arial"/>
                  <w:sz w:val="20"/>
                </w:rPr>
                <w:t>Background to and Reasons for the Return of Capital Transaction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109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2">
              <w:r>
                <w:rPr>
                  <w:rStyle w:val="InternetLink"/>
                  <w:rFonts w:ascii="arial" w:hAnsi="arial"/>
                  <w:sz w:val="20"/>
                </w:rPr>
                <w:t>Recommendation of the Board of Directors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3">
              <w:r>
                <w:rPr>
                  <w:rStyle w:val="InternetLink"/>
                  <w:rFonts w:ascii="arial" w:hAnsi="arial"/>
                  <w:sz w:val="20"/>
                </w:rPr>
                <w:t>Notice to U.S. Shareholders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4">
              <w:r>
                <w:rPr>
                  <w:rStyle w:val="InternetLink"/>
                  <w:rFonts w:ascii="arial" w:hAnsi="arial"/>
                  <w:sz w:val="20"/>
                </w:rPr>
                <w:t>Terms of the Arrangement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5">
              <w:r>
                <w:rPr>
                  <w:rStyle w:val="InternetLink"/>
                  <w:rFonts w:ascii="arial" w:hAnsi="arial"/>
                  <w:sz w:val="20"/>
                </w:rPr>
                <w:t>Dividends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6">
              <w:r>
                <w:rPr>
                  <w:rStyle w:val="InternetLink"/>
                  <w:rFonts w:ascii="arial" w:hAnsi="arial"/>
                  <w:sz w:val="20"/>
                </w:rPr>
                <w:t>Stock Exchange Listings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7">
              <w:r>
                <w:rPr>
                  <w:rStyle w:val="InternetLink"/>
                  <w:rFonts w:ascii="arial" w:hAnsi="arial"/>
                  <w:sz w:val="20"/>
                </w:rPr>
                <w:t>Required Shareholder Approval</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116</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8">
              <w:r>
                <w:rPr>
                  <w:rStyle w:val="InternetLink"/>
                  <w:rFonts w:ascii="arial" w:hAnsi="arial"/>
                  <w:sz w:val="20"/>
                </w:rPr>
                <w:t>Court Approval of the Arrangement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117</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09">
              <w:r>
                <w:rPr>
                  <w:rStyle w:val="InternetLink"/>
                  <w:rFonts w:ascii="arial" w:hAnsi="arial"/>
                  <w:sz w:val="20"/>
                </w:rPr>
                <w:t>Filing of Articles of Arrangement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117</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0">
              <w:r>
                <w:rPr>
                  <w:rStyle w:val="InternetLink"/>
                  <w:rFonts w:ascii="arial" w:hAnsi="arial"/>
                  <w:sz w:val="20"/>
                </w:rPr>
                <w:t>Interest of Certain Persons in Matters to be Acted Upon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1">
              <w:r>
                <w:rPr>
                  <w:rStyle w:val="InternetLink"/>
                  <w:rFonts w:ascii="arial" w:hAnsi="arial"/>
                  <w:sz w:val="20"/>
                </w:rPr>
                <w:t>Risk Factors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2">
              <w:r>
                <w:rPr>
                  <w:rStyle w:val="InternetLink"/>
                  <w:rFonts w:ascii="arial" w:hAnsi="arial"/>
                  <w:sz w:val="20"/>
                </w:rPr>
                <w:t>Depositary</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3">
              <w:r>
                <w:rPr>
                  <w:rStyle w:val="InternetLink"/>
                  <w:rFonts w:ascii="arial" w:hAnsi="arial"/>
                  <w:sz w:val="20"/>
                </w:rPr>
                <w:t>Information Agent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4">
              <w:r>
                <w:rPr>
                  <w:rStyle w:val="InternetLink"/>
                  <w:rFonts w:ascii="arial" w:hAnsi="arial"/>
                  <w:sz w:val="20"/>
                </w:rPr>
                <w:t>Income Tax Considerations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5">
              <w:r>
                <w:rPr>
                  <w:rStyle w:val="InternetLink"/>
                  <w:rFonts w:ascii="arial" w:hAnsi="arial"/>
                  <w:sz w:val="20"/>
                </w:rPr>
                <w:t>Certain Canadian Federal Income Tax Considerations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119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6">
              <w:r>
                <w:rPr>
                  <w:rStyle w:val="InternetLink"/>
                  <w:rFonts w:ascii="arial" w:hAnsi="arial"/>
                  <w:sz w:val="20"/>
                </w:rPr>
                <w:t>Certain U.S. Federal Income Tax Considerations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1">
              <w:r>
                <w:rPr>
                  <w:rStyle w:val="InternetLink"/>
                  <w:rFonts w:ascii="arial" w:hAnsi="arial"/>
                  <w:sz w:val="20"/>
                </w:rPr>
                <w:t>Indebtedness of Officers, Directors and Employees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2">
              <w:r>
                <w:rPr>
                  <w:rStyle w:val="InternetLink"/>
                  <w:rFonts w:ascii="arial" w:hAnsi="arial"/>
                  <w:sz w:val="20"/>
                </w:rPr>
                <w:t>Directors and Officers Indemnification and Insurance</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128</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3">
              <w:r>
                <w:rPr>
                  <w:rStyle w:val="InternetLink"/>
                  <w:rFonts w:ascii="arial" w:hAnsi="arial"/>
                  <w:sz w:val="20"/>
                </w:rPr>
                <w:t>Additional Information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4">
              <w:r>
                <w:rPr>
                  <w:rStyle w:val="InternetLink"/>
                  <w:rFonts w:ascii="arial" w:hAnsi="arial"/>
                  <w:sz w:val="20"/>
                </w:rPr>
                <w:t>Non-IFRS Financial Measures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5">
              <w:r>
                <w:rPr>
                  <w:rStyle w:val="InternetLink"/>
                  <w:rFonts w:ascii="arial" w:hAnsi="arial"/>
                  <w:sz w:val="20"/>
                </w:rPr>
                <w:t>How to Contact the Board</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6">
              <w:r>
                <w:rPr>
                  <w:rStyle w:val="InternetLink"/>
                  <w:rFonts w:ascii="arial" w:hAnsi="arial"/>
                  <w:sz w:val="20"/>
                </w:rPr>
                <w:t>2023 Annual Meeting  Questions from Shareholders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7">
              <w:r>
                <w:rPr>
                  <w:rStyle w:val="InternetLink"/>
                  <w:rFonts w:ascii="arial" w:hAnsi="arial"/>
                  <w:sz w:val="20"/>
                </w:rPr>
                <w:t>Where to find Corporate Governance and Continuous Disclosure Documents</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129</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8">
              <w:r>
                <w:rPr>
                  <w:rStyle w:val="InternetLink"/>
                  <w:rFonts w:ascii="arial" w:hAnsi="arial"/>
                  <w:sz w:val="20"/>
                </w:rPr>
                <w:t>Thomson Reuters Trust Principles and Thomson Reuters Founders Share Company</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130</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59">
              <w:r>
                <w:rPr>
                  <w:rStyle w:val="InternetLink"/>
                  <w:rFonts w:ascii="arial" w:hAnsi="arial"/>
                  <w:sz w:val="20"/>
                </w:rPr>
                <w:t>Additional Director Information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130</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0">
              <w:r>
                <w:rPr>
                  <w:rStyle w:val="InternetLink"/>
                  <w:rFonts w:ascii="arial" w:hAnsi="arial"/>
                  <w:sz w:val="20"/>
                </w:rPr>
                <w:t>Share Repurchases  Normal Course Issuer Bid</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130</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1">
              <w:r>
                <w:rPr>
                  <w:rStyle w:val="InternetLink"/>
                  <w:rFonts w:ascii="arial" w:hAnsi="arial"/>
                  <w:sz w:val="20"/>
                </w:rPr>
                <w:t>Directors Approval</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131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2">
              <w:r>
                <w:rPr>
                  <w:rStyle w:val="InternetLink"/>
                  <w:rFonts w:ascii="arial" w:hAnsi="arial"/>
                  <w:sz w:val="20"/>
                </w:rPr>
                <w:t>Appendix A  Equity Compensation and Other Plan Information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A-1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3">
              <w:r>
                <w:rPr>
                  <w:rStyle w:val="InternetLink"/>
                  <w:rFonts w:ascii="arial" w:hAnsi="arial"/>
                  <w:sz w:val="20"/>
                </w:rPr>
                <w:t>Appendix B  Special Resolution</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B-1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4">
              <w:r>
                <w:rPr>
                  <w:rStyle w:val="InternetLink"/>
                  <w:rFonts w:ascii="arial" w:hAnsi="arial"/>
                  <w:sz w:val="20"/>
                </w:rPr>
                <w:t>Appendix C  Plan of Arrangement</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C-1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5">
              <w:r>
                <w:rPr>
                  <w:rStyle w:val="InternetLink"/>
                  <w:rFonts w:ascii="arial" w:hAnsi="arial"/>
                  <w:sz w:val="20"/>
                </w:rPr>
                <w:t>Appendix D  Interim Order</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D-1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6">
              <w:r>
                <w:rPr>
                  <w:rStyle w:val="InternetLink"/>
                  <w:rFonts w:ascii="arial" w:hAnsi="arial"/>
                  <w:sz w:val="20"/>
                </w:rPr>
                <w:t>Appendix E  Notice of Application for Final Order</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E-1</w:t>
            </w:r>
          </w:p>
        </w:tc>
        <w:tc>
          <w:tcPr>
            <w:tcW w:w="62" w:type="dxa"/>
            <w:tcBorders/>
            <w:shd w:fill="auto" w:val="clear"/>
            <w:vAlign w:val="bottom"/>
          </w:tcPr>
          <w:p>
            <w:pPr>
              <w:pStyle w:val="TableContents"/>
              <w:spacing w:before="0" w:after="283"/>
              <w:rPr/>
            </w:pPr>
            <w:r>
              <w:rPr/>
              <w:t> </w:t>
            </w:r>
          </w:p>
        </w:tc>
      </w:tr>
      <w:tr>
        <w:trPr/>
        <w:tc>
          <w:tcPr>
            <w:tcW w:w="9529" w:type="dxa"/>
            <w:tcBorders/>
            <w:shd w:fill="auto" w:val="clear"/>
            <w:vAlign w:val="bottom"/>
          </w:tcPr>
          <w:p>
            <w:pPr>
              <w:pStyle w:val="TableContents"/>
              <w:spacing w:before="0" w:after="0"/>
              <w:rPr/>
            </w:pPr>
            <w:hyperlink w:anchor="tx494196_67">
              <w:r>
                <w:rPr>
                  <w:rStyle w:val="InternetLink"/>
                  <w:rFonts w:ascii="arial" w:hAnsi="arial"/>
                  <w:sz w:val="20"/>
                </w:rPr>
                <w:t>Appendix F  Withdrawn Proposal</w:t>
              </w:r>
            </w:hyperlink>
          </w:p>
        </w:tc>
        <w:tc>
          <w:tcPr>
            <w:tcW w:w="1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pPr>
            <w:r>
              <w:rPr/>
              <w:t>F-1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r>
        <w:rPr>
          <w:rFonts w:ascii="arial" w:hAnsi="arial"/>
          <w:color w:val="B94831"/>
          <w:sz w:val="52"/>
        </w:rPr>
        <w:t xml:space="preserve">Glossary of Terms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In this circular, unless the subject matter or context of this circular is inconsistent with these defined terms the following terms have the following meanings: </w:t>
      </w:r>
    </w:p>
    <w:p>
      <w:pPr>
        <w:pStyle w:val="TextBody"/>
        <w:spacing w:before="120" w:after="0"/>
        <w:jc w:val="left"/>
        <w:rPr>
          <w:rFonts w:ascii="arial" w:hAnsi="arial"/>
          <w:sz w:val="20"/>
        </w:rPr>
      </w:pPr>
      <w:r>
        <w:rPr>
          <w:rFonts w:ascii="arial" w:hAnsi="arial"/>
          <w:sz w:val="20"/>
        </w:rPr>
        <w:t></w:t>
      </w:r>
      <w:r>
        <w:rPr>
          <w:rFonts w:ascii="Arial" w:hAnsi="Arial"/>
          <w:b/>
          <w:sz w:val="20"/>
        </w:rPr>
        <w:t>Aggregate Cash Distribution Amount</w:t>
      </w:r>
      <w:r>
        <w:rPr>
          <w:rFonts w:ascii="arial" w:hAnsi="arial"/>
          <w:sz w:val="20"/>
        </w:rPr>
        <w:t xml:space="preserve"> means the Cash Distribution Per Share multiplied by the number of participating shares issued and outstanding immediately prior to the Effective Time. </w:t>
      </w:r>
    </w:p>
    <w:p>
      <w:pPr>
        <w:pStyle w:val="TextBody"/>
        <w:spacing w:before="120" w:after="0"/>
        <w:jc w:val="left"/>
        <w:rPr>
          <w:rFonts w:ascii="arial" w:hAnsi="arial"/>
          <w:sz w:val="20"/>
        </w:rPr>
      </w:pPr>
      <w:r>
        <w:rPr>
          <w:rFonts w:ascii="arial" w:hAnsi="arial"/>
          <w:sz w:val="20"/>
        </w:rPr>
        <w:t></w:t>
      </w:r>
      <w:r>
        <w:rPr>
          <w:rFonts w:ascii="Arial" w:hAnsi="Arial"/>
          <w:b/>
          <w:sz w:val="20"/>
        </w:rPr>
        <w:t>Arrangement</w:t>
      </w:r>
      <w:r>
        <w:rPr>
          <w:rFonts w:ascii="arial" w:hAnsi="arial"/>
          <w:sz w:val="20"/>
        </w:rPr>
        <w:t xml:space="preserve"> means the arrangement pursuant to the provisions of Section 182 of the OBCA on the terms and subject to the conditions set out in the Plan of Arrangement as supplemented, modified or amended. </w:t>
      </w:r>
    </w:p>
    <w:p>
      <w:pPr>
        <w:pStyle w:val="TextBody"/>
        <w:spacing w:before="120" w:after="0"/>
        <w:jc w:val="left"/>
        <w:rPr>
          <w:rFonts w:ascii="arial" w:hAnsi="arial"/>
          <w:sz w:val="20"/>
        </w:rPr>
      </w:pPr>
      <w:r>
        <w:rPr>
          <w:rFonts w:ascii="arial" w:hAnsi="arial"/>
          <w:sz w:val="20"/>
        </w:rPr>
        <w:t></w:t>
      </w:r>
      <w:r>
        <w:rPr>
          <w:rFonts w:ascii="Arial" w:hAnsi="Arial"/>
          <w:b/>
          <w:sz w:val="20"/>
        </w:rPr>
        <w:t>Blackstones consortium</w:t>
      </w:r>
      <w:r>
        <w:rPr>
          <w:rFonts w:ascii="arial" w:hAnsi="arial"/>
          <w:sz w:val="20"/>
        </w:rPr>
        <w:t xml:space="preserve"> means The Blackstone Group and its subsidiaries, and private equity funds affiliated with Blackstone. </w:t>
      </w:r>
    </w:p>
    <w:p>
      <w:pPr>
        <w:pStyle w:val="TextBody"/>
        <w:spacing w:before="120" w:after="0"/>
        <w:jc w:val="left"/>
        <w:rPr>
          <w:rFonts w:ascii="arial" w:hAnsi="arial"/>
          <w:sz w:val="20"/>
        </w:rPr>
      </w:pPr>
      <w:r>
        <w:rPr>
          <w:rFonts w:ascii="arial" w:hAnsi="arial"/>
          <w:sz w:val="20"/>
        </w:rPr>
        <w:t></w:t>
      </w:r>
      <w:r>
        <w:rPr>
          <w:rFonts w:ascii="Arial" w:hAnsi="Arial"/>
          <w:b/>
          <w:sz w:val="20"/>
        </w:rPr>
        <w:t>Business Day</w:t>
      </w:r>
      <w:r>
        <w:rPr>
          <w:rFonts w:ascii="arial" w:hAnsi="arial"/>
          <w:sz w:val="20"/>
        </w:rPr>
        <w:t xml:space="preserve"> means any day, other than a Saturday, a Sunday, a statutory holiday in Toronto, Ontario, Canada, or a United States federal holiday. </w:t>
      </w:r>
    </w:p>
    <w:p>
      <w:pPr>
        <w:pStyle w:val="TextBody"/>
        <w:spacing w:before="120" w:after="0"/>
        <w:jc w:val="left"/>
        <w:rPr>
          <w:rFonts w:ascii="arial" w:hAnsi="arial"/>
          <w:sz w:val="20"/>
        </w:rPr>
      </w:pPr>
      <w:r>
        <w:rPr>
          <w:rFonts w:ascii="arial" w:hAnsi="arial"/>
          <w:sz w:val="20"/>
        </w:rPr>
        <w:t></w:t>
      </w:r>
      <w:r>
        <w:rPr>
          <w:rFonts w:ascii="Arial" w:hAnsi="Arial"/>
          <w:b/>
          <w:sz w:val="20"/>
        </w:rPr>
        <w:t>Canadian Resident Shareholder</w:t>
      </w:r>
      <w:r>
        <w:rPr>
          <w:rFonts w:ascii="arial" w:hAnsi="arial"/>
          <w:sz w:val="20"/>
        </w:rPr>
        <w:t xml:space="preserve"> has the meaning set forth in the section entitled Income Tax Considerations  Certain Canadian Federal Income Tax Considerations  Shareholders Resident in Canada. </w:t>
      </w:r>
    </w:p>
    <w:p>
      <w:pPr>
        <w:pStyle w:val="TextBody"/>
        <w:spacing w:before="120" w:after="0"/>
        <w:jc w:val="left"/>
        <w:rPr>
          <w:rFonts w:ascii="arial" w:hAnsi="arial"/>
          <w:sz w:val="20"/>
        </w:rPr>
      </w:pPr>
      <w:r>
        <w:rPr>
          <w:rFonts w:ascii="arial" w:hAnsi="arial"/>
          <w:sz w:val="20"/>
        </w:rPr>
        <w:t></w:t>
      </w:r>
      <w:r>
        <w:rPr>
          <w:rFonts w:ascii="Arial" w:hAnsi="Arial"/>
          <w:b/>
          <w:sz w:val="20"/>
        </w:rPr>
        <w:t>Cash Distribution Per Share</w:t>
      </w:r>
      <w:r>
        <w:rPr>
          <w:rFonts w:ascii="arial" w:hAnsi="arial"/>
          <w:sz w:val="20"/>
        </w:rPr>
        <w:t xml:space="preserve"> means US$4.67. </w:t>
      </w:r>
    </w:p>
    <w:p>
      <w:pPr>
        <w:pStyle w:val="TextBody"/>
        <w:spacing w:before="120" w:after="0"/>
        <w:jc w:val="left"/>
        <w:rPr>
          <w:rFonts w:ascii="arial" w:hAnsi="arial"/>
          <w:sz w:val="20"/>
        </w:rPr>
      </w:pPr>
      <w:r>
        <w:rPr>
          <w:rFonts w:ascii="arial" w:hAnsi="arial"/>
          <w:sz w:val="20"/>
        </w:rPr>
        <w:t></w:t>
      </w:r>
      <w:r>
        <w:rPr>
          <w:rFonts w:ascii="Arial" w:hAnsi="Arial"/>
          <w:b/>
          <w:sz w:val="20"/>
        </w:rPr>
        <w:t>common shares</w:t>
      </w:r>
      <w:r>
        <w:rPr>
          <w:rFonts w:ascii="arial" w:hAnsi="arial"/>
          <w:sz w:val="20"/>
        </w:rPr>
        <w:t xml:space="preserve"> means the common shares in the capital of Thomson Reuters Corporation, except as the context otherwise requires. </w:t>
      </w:r>
    </w:p>
    <w:p>
      <w:pPr>
        <w:pStyle w:val="TextBody"/>
        <w:spacing w:before="120" w:after="0"/>
        <w:jc w:val="left"/>
        <w:rPr>
          <w:rFonts w:ascii="arial" w:hAnsi="arial"/>
          <w:sz w:val="20"/>
        </w:rPr>
      </w:pPr>
      <w:r>
        <w:rPr>
          <w:rFonts w:ascii="arial" w:hAnsi="arial"/>
          <w:sz w:val="20"/>
        </w:rPr>
        <w:t></w:t>
      </w:r>
      <w:r>
        <w:rPr>
          <w:rFonts w:ascii="Arial" w:hAnsi="Arial"/>
          <w:b/>
          <w:sz w:val="20"/>
        </w:rPr>
        <w:t>Court</w:t>
      </w:r>
      <w:r>
        <w:rPr>
          <w:rFonts w:ascii="arial" w:hAnsi="arial"/>
          <w:sz w:val="20"/>
        </w:rPr>
        <w:t xml:space="preserve"> means the Ontario Superior Court of Justice (Commercial List). </w:t>
      </w:r>
    </w:p>
    <w:p>
      <w:pPr>
        <w:pStyle w:val="TextBody"/>
        <w:spacing w:before="120" w:after="0"/>
        <w:jc w:val="left"/>
        <w:rPr>
          <w:rFonts w:ascii="arial" w:hAnsi="arial"/>
          <w:sz w:val="20"/>
        </w:rPr>
      </w:pPr>
      <w:r>
        <w:rPr>
          <w:rFonts w:ascii="arial" w:hAnsi="arial"/>
          <w:sz w:val="20"/>
        </w:rPr>
        <w:t></w:t>
      </w:r>
      <w:r>
        <w:rPr>
          <w:rFonts w:ascii="Arial" w:hAnsi="Arial"/>
          <w:b/>
          <w:sz w:val="20"/>
        </w:rPr>
        <w:t>Depositary</w:t>
      </w:r>
      <w:r>
        <w:rPr>
          <w:rFonts w:ascii="arial" w:hAnsi="arial"/>
          <w:sz w:val="20"/>
        </w:rPr>
        <w:t xml:space="preserve"> means Computershare Investor Services Inc. at its offices set out in the Letter of Transmittal. </w:t>
      </w:r>
    </w:p>
    <w:p>
      <w:pPr>
        <w:pStyle w:val="TextBody"/>
        <w:spacing w:before="120" w:after="0"/>
        <w:jc w:val="left"/>
        <w:rPr>
          <w:rFonts w:ascii="arial" w:hAnsi="arial"/>
          <w:sz w:val="20"/>
        </w:rPr>
      </w:pPr>
      <w:r>
        <w:rPr>
          <w:rFonts w:ascii="arial" w:hAnsi="arial"/>
          <w:sz w:val="20"/>
        </w:rPr>
        <w:t></w:t>
      </w:r>
      <w:r>
        <w:rPr>
          <w:rFonts w:ascii="Arial" w:hAnsi="Arial"/>
          <w:b/>
          <w:sz w:val="20"/>
        </w:rPr>
        <w:t>Effective Date</w:t>
      </w:r>
      <w:r>
        <w:rPr>
          <w:rFonts w:ascii="arial" w:hAnsi="arial"/>
          <w:sz w:val="20"/>
        </w:rPr>
        <w:t xml:space="preserve"> means the date the Arrangement is effective under the OBCA. </w:t>
      </w:r>
    </w:p>
    <w:p>
      <w:pPr>
        <w:pStyle w:val="TextBody"/>
        <w:spacing w:before="120" w:after="0"/>
        <w:jc w:val="left"/>
        <w:rPr>
          <w:rFonts w:ascii="arial" w:hAnsi="arial"/>
          <w:sz w:val="20"/>
        </w:rPr>
      </w:pPr>
      <w:r>
        <w:rPr>
          <w:rFonts w:ascii="arial" w:hAnsi="arial"/>
          <w:sz w:val="20"/>
        </w:rPr>
        <w:t></w:t>
      </w:r>
      <w:r>
        <w:rPr>
          <w:rFonts w:ascii="Arial" w:hAnsi="Arial"/>
          <w:b/>
          <w:sz w:val="20"/>
        </w:rPr>
        <w:t>Effective Time</w:t>
      </w:r>
      <w:r>
        <w:rPr>
          <w:rFonts w:ascii="arial" w:hAnsi="arial"/>
          <w:sz w:val="20"/>
        </w:rPr>
        <w:t xml:space="preserve"> means 3:01 a.m. (Eastern Daylight Time) on the Effective Date, or such other time on the Effective Date as we may determine. </w:t>
      </w:r>
    </w:p>
    <w:p>
      <w:pPr>
        <w:pStyle w:val="TextBody"/>
        <w:spacing w:before="120" w:after="0"/>
        <w:jc w:val="left"/>
        <w:rPr>
          <w:rFonts w:ascii="arial" w:hAnsi="arial"/>
          <w:sz w:val="20"/>
        </w:rPr>
      </w:pPr>
      <w:r>
        <w:rPr>
          <w:rFonts w:ascii="arial" w:hAnsi="arial"/>
          <w:sz w:val="20"/>
        </w:rPr>
        <w:t></w:t>
      </w:r>
      <w:r>
        <w:rPr>
          <w:rFonts w:ascii="Arial" w:hAnsi="Arial"/>
          <w:b/>
          <w:sz w:val="20"/>
        </w:rPr>
        <w:t>Eligible Opt-Out Shareholder</w:t>
      </w:r>
      <w:r>
        <w:rPr>
          <w:rFonts w:ascii="arial" w:hAnsi="arial"/>
          <w:sz w:val="20"/>
        </w:rPr>
        <w:t xml:space="preserve"> has the meaning set forth in the section entitled Information Regarding the Return of Capital Transaction  Terms of the Arrangement  Opt-Out Right. </w:t>
      </w:r>
    </w:p>
    <w:p>
      <w:pPr>
        <w:pStyle w:val="TextBody"/>
        <w:spacing w:before="120" w:after="0"/>
        <w:jc w:val="left"/>
        <w:rPr>
          <w:rFonts w:ascii="arial" w:hAnsi="arial"/>
          <w:sz w:val="20"/>
        </w:rPr>
      </w:pPr>
      <w:r>
        <w:rPr>
          <w:rFonts w:ascii="arial" w:hAnsi="arial"/>
          <w:sz w:val="20"/>
        </w:rPr>
        <w:t></w:t>
      </w:r>
      <w:r>
        <w:rPr>
          <w:rFonts w:ascii="Arial" w:hAnsi="Arial"/>
          <w:b/>
          <w:sz w:val="20"/>
        </w:rPr>
        <w:t>Final Order</w:t>
      </w:r>
      <w:r>
        <w:rPr>
          <w:rFonts w:ascii="arial" w:hAnsi="arial"/>
          <w:sz w:val="20"/>
        </w:rPr>
        <w:t xml:space="preserve"> means a final order from the Court approving the Arrangement under subsection 182(5) of the OBCA, as such order may be affirmed, amended or modified by any court of competent jurisdiction. </w:t>
      </w:r>
    </w:p>
    <w:p>
      <w:pPr>
        <w:pStyle w:val="TextBody"/>
        <w:spacing w:before="120" w:after="0"/>
        <w:jc w:val="left"/>
        <w:rPr>
          <w:rFonts w:ascii="arial" w:hAnsi="arial"/>
          <w:sz w:val="20"/>
        </w:rPr>
      </w:pPr>
      <w:r>
        <w:rPr>
          <w:rFonts w:ascii="arial" w:hAnsi="arial"/>
          <w:sz w:val="20"/>
        </w:rPr>
        <w:t></w:t>
      </w:r>
      <w:r>
        <w:rPr>
          <w:rFonts w:ascii="Arial" w:hAnsi="Arial"/>
          <w:b/>
          <w:sz w:val="20"/>
        </w:rPr>
        <w:t>Information Agent</w:t>
      </w:r>
      <w:r>
        <w:rPr>
          <w:rFonts w:ascii="arial" w:hAnsi="arial"/>
          <w:sz w:val="20"/>
        </w:rPr>
        <w:t xml:space="preserve"> means D.F. King. </w:t>
      </w:r>
    </w:p>
    <w:p>
      <w:pPr>
        <w:pStyle w:val="TextBody"/>
        <w:spacing w:before="120" w:after="0"/>
        <w:jc w:val="left"/>
        <w:rPr>
          <w:rFonts w:ascii="arial" w:hAnsi="arial"/>
          <w:sz w:val="20"/>
        </w:rPr>
      </w:pPr>
      <w:r>
        <w:rPr>
          <w:rFonts w:ascii="arial" w:hAnsi="arial"/>
          <w:sz w:val="20"/>
        </w:rPr>
        <w:t></w:t>
      </w:r>
      <w:r>
        <w:rPr>
          <w:rFonts w:ascii="Arial" w:hAnsi="Arial"/>
          <w:b/>
          <w:sz w:val="20"/>
        </w:rPr>
        <w:t>Interim Order</w:t>
      </w:r>
      <w:r>
        <w:rPr>
          <w:rFonts w:ascii="arial" w:hAnsi="arial"/>
          <w:sz w:val="20"/>
        </w:rPr>
        <w:t xml:space="preserve"> means the interim order of the Court dated April 21, 2023 under subsection 182(5) of the OBCA containing declarations and directions with respect to the Arrangement, as such order may be affirmed, amended or modified by any court of competent jurisdiction, a copy of which is attached as Appendix D. </w:t>
      </w:r>
    </w:p>
    <w:p>
      <w:pPr>
        <w:pStyle w:val="TextBody"/>
        <w:spacing w:before="120" w:after="0"/>
        <w:jc w:val="left"/>
        <w:rPr>
          <w:rFonts w:ascii="arial" w:hAnsi="arial"/>
          <w:sz w:val="20"/>
        </w:rPr>
      </w:pPr>
      <w:r>
        <w:rPr>
          <w:rFonts w:ascii="arial" w:hAnsi="arial"/>
          <w:sz w:val="20"/>
        </w:rPr>
        <w:t></w:t>
      </w:r>
      <w:r>
        <w:rPr>
          <w:rFonts w:ascii="Arial" w:hAnsi="Arial"/>
          <w:b/>
          <w:sz w:val="20"/>
        </w:rPr>
        <w:t>LSEG Transaction</w:t>
      </w:r>
      <w:r>
        <w:rPr>
          <w:rFonts w:ascii="arial" w:hAnsi="arial"/>
          <w:sz w:val="20"/>
        </w:rPr>
        <w:t xml:space="preserve"> has the meaning set forth in the subsection entitled Background to and Reasons for the Return of Capital Transaction. </w:t>
      </w:r>
    </w:p>
    <w:p>
      <w:pPr>
        <w:pStyle w:val="TextBody"/>
        <w:spacing w:before="120" w:after="0"/>
        <w:jc w:val="left"/>
        <w:rPr>
          <w:rFonts w:ascii="arial" w:hAnsi="arial"/>
          <w:sz w:val="20"/>
        </w:rPr>
      </w:pPr>
      <w:r>
        <w:rPr>
          <w:rFonts w:ascii="arial" w:hAnsi="arial"/>
          <w:sz w:val="20"/>
        </w:rPr>
        <w:t></w:t>
      </w:r>
      <w:r>
        <w:rPr>
          <w:rFonts w:ascii="Arial" w:hAnsi="Arial"/>
          <w:b/>
          <w:sz w:val="20"/>
        </w:rPr>
        <w:t>Letter of Transmittal</w:t>
      </w:r>
      <w:r>
        <w:rPr>
          <w:rFonts w:ascii="arial" w:hAnsi="arial"/>
          <w:sz w:val="20"/>
        </w:rPr>
        <w:t xml:space="preserve"> means the letter of transmittal for use by registered shareholders, in the form accompanying this circular (printed on yellow paper). </w:t>
      </w:r>
    </w:p>
    <w:p>
      <w:pPr>
        <w:pStyle w:val="TextBody"/>
        <w:spacing w:before="120" w:after="0"/>
        <w:jc w:val="left"/>
        <w:rPr>
          <w:rFonts w:ascii="arial" w:hAnsi="arial"/>
          <w:sz w:val="20"/>
        </w:rPr>
      </w:pPr>
      <w:r>
        <w:rPr>
          <w:rFonts w:ascii="arial" w:hAnsi="arial"/>
          <w:sz w:val="20"/>
        </w:rPr>
        <w:t></w:t>
      </w:r>
      <w:r>
        <w:rPr>
          <w:rFonts w:ascii="Arial" w:hAnsi="Arial"/>
          <w:b/>
          <w:sz w:val="20"/>
        </w:rPr>
        <w:t>New Common Shares</w:t>
      </w:r>
      <w:r>
        <w:rPr>
          <w:rFonts w:ascii="arial" w:hAnsi="arial"/>
          <w:sz w:val="20"/>
        </w:rPr>
        <w:t xml:space="preserve"> means the new common shares to be created pursuant to the Plan of Arrangement with rights, privileges, restrictions and conditions as set out in Schedule A to the Plan of Arrangement. </w:t>
      </w:r>
    </w:p>
    <w:p>
      <w:pPr>
        <w:pStyle w:val="TextBody"/>
        <w:spacing w:before="120" w:after="0"/>
        <w:jc w:val="left"/>
        <w:rPr>
          <w:rFonts w:ascii="arial" w:hAnsi="arial"/>
          <w:sz w:val="20"/>
        </w:rPr>
      </w:pPr>
      <w:r>
        <w:rPr>
          <w:rFonts w:ascii="arial" w:hAnsi="arial"/>
          <w:sz w:val="20"/>
        </w:rPr>
        <w:t></w:t>
      </w:r>
      <w:r>
        <w:rPr>
          <w:rFonts w:ascii="Arial" w:hAnsi="Arial"/>
          <w:b/>
          <w:sz w:val="20"/>
        </w:rPr>
        <w:t>Non-Canadian Resident Shareholder</w:t>
      </w:r>
      <w:r>
        <w:rPr>
          <w:rFonts w:ascii="arial" w:hAnsi="arial"/>
          <w:sz w:val="20"/>
        </w:rPr>
        <w:t xml:space="preserve"> has the meaning set forth in the section entitled Income Tax Considerations  Certain Canadian Federal Income Tax Considerations  Non-Canadian Resident Shareholders. </w:t>
      </w:r>
    </w:p>
    <w:p>
      <w:pPr>
        <w:pStyle w:val="TextBody"/>
        <w:spacing w:before="120" w:after="0"/>
        <w:jc w:val="left"/>
        <w:rPr>
          <w:rFonts w:ascii="arial" w:hAnsi="arial"/>
          <w:sz w:val="20"/>
        </w:rPr>
      </w:pPr>
      <w:r>
        <w:rPr>
          <w:rFonts w:ascii="arial" w:hAnsi="arial"/>
          <w:sz w:val="20"/>
        </w:rPr>
        <w:t></w:t>
      </w:r>
      <w:r>
        <w:rPr>
          <w:rFonts w:ascii="Arial" w:hAnsi="Arial"/>
          <w:b/>
          <w:sz w:val="20"/>
        </w:rPr>
        <w:t>opt-out deadline</w:t>
      </w:r>
      <w:r>
        <w:rPr>
          <w:rFonts w:ascii="arial" w:hAnsi="arial"/>
          <w:sz w:val="20"/>
        </w:rPr>
        <w:t xml:space="preserve"> means 5:00 p.m. (Eastern Daylight Time) on the Business Day prior to the date of the annual and special meeting. </w:t>
      </w:r>
    </w:p>
    <w:p>
      <w:pPr>
        <w:pStyle w:val="TextBody"/>
        <w:spacing w:before="120" w:after="0"/>
        <w:jc w:val="left"/>
        <w:rPr>
          <w:rFonts w:ascii="arial" w:hAnsi="arial"/>
          <w:sz w:val="20"/>
        </w:rPr>
      </w:pPr>
      <w:r>
        <w:rPr>
          <w:rFonts w:ascii="arial" w:hAnsi="arial"/>
          <w:sz w:val="20"/>
        </w:rPr>
        <w:t></w:t>
      </w:r>
      <w:r>
        <w:rPr>
          <w:rFonts w:ascii="Arial" w:hAnsi="Arial"/>
          <w:b/>
          <w:sz w:val="20"/>
        </w:rPr>
        <w:t>Opt-Out Election and Certification Form</w:t>
      </w:r>
      <w:r>
        <w:rPr>
          <w:rFonts w:ascii="arial" w:hAnsi="arial"/>
          <w:sz w:val="20"/>
        </w:rPr>
        <w:t xml:space="preserve"> means the Opt-Out Election and Certification Form for use by registered Eligible Opt-Out Shareholders in the form accompanying this circular (printed on blue paper).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w:t>
      </w:r>
      <w:r>
        <w:rPr>
          <w:rFonts w:ascii="Arial" w:hAnsi="Arial"/>
          <w:b/>
          <w:sz w:val="20"/>
        </w:rPr>
        <w:t>opt-out right</w:t>
      </w:r>
      <w:r>
        <w:rPr>
          <w:rFonts w:ascii="arial" w:hAnsi="arial"/>
          <w:sz w:val="20"/>
        </w:rPr>
        <w:t xml:space="preserve"> means the right of an Eligible Opt-Out Shareholder to opt out of the Return of Capital Transaction in accordance with the provisions of the Plan of Arrangement and the Opt-Out Election and Certification Form. </w:t>
      </w:r>
    </w:p>
    <w:p>
      <w:pPr>
        <w:pStyle w:val="TextBody"/>
        <w:spacing w:before="120" w:after="0"/>
        <w:jc w:val="left"/>
        <w:rPr>
          <w:rFonts w:ascii="arial" w:hAnsi="arial"/>
          <w:sz w:val="20"/>
        </w:rPr>
      </w:pPr>
      <w:r>
        <w:rPr>
          <w:rFonts w:ascii="arial" w:hAnsi="arial"/>
          <w:sz w:val="20"/>
        </w:rPr>
        <w:t></w:t>
      </w:r>
      <w:r>
        <w:rPr>
          <w:rFonts w:ascii="Arial" w:hAnsi="Arial"/>
          <w:b/>
          <w:sz w:val="20"/>
        </w:rPr>
        <w:t>opting-out shareholder</w:t>
      </w:r>
      <w:r>
        <w:rPr>
          <w:rFonts w:ascii="arial" w:hAnsi="arial"/>
          <w:sz w:val="20"/>
        </w:rPr>
        <w:t xml:space="preserve"> means a shareholder that has duly exercised its opt-out right. </w:t>
      </w:r>
    </w:p>
    <w:p>
      <w:pPr>
        <w:pStyle w:val="TextBody"/>
        <w:spacing w:before="120" w:after="0"/>
        <w:jc w:val="left"/>
        <w:rPr>
          <w:rFonts w:ascii="arial" w:hAnsi="arial"/>
          <w:sz w:val="20"/>
        </w:rPr>
      </w:pPr>
      <w:r>
        <w:rPr>
          <w:rFonts w:ascii="arial" w:hAnsi="arial"/>
          <w:sz w:val="20"/>
        </w:rPr>
        <w:t></w:t>
      </w:r>
      <w:r>
        <w:rPr>
          <w:rFonts w:ascii="Arial" w:hAnsi="Arial"/>
          <w:b/>
          <w:sz w:val="20"/>
        </w:rPr>
        <w:t>participating shareholder</w:t>
      </w:r>
      <w:r>
        <w:rPr>
          <w:rFonts w:ascii="arial" w:hAnsi="arial"/>
          <w:sz w:val="20"/>
        </w:rPr>
        <w:t xml:space="preserve"> means a shareholder other than an opting-out shareholder. </w:t>
      </w:r>
    </w:p>
    <w:p>
      <w:pPr>
        <w:pStyle w:val="TextBody"/>
        <w:spacing w:before="120" w:after="0"/>
        <w:jc w:val="left"/>
        <w:rPr>
          <w:rFonts w:ascii="arial" w:hAnsi="arial"/>
          <w:sz w:val="20"/>
        </w:rPr>
      </w:pPr>
      <w:r>
        <w:rPr>
          <w:rFonts w:ascii="arial" w:hAnsi="arial"/>
          <w:sz w:val="20"/>
        </w:rPr>
        <w:t></w:t>
      </w:r>
      <w:r>
        <w:rPr>
          <w:rFonts w:ascii="Arial" w:hAnsi="Arial"/>
          <w:b/>
          <w:sz w:val="20"/>
        </w:rPr>
        <w:t>participating shares</w:t>
      </w:r>
      <w:r>
        <w:rPr>
          <w:rFonts w:ascii="arial" w:hAnsi="arial"/>
          <w:sz w:val="20"/>
        </w:rPr>
        <w:t xml:space="preserve"> means the shares held by participating shareholders. </w:t>
      </w:r>
    </w:p>
    <w:p>
      <w:pPr>
        <w:pStyle w:val="TextBody"/>
        <w:spacing w:before="120" w:after="0"/>
        <w:jc w:val="left"/>
        <w:rPr>
          <w:rFonts w:ascii="arial" w:hAnsi="arial"/>
          <w:sz w:val="20"/>
        </w:rPr>
      </w:pPr>
      <w:r>
        <w:rPr>
          <w:rFonts w:ascii="arial" w:hAnsi="arial"/>
          <w:sz w:val="20"/>
        </w:rPr>
        <w:t></w:t>
      </w:r>
      <w:r>
        <w:rPr>
          <w:rFonts w:ascii="Arial" w:hAnsi="Arial"/>
          <w:b/>
          <w:sz w:val="20"/>
        </w:rPr>
        <w:t>Plan of Arrangement</w:t>
      </w:r>
      <w:r>
        <w:rPr>
          <w:rFonts w:ascii="arial" w:hAnsi="arial"/>
          <w:sz w:val="20"/>
        </w:rPr>
        <w:t xml:space="preserve"> means the plan of arrangement attached to this circular as Appendix C, as amended or supplemented from time to time in accordance with the terms thereof. </w:t>
      </w:r>
    </w:p>
    <w:p>
      <w:pPr>
        <w:pStyle w:val="TextBody"/>
        <w:spacing w:before="120" w:after="0"/>
        <w:jc w:val="left"/>
        <w:rPr>
          <w:rFonts w:ascii="arial" w:hAnsi="arial"/>
          <w:sz w:val="20"/>
        </w:rPr>
      </w:pPr>
      <w:r>
        <w:rPr>
          <w:rFonts w:ascii="arial" w:hAnsi="arial"/>
          <w:sz w:val="20"/>
        </w:rPr>
        <w:t></w:t>
      </w:r>
      <w:r>
        <w:rPr>
          <w:rFonts w:ascii="Arial" w:hAnsi="Arial"/>
          <w:b/>
          <w:sz w:val="20"/>
        </w:rPr>
        <w:t>PUC</w:t>
      </w:r>
      <w:r>
        <w:rPr>
          <w:rFonts w:ascii="arial" w:hAnsi="arial"/>
          <w:sz w:val="20"/>
        </w:rPr>
        <w:t xml:space="preserve"> means paid-up capital as defined in subsection 89(1) of the Tax Act. </w:t>
      </w:r>
    </w:p>
    <w:p>
      <w:pPr>
        <w:pStyle w:val="TextBody"/>
        <w:spacing w:before="120" w:after="0"/>
        <w:jc w:val="left"/>
        <w:rPr>
          <w:rFonts w:ascii="arial" w:hAnsi="arial"/>
          <w:sz w:val="20"/>
        </w:rPr>
      </w:pPr>
      <w:r>
        <w:rPr>
          <w:rFonts w:ascii="arial" w:hAnsi="arial"/>
          <w:sz w:val="20"/>
        </w:rPr>
        <w:t></w:t>
      </w:r>
      <w:r>
        <w:rPr>
          <w:rFonts w:ascii="Arial" w:hAnsi="Arial"/>
          <w:b/>
          <w:sz w:val="20"/>
        </w:rPr>
        <w:t>Return of Capital Transaction</w:t>
      </w:r>
      <w:r>
        <w:rPr>
          <w:rFonts w:ascii="arial" w:hAnsi="arial"/>
          <w:sz w:val="20"/>
        </w:rPr>
        <w:t xml:space="preserve"> means the transaction to be effected under the Arrangement. </w:t>
      </w:r>
    </w:p>
    <w:p>
      <w:pPr>
        <w:pStyle w:val="TextBody"/>
        <w:spacing w:before="120" w:after="0"/>
        <w:jc w:val="left"/>
        <w:rPr>
          <w:rFonts w:ascii="arial" w:hAnsi="arial"/>
          <w:sz w:val="20"/>
        </w:rPr>
      </w:pPr>
      <w:r>
        <w:rPr>
          <w:rFonts w:ascii="arial" w:hAnsi="arial"/>
          <w:sz w:val="20"/>
        </w:rPr>
        <w:t></w:t>
      </w:r>
      <w:r>
        <w:rPr>
          <w:rFonts w:ascii="Arial" w:hAnsi="Arial"/>
          <w:b/>
          <w:sz w:val="20"/>
        </w:rPr>
        <w:t>Share Consolidation Ratio</w:t>
      </w:r>
      <w:r>
        <w:rPr>
          <w:rFonts w:ascii="arial" w:hAnsi="arial"/>
          <w:sz w:val="20"/>
        </w:rPr>
        <w:t xml:space="preserve"> has the meaning set forth in the section entitled Information Regarding the Return of Capital Transaction  Terms of the Arrangement  Share Consolidation Ratio. </w:t>
      </w:r>
    </w:p>
    <w:p>
      <w:pPr>
        <w:pStyle w:val="TextBody"/>
        <w:spacing w:before="120" w:after="0"/>
        <w:jc w:val="left"/>
        <w:rPr>
          <w:rFonts w:ascii="arial" w:hAnsi="arial"/>
          <w:sz w:val="20"/>
        </w:rPr>
      </w:pPr>
      <w:r>
        <w:rPr>
          <w:rFonts w:ascii="arial" w:hAnsi="arial"/>
          <w:sz w:val="20"/>
        </w:rPr>
        <w:t></w:t>
      </w:r>
      <w:r>
        <w:rPr>
          <w:rFonts w:ascii="Arial" w:hAnsi="Arial"/>
          <w:b/>
          <w:sz w:val="20"/>
        </w:rPr>
        <w:t>special resolution</w:t>
      </w:r>
      <w:r>
        <w:rPr>
          <w:rFonts w:ascii="arial" w:hAnsi="arial"/>
          <w:sz w:val="20"/>
        </w:rPr>
        <w:t xml:space="preserve"> means the special resolution, attached as Appendix B to this circular, with or without amendment, being considered by shareholders at the annual and special meeting. </w:t>
      </w:r>
    </w:p>
    <w:p>
      <w:pPr>
        <w:pStyle w:val="TextBody"/>
        <w:spacing w:before="120" w:after="0"/>
        <w:jc w:val="left"/>
        <w:rPr>
          <w:rFonts w:ascii="arial" w:hAnsi="arial"/>
          <w:sz w:val="20"/>
        </w:rPr>
      </w:pPr>
      <w:r>
        <w:rPr>
          <w:rFonts w:ascii="arial" w:hAnsi="arial"/>
          <w:sz w:val="20"/>
        </w:rPr>
        <w:t></w:t>
      </w:r>
      <w:r>
        <w:rPr>
          <w:rFonts w:ascii="Arial" w:hAnsi="Arial"/>
          <w:b/>
          <w:sz w:val="20"/>
        </w:rPr>
        <w:t>Tax Act</w:t>
      </w:r>
      <w:r>
        <w:rPr>
          <w:rFonts w:ascii="arial" w:hAnsi="arial"/>
          <w:sz w:val="20"/>
        </w:rPr>
        <w:t xml:space="preserve"> means the Income Tax Act (Canada), RSC 1985, c.1 (5th Supp), as amended. </w:t>
      </w:r>
    </w:p>
    <w:p>
      <w:pPr>
        <w:pStyle w:val="TextBody"/>
        <w:spacing w:before="120" w:after="0"/>
        <w:jc w:val="left"/>
        <w:rPr>
          <w:rFonts w:ascii="arial" w:hAnsi="arial"/>
          <w:sz w:val="20"/>
        </w:rPr>
      </w:pPr>
      <w:r>
        <w:rPr>
          <w:rFonts w:ascii="arial" w:hAnsi="arial"/>
          <w:sz w:val="20"/>
        </w:rPr>
        <w:t></w:t>
      </w:r>
      <w:r>
        <w:rPr>
          <w:rFonts w:ascii="Arial" w:hAnsi="Arial"/>
          <w:b/>
          <w:sz w:val="20"/>
        </w:rPr>
        <w:t>Thomson Reuters</w:t>
      </w:r>
      <w:r>
        <w:rPr>
          <w:rFonts w:ascii="arial" w:hAnsi="arial"/>
          <w:sz w:val="20"/>
        </w:rPr>
        <w:t xml:space="preserve">, we, us, our or our company means Thomson Reuters Corporation and our consolidated subsidiaries, except for such references under Information Regarding the Return of Capital Transaction (other than the sections entitled Background to and Reasons for the Return of Capital Transaction and Certain U.S. Federal Income Tax Considerations), where such terms mean Thomson Reuters Corporation. </w:t>
      </w:r>
    </w:p>
    <w:p>
      <w:pPr>
        <w:pStyle w:val="TextBody"/>
        <w:spacing w:before="120" w:after="0"/>
        <w:jc w:val="left"/>
        <w:rPr>
          <w:rFonts w:ascii="arial" w:hAnsi="arial"/>
          <w:sz w:val="20"/>
        </w:rPr>
      </w:pPr>
      <w:r>
        <w:rPr>
          <w:rFonts w:ascii="arial" w:hAnsi="arial"/>
          <w:sz w:val="20"/>
        </w:rPr>
        <w:t></w:t>
      </w:r>
      <w:r>
        <w:rPr>
          <w:rFonts w:ascii="Arial" w:hAnsi="Arial"/>
          <w:b/>
          <w:sz w:val="20"/>
        </w:rPr>
        <w:t>U.S. Treaty</w:t>
      </w:r>
      <w:r>
        <w:rPr>
          <w:rFonts w:ascii="arial" w:hAnsi="arial"/>
          <w:sz w:val="20"/>
        </w:rPr>
        <w:t xml:space="preserve"> means the Convention between Canada and the United States of America with Respect to Taxes on Income and on Capital, signed September 26, 1980, as amended. </w:t>
      </w:r>
    </w:p>
    <w:p>
      <w:pPr>
        <w:pStyle w:val="TextBody"/>
        <w:spacing w:before="120" w:after="0"/>
        <w:jc w:val="left"/>
        <w:rPr>
          <w:rFonts w:ascii="arial" w:hAnsi="arial"/>
          <w:sz w:val="20"/>
        </w:rPr>
      </w:pPr>
      <w:r>
        <w:rPr>
          <w:rFonts w:ascii="arial" w:hAnsi="arial"/>
          <w:sz w:val="20"/>
        </w:rPr>
        <w:t></w:t>
      </w:r>
      <w:r>
        <w:rPr>
          <w:rFonts w:ascii="Arial" w:hAnsi="Arial"/>
          <w:b/>
          <w:sz w:val="20"/>
        </w:rPr>
        <w:t>Woodbridge</w:t>
      </w:r>
      <w:r>
        <w:rPr>
          <w:rFonts w:ascii="arial" w:hAnsi="arial"/>
          <w:sz w:val="20"/>
        </w:rPr>
        <w:t xml:space="preserve"> means, collectively, The Woodbridge Company Limited and other companies affiliated with it. </w:t>
      </w:r>
    </w:p>
    <w:p>
      <w:pPr>
        <w:pStyle w:val="TextBody"/>
        <w:spacing w:before="120" w:after="0"/>
        <w:jc w:val="left"/>
        <w:rPr>
          <w:rFonts w:ascii="arial" w:hAnsi="arial"/>
          <w:sz w:val="20"/>
        </w:rPr>
      </w:pPr>
      <w:r>
        <w:rPr>
          <w:rFonts w:ascii="arial" w:hAnsi="arial"/>
          <w:sz w:val="20"/>
        </w:rPr>
        <w:t></w:t>
      </w:r>
      <w:r>
        <w:rPr>
          <w:rFonts w:ascii="Arial" w:hAnsi="Arial"/>
          <w:b/>
          <w:sz w:val="20"/>
        </w:rPr>
        <w:t>YPL</w:t>
      </w:r>
      <w:r>
        <w:rPr>
          <w:rFonts w:ascii="arial" w:hAnsi="arial"/>
          <w:sz w:val="20"/>
        </w:rPr>
        <w:t xml:space="preserve"> means York Parent Limited, the entity that owns LSEG shares, which is jointly owned by our company and the Blackstone consortium. A group of current LSEG and former members of Refinitiv senior management also owns part of YPL. References to YPL also include its subsidiaries.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5" w:name="tx494196_11"/>
      <w:bookmarkEnd w:id="5"/>
      <w:r>
        <w:rPr>
          <w:rFonts w:ascii="arial" w:hAnsi="arial"/>
          <w:color w:val="B94831"/>
          <w:sz w:val="52"/>
        </w:rPr>
        <w:t xml:space="preserve">Fast Facts About Thomson Reuters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Thomson Reuters is a leading provider of business information services. Our products include highly specialized information-enabled software and tools for legal, tax, accounting and compliance professionals combined with the worlds most global news service  Reuters.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table below describes some of our key operating characteristics: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78"/>
        <w:gridCol w:w="91"/>
        <w:gridCol w:w="2599"/>
        <w:gridCol w:w="91"/>
        <w:gridCol w:w="1790"/>
        <w:gridCol w:w="91"/>
        <w:gridCol w:w="1938"/>
        <w:gridCol w:w="91"/>
        <w:gridCol w:w="1836"/>
      </w:tblGrid>
      <w:tr>
        <w:trPr/>
        <w:tc>
          <w:tcPr>
            <w:tcW w:w="1678"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59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678" w:type="dxa"/>
            <w:tcBorders/>
            <w:shd w:fill="262626" w:val="clear"/>
            <w:vAlign w:val="center"/>
          </w:tcPr>
          <w:p>
            <w:pPr>
              <w:pStyle w:val="TableContents"/>
              <w:spacing w:before="0" w:after="283"/>
              <w:rPr>
                <w:sz w:val="4"/>
                <w:szCs w:val="4"/>
              </w:rPr>
            </w:pPr>
            <w:r>
              <w:rPr>
                <w:sz w:val="4"/>
                <w:szCs w:val="4"/>
              </w:rPr>
            </w:r>
          </w:p>
        </w:tc>
        <w:tc>
          <w:tcPr>
            <w:tcW w:w="2690" w:type="dxa"/>
            <w:gridSpan w:val="2"/>
            <w:tcBorders/>
            <w:shd w:fill="262626" w:val="clear"/>
            <w:vAlign w:val="center"/>
          </w:tcPr>
          <w:p>
            <w:pPr>
              <w:pStyle w:val="TableContents"/>
              <w:spacing w:before="0" w:after="283"/>
              <w:rPr>
                <w:sz w:val="4"/>
                <w:szCs w:val="4"/>
              </w:rPr>
            </w:pPr>
            <w:r>
              <w:rPr>
                <w:sz w:val="4"/>
                <w:szCs w:val="4"/>
              </w:rPr>
            </w:r>
          </w:p>
        </w:tc>
        <w:tc>
          <w:tcPr>
            <w:tcW w:w="1881" w:type="dxa"/>
            <w:gridSpan w:val="2"/>
            <w:tcBorders/>
            <w:shd w:fill="262626" w:val="clear"/>
            <w:vAlign w:val="center"/>
          </w:tcPr>
          <w:p>
            <w:pPr>
              <w:pStyle w:val="TableContents"/>
              <w:spacing w:before="0" w:after="283"/>
              <w:rPr>
                <w:sz w:val="4"/>
                <w:szCs w:val="4"/>
              </w:rPr>
            </w:pPr>
            <w:r>
              <w:rPr>
                <w:sz w:val="4"/>
                <w:szCs w:val="4"/>
              </w:rPr>
            </w:r>
          </w:p>
        </w:tc>
        <w:tc>
          <w:tcPr>
            <w:tcW w:w="2029" w:type="dxa"/>
            <w:gridSpan w:val="2"/>
            <w:tcBorders/>
            <w:shd w:fill="262626" w:val="clear"/>
            <w:vAlign w:val="center"/>
          </w:tcPr>
          <w:p>
            <w:pPr>
              <w:pStyle w:val="TableContents"/>
              <w:spacing w:before="0" w:after="283"/>
              <w:rPr>
                <w:sz w:val="4"/>
                <w:szCs w:val="4"/>
              </w:rPr>
            </w:pPr>
            <w:r>
              <w:rPr>
                <w:sz w:val="4"/>
                <w:szCs w:val="4"/>
              </w:rPr>
            </w:r>
          </w:p>
        </w:tc>
        <w:tc>
          <w:tcPr>
            <w:tcW w:w="1927" w:type="dxa"/>
            <w:gridSpan w:val="2"/>
            <w:tcBorders/>
            <w:shd w:fill="262626" w:val="clear"/>
            <w:vAlign w:val="center"/>
          </w:tcPr>
          <w:p>
            <w:pPr>
              <w:pStyle w:val="TableContents"/>
              <w:spacing w:before="0" w:after="283"/>
              <w:rPr>
                <w:sz w:val="4"/>
                <w:szCs w:val="4"/>
              </w:rPr>
            </w:pPr>
            <w:r>
              <w:rPr>
                <w:sz w:val="4"/>
                <w:szCs w:val="4"/>
              </w:rPr>
            </w:r>
          </w:p>
        </w:tc>
      </w:tr>
      <w:tr>
        <w:trPr/>
        <w:tc>
          <w:tcPr>
            <w:tcW w:w="1678" w:type="dxa"/>
            <w:tcBorders>
              <w:bottom w:val="single" w:sz="8" w:space="0" w:color="B94831"/>
            </w:tcBorders>
            <w:shd w:fill="262626" w:val="clear"/>
            <w:tcMar>
              <w:bottom w:w="100" w:type="dxa"/>
            </w:tcMar>
            <w:vAlign w:val="bottom"/>
          </w:tcPr>
          <w:p>
            <w:pPr>
              <w:pStyle w:val="TableContents"/>
              <w:spacing w:before="0" w:after="0"/>
              <w:jc w:val="center"/>
              <w:rPr>
                <w:rFonts w:ascii="Arial" w:hAnsi="Arial"/>
                <w:b/>
                <w:color w:val="FFFFFF"/>
                <w:sz w:val="17"/>
              </w:rPr>
            </w:pPr>
            <w:r>
              <w:rPr>
                <w:rFonts w:ascii="Arial" w:hAnsi="Arial"/>
                <w:b/>
                <w:color w:val="FFFFFF"/>
                <w:sz w:val="17"/>
              </w:rPr>
              <w:t>Attractive Industry</w:t>
            </w:r>
          </w:p>
        </w:tc>
        <w:tc>
          <w:tcPr>
            <w:tcW w:w="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2599"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Balanced and Diversified Leadership</w:t>
            </w:r>
          </w:p>
        </w:tc>
        <w:tc>
          <w:tcPr>
            <w:tcW w:w="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1790"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Attractive Business Model</w:t>
            </w:r>
          </w:p>
        </w:tc>
        <w:tc>
          <w:tcPr>
            <w:tcW w:w="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1938"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Strong Competitive Positioning</w:t>
            </w:r>
          </w:p>
        </w:tc>
        <w:tc>
          <w:tcPr>
            <w:tcW w:w="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1836"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Disciplined Financial Policies</w:t>
            </w:r>
          </w:p>
        </w:tc>
      </w:tr>
      <w:tr>
        <w:trPr/>
        <w:tc>
          <w:tcPr>
            <w:tcW w:w="1678" w:type="dxa"/>
            <w:tcBorders>
              <w:bottom w:val="single" w:sz="8" w:space="0" w:color="B94831"/>
            </w:tcBorders>
            <w:shd w:fill="auto" w:val="clear"/>
            <w:tcMar>
              <w:bottom w:w="28" w:type="dxa"/>
            </w:tcMar>
          </w:tcPr>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Currently our Big 3 segments operate in an estimated $28 billion market segment expected to grow between 6% and 8% over the next 5 years</w:t>
            </w:r>
          </w:p>
          <w:p>
            <w:pPr>
              <w:pStyle w:val="TableContents"/>
              <w:spacing w:before="0" w:after="0"/>
              <w:rPr/>
            </w:pPr>
            <w:r>
              <w:rPr/>
              <w:t> </w:t>
            </w:r>
          </w:p>
          <w:p>
            <w:pPr>
              <w:pStyle w:val="TableContents"/>
              <w:spacing w:before="0" w:after="20"/>
              <w:rPr>
                <w:rFonts w:ascii="arial" w:hAnsi="arial"/>
                <w:sz w:val="18"/>
              </w:rPr>
            </w:pPr>
            <w:r>
              <w:rPr>
                <w:rFonts w:ascii="SYMBOL" w:hAnsi="SYMBOL"/>
                <w:color w:val="B94831"/>
                <w:sz w:val="12"/>
              </w:rPr>
              <w:t>·</w:t>
            </w:r>
            <w:r>
              <w:rPr>
                <w:rFonts w:ascii="arial" w:hAnsi="arial"/>
                <w:sz w:val="18"/>
              </w:rPr>
              <w:t>   Legal, Tax &amp; Government market segments prime for content-driven innovation</w:t>
            </w:r>
          </w:p>
        </w:tc>
        <w:tc>
          <w:tcPr>
            <w:tcW w:w="9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99" w:type="dxa"/>
            <w:tcBorders>
              <w:bottom w:val="single" w:sz="8" w:space="0" w:color="B94831"/>
            </w:tcBorders>
            <w:shd w:fill="auto" w:val="clear"/>
            <w:tcMar>
              <w:bottom w:w="28" w:type="dxa"/>
            </w:tcMar>
            <w:vAlign w:val="bottom"/>
          </w:tcPr>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A leader in key Legal Professionals, Corporates and Tax &amp; Accounting Professionals market segments</w:t>
            </w:r>
          </w:p>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Resilient businesses, historically stable, which was affirmed by our performance during the COVID-19 pandemic</w:t>
            </w:r>
          </w:p>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Approximately 500,000 customers; largest customer is approximately 5% of revenues*</w:t>
            </w:r>
          </w:p>
          <w:p>
            <w:pPr>
              <w:pStyle w:val="TableContents"/>
              <w:spacing w:before="0" w:after="20"/>
              <w:rPr/>
            </w:pPr>
            <w:r>
              <w:rPr/>
              <w:t> </w:t>
            </w:r>
          </w:p>
        </w:tc>
        <w:tc>
          <w:tcPr>
            <w:tcW w:w="9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90" w:type="dxa"/>
            <w:tcBorders>
              <w:bottom w:val="single" w:sz="8" w:space="0" w:color="B94831"/>
            </w:tcBorders>
            <w:shd w:fill="auto" w:val="clear"/>
            <w:tcMar>
              <w:bottom w:w="28" w:type="dxa"/>
            </w:tcMar>
          </w:tcPr>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80% of revenues are recurring</w:t>
            </w:r>
          </w:p>
          <w:p>
            <w:pPr>
              <w:pStyle w:val="TableContents"/>
              <w:spacing w:before="0" w:after="0"/>
              <w:rPr/>
            </w:pPr>
            <w:r>
              <w:rPr/>
              <w:t> </w:t>
            </w:r>
          </w:p>
          <w:p>
            <w:pPr>
              <w:pStyle w:val="TableContents"/>
              <w:spacing w:before="0" w:after="20"/>
              <w:rPr>
                <w:rFonts w:ascii="arial" w:hAnsi="arial"/>
                <w:sz w:val="18"/>
              </w:rPr>
            </w:pPr>
            <w:r>
              <w:rPr>
                <w:rFonts w:ascii="SYMBOL" w:hAnsi="SYMBOL"/>
                <w:color w:val="B94831"/>
                <w:sz w:val="12"/>
              </w:rPr>
              <w:t>·</w:t>
            </w:r>
            <w:r>
              <w:rPr>
                <w:rFonts w:ascii="arial" w:hAnsi="arial"/>
                <w:sz w:val="18"/>
              </w:rPr>
              <w:t>   Strong and consistent cash generation capabilities</w:t>
            </w:r>
          </w:p>
        </w:tc>
        <w:tc>
          <w:tcPr>
            <w:tcW w:w="9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938" w:type="dxa"/>
            <w:tcBorders>
              <w:bottom w:val="single" w:sz="8" w:space="0" w:color="B94831"/>
            </w:tcBorders>
            <w:shd w:fill="auto" w:val="clear"/>
            <w:tcMar>
              <w:bottom w:w="28" w:type="dxa"/>
            </w:tcMar>
          </w:tcPr>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Proprietary content plus data and human expertise combined with artificial intelligence and machine learning are key differentiators</w:t>
            </w:r>
          </w:p>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Products deeply embedded in customers daily workflows</w:t>
            </w:r>
          </w:p>
          <w:p>
            <w:pPr>
              <w:pStyle w:val="TableContents"/>
              <w:spacing w:before="0" w:after="0"/>
              <w:rPr/>
            </w:pPr>
            <w:r>
              <w:rPr/>
              <w:t> </w:t>
            </w:r>
          </w:p>
          <w:p>
            <w:pPr>
              <w:pStyle w:val="TableContents"/>
              <w:spacing w:before="0" w:after="20"/>
              <w:rPr>
                <w:rFonts w:ascii="arial" w:hAnsi="arial"/>
                <w:sz w:val="18"/>
              </w:rPr>
            </w:pPr>
            <w:r>
              <w:rPr>
                <w:rFonts w:ascii="SYMBOL" w:hAnsi="SYMBOL"/>
                <w:color w:val="B94831"/>
                <w:sz w:val="12"/>
              </w:rPr>
              <w:t>·</w:t>
            </w:r>
            <w:r>
              <w:rPr>
                <w:rFonts w:ascii="arial" w:hAnsi="arial"/>
                <w:sz w:val="18"/>
              </w:rPr>
              <w:t>   91% retention rate</w:t>
            </w:r>
          </w:p>
        </w:tc>
        <w:tc>
          <w:tcPr>
            <w:tcW w:w="9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36" w:type="dxa"/>
            <w:tcBorders>
              <w:bottom w:val="single" w:sz="8" w:space="0" w:color="B94831"/>
            </w:tcBorders>
            <w:shd w:fill="auto" w:val="clear"/>
            <w:tcMar>
              <w:bottom w:w="28" w:type="dxa"/>
            </w:tcMar>
          </w:tcPr>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Focused and incentivized on organic revenue growth and free cash flow growth</w:t>
            </w:r>
          </w:p>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Balance investing in business and returning capital to shareholders</w:t>
            </w:r>
          </w:p>
          <w:p>
            <w:pPr>
              <w:pStyle w:val="TableContents"/>
              <w:spacing w:before="0" w:after="0"/>
              <w:rPr/>
            </w:pPr>
            <w:r>
              <w:rPr/>
              <w:t> </w:t>
            </w:r>
          </w:p>
          <w:p>
            <w:pPr>
              <w:pStyle w:val="TableContents"/>
              <w:spacing w:before="0" w:after="0"/>
              <w:rPr>
                <w:rFonts w:ascii="arial" w:hAnsi="arial"/>
                <w:sz w:val="18"/>
              </w:rPr>
            </w:pPr>
            <w:r>
              <w:rPr>
                <w:rFonts w:ascii="SYMBOL" w:hAnsi="SYMBOL"/>
                <w:color w:val="B94831"/>
                <w:sz w:val="12"/>
              </w:rPr>
              <w:t>·</w:t>
            </w:r>
            <w:r>
              <w:rPr>
                <w:rFonts w:ascii="arial" w:hAnsi="arial"/>
                <w:sz w:val="18"/>
              </w:rPr>
              <w:t>   Committed to maintaining investment grade rating with stable capital structure</w:t>
            </w:r>
          </w:p>
          <w:p>
            <w:pPr>
              <w:pStyle w:val="TableContents"/>
              <w:spacing w:before="0" w:after="0"/>
              <w:rPr/>
            </w:pPr>
            <w:r>
              <w:rPr/>
              <w:t> </w:t>
            </w:r>
          </w:p>
          <w:p>
            <w:pPr>
              <w:pStyle w:val="TableContents"/>
              <w:spacing w:before="0" w:after="20"/>
              <w:rPr>
                <w:rFonts w:ascii="arial" w:hAnsi="arial"/>
                <w:sz w:val="18"/>
              </w:rPr>
            </w:pPr>
            <w:r>
              <w:rPr>
                <w:rFonts w:ascii="SYMBOL" w:hAnsi="SYMBOL"/>
                <w:color w:val="B94831"/>
                <w:sz w:val="12"/>
              </w:rPr>
              <w:t>·</w:t>
            </w:r>
            <w:r>
              <w:rPr>
                <w:rFonts w:ascii="arial" w:hAnsi="arial"/>
                <w:sz w:val="18"/>
              </w:rPr>
              <w:t>   Significant potential capital capacity affords optionality</w:t>
            </w:r>
          </w:p>
        </w:tc>
      </w:tr>
    </w:tbl>
    <w:p>
      <w:pPr>
        <w:pStyle w:val="TextBody"/>
        <w:spacing w:before="120" w:after="0"/>
        <w:jc w:val="left"/>
        <w:rPr>
          <w:rFonts w:ascii="arial" w:hAnsi="arial"/>
          <w:sz w:val="15"/>
        </w:rPr>
      </w:pPr>
      <w:r>
        <w:rPr>
          <w:rFonts w:ascii="arial" w:hAnsi="arial"/>
          <w:sz w:val="15"/>
        </w:rPr>
        <w:t xml:space="preserve">* The news agreement with the Data &amp; Analytics business of LSEG.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44"/>
        <w:gridCol w:w="120"/>
        <w:gridCol w:w="4941"/>
      </w:tblGrid>
      <w:tr>
        <w:trPr/>
        <w:tc>
          <w:tcPr>
            <w:tcW w:w="51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41" w:type="dxa"/>
            <w:tcBorders/>
            <w:shd w:fill="auto" w:val="clear"/>
            <w:vAlign w:val="center"/>
          </w:tcPr>
          <w:p>
            <w:pPr>
              <w:pStyle w:val="TableContents"/>
              <w:spacing w:before="0" w:after="283"/>
              <w:rPr>
                <w:sz w:val="4"/>
                <w:szCs w:val="4"/>
              </w:rPr>
            </w:pPr>
            <w:r>
              <w:rPr>
                <w:sz w:val="4"/>
                <w:szCs w:val="4"/>
              </w:rPr>
            </w:r>
          </w:p>
        </w:tc>
      </w:tr>
      <w:tr>
        <w:trPr/>
        <w:tc>
          <w:tcPr>
            <w:tcW w:w="5144" w:type="dxa"/>
            <w:tcBorders>
              <w:top w:val="single" w:sz="2" w:space="0" w:color="B94831"/>
              <w:left w:val="single" w:sz="2" w:space="0" w:color="B94831"/>
            </w:tcBorders>
            <w:shd w:fill="auto" w:val="clear"/>
            <w:tcMar>
              <w:top w:w="28" w:type="dxa"/>
              <w:left w:w="160" w:type="dxa"/>
            </w:tcMar>
            <w:vAlign w:val="bottom"/>
          </w:tcPr>
          <w:p>
            <w:pPr>
              <w:pStyle w:val="TableContents"/>
              <w:spacing w:before="0" w:after="0"/>
              <w:rPr/>
            </w:pPr>
            <w:r>
              <w:rPr/>
              <w:t> </w:t>
            </w:r>
          </w:p>
          <w:p>
            <w:pPr>
              <w:pStyle w:val="TableContents"/>
              <w:spacing w:before="0" w:after="0"/>
              <w:rPr>
                <w:rFonts w:ascii="arial" w:hAnsi="arial"/>
                <w:color w:val="B94831"/>
                <w:sz w:val="28"/>
              </w:rPr>
            </w:pPr>
            <w:r>
              <w:rPr>
                <w:rFonts w:ascii="arial" w:hAnsi="arial"/>
                <w:color w:val="B94831"/>
                <w:sz w:val="28"/>
              </w:rPr>
              <w:t>2022 full-year results:</w:t>
            </w:r>
          </w:p>
          <w:p>
            <w:pPr>
              <w:pStyle w:val="TableContents"/>
              <w:spacing w:before="0" w:after="20"/>
              <w:rPr/>
            </w:pPr>
            <w:r>
              <w:rPr/>
              <w:t> </w:t>
            </w:r>
          </w:p>
        </w:tc>
        <w:tc>
          <w:tcPr>
            <w:tcW w:w="120" w:type="dxa"/>
            <w:tcBorders>
              <w:top w:val="single" w:sz="2" w:space="0" w:color="B94831"/>
            </w:tcBorders>
            <w:shd w:fill="auto" w:val="clear"/>
            <w:tcMar>
              <w:top w:w="28" w:type="dxa"/>
            </w:tcMar>
            <w:vAlign w:val="bottom"/>
          </w:tcPr>
          <w:p>
            <w:pPr>
              <w:pStyle w:val="TableContents"/>
              <w:spacing w:before="0" w:after="283"/>
              <w:rPr/>
            </w:pPr>
            <w:r>
              <w:rPr/>
              <w:t>  </w:t>
            </w:r>
          </w:p>
        </w:tc>
        <w:tc>
          <w:tcPr>
            <w:tcW w:w="4941" w:type="dxa"/>
            <w:tcBorders>
              <w:top w:val="single" w:sz="2" w:space="0" w:color="B94831"/>
              <w:right w:val="single" w:sz="2" w:space="0" w:color="B94831"/>
            </w:tcBorders>
            <w:shd w:fill="auto" w:val="clear"/>
            <w:tcMar>
              <w:top w:w="28" w:type="dxa"/>
              <w:right w:w="40" w:type="dxa"/>
            </w:tcMar>
            <w:vAlign w:val="bottom"/>
          </w:tcPr>
          <w:p>
            <w:pPr>
              <w:pStyle w:val="TableContents"/>
              <w:spacing w:before="0" w:after="0"/>
              <w:rPr>
                <w:rFonts w:ascii="arial" w:hAnsi="arial"/>
                <w:color w:val="B94831"/>
                <w:sz w:val="28"/>
              </w:rPr>
            </w:pPr>
            <w:r>
              <w:rPr>
                <w:rFonts w:ascii="arial" w:hAnsi="arial"/>
                <w:color w:val="B94831"/>
                <w:sz w:val="28"/>
              </w:rPr>
              <w:t>Stock prices:</w:t>
            </w:r>
          </w:p>
          <w:p>
            <w:pPr>
              <w:pStyle w:val="TableContents"/>
              <w:spacing w:before="0" w:after="20"/>
              <w:rPr/>
            </w:pPr>
            <w:r>
              <w:rPr/>
              <w:t> </w:t>
            </w:r>
          </w:p>
        </w:tc>
      </w:tr>
      <w:tr>
        <w:trPr/>
        <w:tc>
          <w:tcPr>
            <w:tcW w:w="5144" w:type="dxa"/>
            <w:tcBorders>
              <w:left w:val="single" w:sz="2" w:space="0" w:color="B94831"/>
              <w:bottom w:val="single" w:sz="2" w:space="0" w:color="B94831"/>
            </w:tcBorders>
            <w:shd w:fill="auto" w:val="clear"/>
            <w:tcMar>
              <w:left w:w="160" w:type="dxa"/>
              <w:bottom w:w="28" w:type="dxa"/>
            </w:tcMar>
          </w:tcPr>
          <w:p>
            <w:pPr>
              <w:pStyle w:val="TableContents"/>
              <w:spacing w:before="0" w:after="0"/>
              <w:rPr>
                <w:rFonts w:ascii="arial" w:hAnsi="arial"/>
                <w:sz w:val="20"/>
              </w:rPr>
            </w:pPr>
            <w:r>
              <w:rPr>
                <w:rFonts w:ascii="SYMBOL" w:hAnsi="SYMBOL"/>
                <w:color w:val="B94831"/>
                <w:sz w:val="12"/>
              </w:rPr>
              <w:t>·</w:t>
            </w:r>
            <w:r>
              <w:rPr>
                <w:rFonts w:ascii="arial" w:hAnsi="arial"/>
                <w:sz w:val="20"/>
              </w:rPr>
              <w:t>   Revenues  US$6.6 billion</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 Operating profit  US$1.8 billion</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 Adjusted EBITDA margin*  35.1%</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 Diluted earnings per share (EPS)  US$2.75</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 Adjusted EPS*  US$2.56</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 Net cash provided by operating activities  US$1.9 billion</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 Free cash flow*  US$1.3 billion</w:t>
            </w:r>
          </w:p>
          <w:p>
            <w:pPr>
              <w:pStyle w:val="TableContents"/>
              <w:spacing w:before="0" w:after="0"/>
              <w:rPr/>
            </w:pPr>
            <w:r>
              <w:rPr/>
              <w:t> </w:t>
            </w:r>
          </w:p>
          <w:p>
            <w:pPr>
              <w:pStyle w:val="TableContents"/>
              <w:spacing w:before="0" w:after="0"/>
              <w:rPr>
                <w:rFonts w:ascii="arial" w:hAnsi="arial"/>
                <w:color w:val="B94831"/>
                <w:sz w:val="28"/>
              </w:rPr>
            </w:pPr>
            <w:r>
              <w:rPr>
                <w:rFonts w:ascii="arial" w:hAnsi="arial"/>
                <w:color w:val="B94831"/>
                <w:sz w:val="28"/>
              </w:rPr>
              <w:t>Stock exchange listings (Symbol: TRI):</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 Toronto Stock Exchange (TSX)</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 New York Stock Exchange (NYSE)</w:t>
            </w:r>
          </w:p>
          <w:p>
            <w:pPr>
              <w:pStyle w:val="TableContents"/>
              <w:spacing w:before="0" w:after="20"/>
              <w:rPr/>
            </w:pPr>
            <w:r>
              <w:rPr/>
              <w:t> </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4941" w:type="dxa"/>
            <w:tcBorders>
              <w:bottom w:val="single" w:sz="2" w:space="0" w:color="B94831"/>
              <w:right w:val="single" w:sz="2" w:space="0" w:color="B94831"/>
            </w:tcBorders>
            <w:shd w:fill="auto" w:val="clear"/>
            <w:tcMar>
              <w:bottom w:w="28" w:type="dxa"/>
              <w:right w:w="40" w:type="dxa"/>
            </w:tcMar>
          </w:tcPr>
          <w:p>
            <w:pPr>
              <w:pStyle w:val="TableContents"/>
              <w:spacing w:before="0" w:after="0"/>
              <w:rPr>
                <w:rFonts w:ascii="arial" w:hAnsi="arial"/>
                <w:sz w:val="20"/>
              </w:rPr>
            </w:pPr>
            <w:r>
              <w:rPr>
                <w:rFonts w:ascii="arial" w:hAnsi="arial"/>
                <w:sz w:val="20"/>
              </w:rPr>
              <w:t>Closing price (April 21, 2023): C$179.73/US$132.75</w:t>
            </w:r>
          </w:p>
          <w:p>
            <w:pPr>
              <w:pStyle w:val="TableContents"/>
              <w:spacing w:before="0" w:after="0"/>
              <w:rPr/>
            </w:pPr>
            <w:r>
              <w:rPr/>
              <w:t> </w:t>
            </w:r>
          </w:p>
          <w:p>
            <w:pPr>
              <w:pStyle w:val="TableContents"/>
              <w:spacing w:before="0" w:after="0"/>
              <w:rPr>
                <w:rFonts w:ascii="arial" w:hAnsi="arial"/>
                <w:sz w:val="20"/>
              </w:rPr>
            </w:pPr>
            <w:r>
              <w:rPr>
                <w:rFonts w:ascii="arial" w:hAnsi="arial"/>
                <w:sz w:val="20"/>
              </w:rPr>
              <w:t>High (2022): C$158.69/ US$117.84</w:t>
            </w:r>
          </w:p>
          <w:p>
            <w:pPr>
              <w:pStyle w:val="TableContents"/>
              <w:spacing w:before="0" w:after="0"/>
              <w:rPr/>
            </w:pPr>
            <w:r>
              <w:rPr/>
              <w:t> </w:t>
            </w:r>
          </w:p>
          <w:p>
            <w:pPr>
              <w:pStyle w:val="TableContents"/>
              <w:spacing w:before="0" w:after="0"/>
              <w:rPr>
                <w:rFonts w:ascii="arial" w:hAnsi="arial"/>
                <w:sz w:val="20"/>
              </w:rPr>
            </w:pPr>
            <w:r>
              <w:rPr>
                <w:rFonts w:ascii="arial" w:hAnsi="arial"/>
                <w:sz w:val="20"/>
              </w:rPr>
              <w:t>Low (2022): C$120.35/ US$92.58</w:t>
            </w:r>
          </w:p>
          <w:p>
            <w:pPr>
              <w:pStyle w:val="TableContents"/>
              <w:spacing w:before="0" w:after="0"/>
              <w:rPr/>
            </w:pPr>
            <w:r>
              <w:rPr/>
              <w:t> </w:t>
            </w:r>
          </w:p>
          <w:p>
            <w:pPr>
              <w:pStyle w:val="TableContents"/>
              <w:spacing w:before="0" w:after="0"/>
              <w:rPr>
                <w:rFonts w:ascii="arial" w:hAnsi="arial"/>
                <w:color w:val="B94831"/>
                <w:sz w:val="28"/>
              </w:rPr>
            </w:pPr>
            <w:r>
              <w:rPr>
                <w:rFonts w:ascii="arial" w:hAnsi="arial"/>
                <w:color w:val="B94831"/>
                <w:sz w:val="28"/>
              </w:rPr>
              <w:t>Market capitalization (April 21, 2023):</w:t>
            </w:r>
          </w:p>
          <w:p>
            <w:pPr>
              <w:pStyle w:val="TableContents"/>
              <w:spacing w:before="0" w:after="0"/>
              <w:rPr/>
            </w:pPr>
            <w:r>
              <w:rPr/>
              <w:t> </w:t>
            </w:r>
          </w:p>
          <w:p>
            <w:pPr>
              <w:pStyle w:val="TableContents"/>
              <w:spacing w:before="0" w:after="0"/>
              <w:rPr>
                <w:rFonts w:ascii="arial" w:hAnsi="arial"/>
                <w:sz w:val="20"/>
              </w:rPr>
            </w:pPr>
            <w:r>
              <w:rPr>
                <w:rFonts w:ascii="arial" w:hAnsi="arial"/>
                <w:sz w:val="20"/>
              </w:rPr>
              <w:t>US$62.5 billion</w:t>
            </w:r>
          </w:p>
          <w:p>
            <w:pPr>
              <w:pStyle w:val="TableContents"/>
              <w:spacing w:before="0" w:after="0"/>
              <w:rPr/>
            </w:pPr>
            <w:r>
              <w:rPr/>
              <w:t> </w:t>
            </w:r>
          </w:p>
          <w:p>
            <w:pPr>
              <w:pStyle w:val="TableContents"/>
              <w:spacing w:before="0" w:after="0"/>
              <w:rPr>
                <w:rFonts w:ascii="arial" w:hAnsi="arial"/>
                <w:color w:val="B94831"/>
                <w:sz w:val="28"/>
              </w:rPr>
            </w:pPr>
            <w:r>
              <w:rPr>
                <w:rFonts w:ascii="arial" w:hAnsi="arial"/>
                <w:color w:val="B94831"/>
                <w:sz w:val="28"/>
              </w:rPr>
              <w:t>Dividend per common share (as of April 21, 2023):</w:t>
            </w:r>
          </w:p>
          <w:p>
            <w:pPr>
              <w:pStyle w:val="TableContents"/>
              <w:spacing w:before="0" w:after="0"/>
              <w:rPr/>
            </w:pPr>
            <w:r>
              <w:rPr/>
              <w:t> </w:t>
            </w:r>
          </w:p>
          <w:p>
            <w:pPr>
              <w:pStyle w:val="TableContents"/>
              <w:spacing w:before="0" w:after="0"/>
              <w:rPr>
                <w:rFonts w:ascii="arial" w:hAnsi="arial"/>
                <w:sz w:val="20"/>
              </w:rPr>
            </w:pPr>
            <w:r>
              <w:rPr>
                <w:rFonts w:ascii="arial" w:hAnsi="arial"/>
                <w:sz w:val="20"/>
              </w:rPr>
              <w:t>$0.49 quarterly ($1.96 annualized)</w:t>
            </w:r>
          </w:p>
          <w:p>
            <w:pPr>
              <w:pStyle w:val="TableContents"/>
              <w:spacing w:before="0" w:after="0"/>
              <w:rPr/>
            </w:pPr>
            <w:r>
              <w:rPr/>
              <w:t> </w:t>
            </w:r>
          </w:p>
          <w:p>
            <w:pPr>
              <w:pStyle w:val="TableContents"/>
              <w:spacing w:before="0" w:after="20"/>
              <w:rPr>
                <w:rFonts w:ascii="arial" w:hAnsi="arial"/>
                <w:sz w:val="20"/>
              </w:rPr>
            </w:pPr>
            <w:r>
              <w:rPr>
                <w:rFonts w:ascii="arial" w:hAnsi="arial"/>
                <w:sz w:val="20"/>
              </w:rPr>
              <w:t>30 consecutive years of common share dividend increases.</w:t>
            </w:r>
          </w:p>
        </w:tc>
      </w:tr>
    </w:tbl>
    <w:p>
      <w:pPr>
        <w:pStyle w:val="TextBody"/>
        <w:spacing w:before="120" w:after="0"/>
        <w:jc w:val="left"/>
        <w:rPr>
          <w:rFonts w:ascii="arial" w:hAnsi="arial"/>
          <w:i/>
          <w:sz w:val="20"/>
        </w:rPr>
      </w:pPr>
      <w:r>
        <w:rPr>
          <w:rFonts w:ascii="arial" w:hAnsi="arial"/>
          <w:i/>
          <w:sz w:val="20"/>
        </w:rPr>
        <w:t xml:space="preserve">All revenue information reflected in the first table above is based on our 2022 full-year results. Our Big 3 segments refer to our Legal Professionals, Corporates and Tax &amp; Accounting Professionals segments combined. </w:t>
      </w:r>
    </w:p>
    <w:p>
      <w:pPr>
        <w:pStyle w:val="TextBody"/>
        <w:spacing w:before="120" w:after="0"/>
        <w:jc w:val="left"/>
        <w:rPr>
          <w:rFonts w:ascii="arial" w:hAnsi="arial"/>
          <w:sz w:val="20"/>
        </w:rPr>
      </w:pPr>
      <w:r>
        <w:rPr>
          <w:rFonts w:ascii="arial" w:hAnsi="arial"/>
          <w:sz w:val="20"/>
        </w:rPr>
        <w:t xml:space="preserve">For more information about our company, visit </w:t>
      </w:r>
      <w:r>
        <w:rPr>
          <w:rFonts w:ascii="Arial" w:hAnsi="Arial"/>
          <w:b/>
          <w:color w:val="335367"/>
          <w:sz w:val="20"/>
        </w:rPr>
        <w:t xml:space="preserve">www.tr.com </w:t>
      </w:r>
    </w:p>
    <w:p>
      <w:pPr>
        <w:pStyle w:val="TextBody"/>
        <w:spacing w:before="120" w:after="0"/>
        <w:jc w:val="left"/>
        <w:rPr>
          <w:rFonts w:ascii="arial" w:hAnsi="arial"/>
          <w:sz w:val="15"/>
        </w:rPr>
      </w:pPr>
      <w:r>
        <w:rPr>
          <w:rFonts w:ascii="arial" w:hAnsi="arial"/>
          <w:sz w:val="15"/>
        </w:rPr>
        <w:t xml:space="preserve">* Non-International Financial Reporting Standards (non-IFRS) financial measures. Please see the note in the Additional Information section of this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6" w:name="tx494196_12"/>
      <w:bookmarkEnd w:id="6"/>
      <w:r>
        <w:rPr>
          <w:rFonts w:ascii="arial" w:hAnsi="arial"/>
          <w:color w:val="B94831"/>
          <w:sz w:val="52"/>
        </w:rPr>
        <w:t xml:space="preserve">About this Circular and Related Proxy Materials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We are providing this circular and proxy materials to you in connection with our annual and special meeting of shareholders to be held on Wednesday, June 14, 2023. As a shareholder, you are invited to attend the virtual meeting. If you are unable to attend, you may still vote by completing the enclosed proxy form.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This circular describes the items to be voted on at the meeting and the voting process and contains additional information about executive compensation, corporate governance practices and other matters that will be discussed at the meeting. </w:t>
      </w:r>
    </w:p>
    <w:p>
      <w:pPr>
        <w:pStyle w:val="TextBody"/>
        <w:spacing w:before="120" w:after="0"/>
        <w:jc w:val="left"/>
        <w:rPr>
          <w:rFonts w:ascii="arial" w:hAnsi="arial"/>
          <w:sz w:val="20"/>
        </w:rPr>
      </w:pPr>
      <w:r>
        <w:rPr>
          <w:rFonts w:ascii="arial" w:hAnsi="arial"/>
          <w:sz w:val="20"/>
        </w:rPr>
        <w:t xml:space="preserve">Unless otherwise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information is as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all dollar amounts in this circular are expressed in U.S. dollars;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applicable amounts translated to U.S. dollars from Canadian dollars utilized the average Canadian/U.S. dollar month-end exchange rate for 2022, which was C$1 = US$0.76701;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applicable amounts translated to U.S. dollars from Swiss francs utilized the average Swiss franc/U.S. dollar month-end exchange rate for 2022, which was CHF 1 = US$1.04909. </w:t>
            </w:r>
          </w:p>
        </w:tc>
      </w:tr>
    </w:tbl>
    <w:p>
      <w:pPr>
        <w:pStyle w:val="TextBody"/>
        <w:spacing w:before="120" w:after="0"/>
        <w:jc w:val="left"/>
        <w:rPr>
          <w:rFonts w:ascii="arial" w:hAnsi="arial"/>
          <w:sz w:val="20"/>
        </w:rPr>
      </w:pPr>
      <w:r>
        <w:rPr>
          <w:rFonts w:ascii="arial" w:hAnsi="arial"/>
          <w:sz w:val="20"/>
        </w:rPr>
        <w:t xml:space="preserve">In this circular, the terms we, us and our refer to Thomson Reuters Corporation and our consolidated subsidiaries. The term Woodbridge refers to The Woodbridge Company Limited and other companies affiliated with it. </w:t>
      </w:r>
    </w:p>
    <w:p>
      <w:pPr>
        <w:pStyle w:val="TextBody"/>
        <w:spacing w:before="120" w:after="0"/>
        <w:jc w:val="left"/>
        <w:rPr>
          <w:rFonts w:ascii="arial" w:hAnsi="arial"/>
          <w:sz w:val="20"/>
        </w:rPr>
      </w:pPr>
      <w:r>
        <w:rPr>
          <w:rFonts w:ascii="arial" w:hAnsi="arial"/>
          <w:sz w:val="20"/>
        </w:rPr>
        <w:t xml:space="preserve">Please see the Voting Information and How to Attend section of this document for an explanation of how you can vote on the matters to be considered at the meeting, whether or not you decide to attend the meeting. </w:t>
      </w:r>
    </w:p>
    <w:p>
      <w:pPr>
        <w:pStyle w:val="TextBody"/>
        <w:spacing w:before="120" w:after="0"/>
        <w:jc w:val="left"/>
        <w:rPr>
          <w:rFonts w:ascii="arial" w:hAnsi="arial"/>
          <w:sz w:val="20"/>
        </w:rPr>
      </w:pPr>
      <w:r>
        <w:rPr>
          <w:rFonts w:ascii="arial" w:hAnsi="arial"/>
          <w:sz w:val="20"/>
        </w:rPr>
        <w:t xml:space="preserve">We are a Canadian company that is considered to be a foreign private issuer for U.S. federal securities law purposes. As a result, we have prepared this circular in accordance with applicable Canadian disclosure requirements. </w:t>
      </w:r>
    </w:p>
    <w:p>
      <w:pPr>
        <w:pStyle w:val="TextBody"/>
        <w:spacing w:before="120" w:after="0"/>
        <w:jc w:val="left"/>
        <w:rPr>
          <w:rFonts w:ascii="arial" w:hAnsi="arial"/>
          <w:sz w:val="20"/>
        </w:rPr>
      </w:pPr>
      <w:r>
        <w:rPr>
          <w:rFonts w:ascii="arial" w:hAnsi="arial"/>
          <w:sz w:val="20"/>
        </w:rPr>
        <w:t xml:space="preserve">Information contained on our website or any other websites identified in this circular is not part of this circular. All website addresses listed in this circular are intended to be inactive, textual references only. The Thomson Reuters logo and our other trademarks, trade names and service names mentioned in this circular are the property of Thomson Reuters. </w:t>
      </w:r>
    </w:p>
    <w:p>
      <w:pPr>
        <w:pStyle w:val="TextBody"/>
        <w:spacing w:before="120" w:after="0"/>
        <w:jc w:val="left"/>
        <w:rPr>
          <w:rFonts w:ascii="arial" w:hAnsi="arial"/>
          <w:sz w:val="20"/>
        </w:rPr>
      </w:pPr>
      <w:r>
        <w:rPr>
          <w:rFonts w:ascii="arial" w:hAnsi="arial"/>
          <w:sz w:val="20"/>
        </w:rPr>
        <w:t xml:space="preserve">Front cover photo credit: REUTERS/Yves Herman.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7" w:name="tx494196_13"/>
      <w:bookmarkEnd w:id="7"/>
      <w:r>
        <w:rPr>
          <w:rFonts w:ascii="arial" w:hAnsi="arial"/>
          <w:color w:val="B94831"/>
          <w:sz w:val="52"/>
        </w:rPr>
        <w:t xml:space="preserve">Business of the Meeting </w:t>
      </w:r>
    </w:p>
    <w:p>
      <w:pPr>
        <w:pStyle w:val="TextBody"/>
        <w:spacing w:before="580" w:after="0"/>
        <w:jc w:val="left"/>
        <w:rPr>
          <w:rFonts w:ascii="Arial" w:hAnsi="Arial"/>
          <w:b/>
          <w:sz w:val="28"/>
        </w:rPr>
      </w:pPr>
      <w:r>
        <w:rPr>
          <w:rFonts w:ascii="Arial" w:hAnsi="Arial"/>
          <w:b/>
          <w:sz w:val="28"/>
        </w:rPr>
        <w:t xml:space="preserve">Highlights </w:t>
      </w:r>
    </w:p>
    <w:p>
      <w:pPr>
        <w:pStyle w:val="TextBody"/>
        <w:spacing w:before="40" w:after="0"/>
        <w:jc w:val="left"/>
        <w:rPr>
          <w:rFonts w:ascii="arial" w:hAnsi="arial"/>
          <w:sz w:val="20"/>
        </w:rPr>
      </w:pPr>
      <w:r>
        <w:rPr>
          <w:rFonts w:ascii="arial" w:hAnsi="arial"/>
          <w:sz w:val="20"/>
        </w:rPr>
        <w:t xml:space="preserve">This years meeting will cover the following items of business. Additional information is provided in this circular. </w:t>
      </w:r>
    </w:p>
    <w:p>
      <w:pPr>
        <w:pStyle w:val="TextBody"/>
        <w:spacing w:before="0" w:after="0"/>
        <w:jc w:val="left"/>
        <w:rPr/>
      </w:pPr>
      <w:r>
        <w:rPr/>
        <w:t> </w:t>
      </w:r>
    </w:p>
    <w:tbl>
      <w:tblPr>
        <w:tblW w:w="11380" w:type="dxa"/>
        <w:jc w:val="center"/>
        <w:tblInd w:w="0" w:type="dxa"/>
        <w:tblCellMar>
          <w:top w:w="0" w:type="dxa"/>
          <w:left w:w="0" w:type="dxa"/>
          <w:bottom w:w="0" w:type="dxa"/>
          <w:right w:w="0" w:type="dxa"/>
        </w:tblCellMar>
      </w:tblPr>
      <w:tblGrid>
        <w:gridCol w:w="1565"/>
        <w:gridCol w:w="60"/>
        <w:gridCol w:w="485"/>
        <w:gridCol w:w="60"/>
        <w:gridCol w:w="935"/>
        <w:gridCol w:w="60"/>
        <w:gridCol w:w="2375"/>
        <w:gridCol w:w="60"/>
        <w:gridCol w:w="1385"/>
        <w:gridCol w:w="60"/>
        <w:gridCol w:w="1340"/>
        <w:gridCol w:w="60"/>
        <w:gridCol w:w="830"/>
        <w:gridCol w:w="60"/>
        <w:gridCol w:w="2045"/>
      </w:tblGrid>
      <w:tr>
        <w:trPr/>
        <w:tc>
          <w:tcPr>
            <w:tcW w:w="15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9275" w:type="dxa"/>
            <w:gridSpan w:val="13"/>
            <w:tcBorders/>
            <w:shd w:fill="262626" w:val="clear"/>
            <w:vAlign w:val="center"/>
          </w:tcPr>
          <w:p>
            <w:pPr>
              <w:pStyle w:val="TableContents"/>
              <w:spacing w:before="0" w:after="283"/>
              <w:rPr>
                <w:sz w:val="4"/>
                <w:szCs w:val="4"/>
              </w:rPr>
            </w:pPr>
            <w:r>
              <w:rPr>
                <w:sz w:val="4"/>
                <w:szCs w:val="4"/>
              </w:rPr>
            </w:r>
          </w:p>
        </w:tc>
        <w:tc>
          <w:tcPr>
            <w:tcW w:w="2105" w:type="dxa"/>
            <w:gridSpan w:val="2"/>
            <w:tcBorders/>
            <w:shd w:fill="262626" w:val="clear"/>
            <w:vAlign w:val="center"/>
          </w:tcPr>
          <w:p>
            <w:pPr>
              <w:pStyle w:val="TableContents"/>
              <w:spacing w:before="0" w:after="283"/>
              <w:rPr>
                <w:sz w:val="4"/>
                <w:szCs w:val="4"/>
              </w:rPr>
            </w:pPr>
            <w:r>
              <w:rPr>
                <w:sz w:val="4"/>
                <w:szCs w:val="4"/>
              </w:rPr>
            </w:r>
          </w:p>
        </w:tc>
      </w:tr>
      <w:tr>
        <w:trPr/>
        <w:tc>
          <w:tcPr>
            <w:tcW w:w="9275" w:type="dxa"/>
            <w:gridSpan w:val="13"/>
            <w:tcBorders>
              <w:bottom w:val="single" w:sz="8" w:space="0" w:color="B94831"/>
            </w:tcBorders>
            <w:shd w:fill="262626" w:val="clear"/>
            <w:tcMar>
              <w:bottom w:w="40" w:type="dxa"/>
            </w:tcMar>
          </w:tcPr>
          <w:p>
            <w:pPr>
              <w:pStyle w:val="TableContents"/>
              <w:spacing w:before="0" w:after="283"/>
              <w:rPr>
                <w:color w:val="FFFFFF"/>
              </w:rPr>
            </w:pPr>
            <w:r>
              <w:rPr>
                <w:color w:val="FFFFFF"/>
              </w:rPr>
              <w:t>  </w:t>
            </w:r>
            <w:r>
              <w:rPr>
                <w:rFonts w:ascii="Arial" w:hAnsi="Arial"/>
                <w:b/>
                <w:color w:val="FFFFFF"/>
              </w:rPr>
              <w:t>Item of Business</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2045" w:type="dxa"/>
            <w:tcBorders>
              <w:bottom w:val="single" w:sz="8" w:space="0" w:color="B94831"/>
            </w:tcBorders>
            <w:shd w:fill="262626" w:val="clear"/>
            <w:tcMar>
              <w:bottom w:w="40" w:type="dxa"/>
            </w:tcMar>
            <w:vAlign w:val="bottom"/>
          </w:tcPr>
          <w:p>
            <w:pPr>
              <w:pStyle w:val="TableContents"/>
              <w:spacing w:before="0" w:after="283"/>
              <w:rPr>
                <w:rFonts w:ascii="Arial" w:hAnsi="Arial"/>
                <w:b/>
                <w:color w:val="FFFFFF"/>
              </w:rPr>
            </w:pPr>
            <w:r>
              <w:rPr>
                <w:rFonts w:ascii="Arial" w:hAnsi="Arial"/>
                <w:b/>
                <w:color w:val="FFFFFF"/>
              </w:rPr>
              <w:t>Board Vote</w:t>
              <w:br/>
              <w:t>Recommendation</w:t>
            </w:r>
          </w:p>
        </w:tc>
      </w:tr>
      <w:tr>
        <w:trPr>
          <w:trHeight w:val="60" w:hRule="atLeast"/>
        </w:trPr>
        <w:tc>
          <w:tcPr>
            <w:tcW w:w="9275" w:type="dxa"/>
            <w:gridSpan w:val="13"/>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9275" w:type="dxa"/>
            <w:gridSpan w:val="13"/>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1. Financial statements</w:t>
            </w:r>
          </w:p>
          <w:p>
            <w:pPr>
              <w:pStyle w:val="TableContents"/>
              <w:spacing w:before="0" w:after="0"/>
              <w:rPr/>
            </w:pPr>
            <w:r>
              <w:rPr/>
              <w:t> </w:t>
            </w:r>
          </w:p>
          <w:p>
            <w:pPr>
              <w:pStyle w:val="TableContents"/>
              <w:spacing w:before="0" w:after="0"/>
              <w:rPr>
                <w:rFonts w:ascii="arial" w:hAnsi="arial"/>
                <w:sz w:val="16"/>
              </w:rPr>
            </w:pPr>
            <w:r>
              <w:rPr>
                <w:rFonts w:ascii="arial" w:hAnsi="arial"/>
                <w:sz w:val="16"/>
              </w:rPr>
              <w:t>Receipt of our 2022 audited financial statements.</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xml:space="preserve"> Our 2022 annual consolidated financial statements are included in our 2022 annual report, which is available in the Investor Relations section of our website, </w:t>
            </w:r>
            <w:r>
              <w:rPr>
                <w:rFonts w:ascii="Arial" w:hAnsi="Arial"/>
                <w:b/>
                <w:color w:val="335367"/>
                <w:sz w:val="16"/>
              </w:rPr>
              <w:t>www.tr.com</w:t>
            </w:r>
            <w:r>
              <w:rPr>
                <w:rFonts w:ascii="arial" w:hAnsi="arial"/>
                <w:sz w:val="16"/>
              </w:rPr>
              <w:t>.</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 Shareholders who requested a copy of the 2022 annual report will receive it by mail or e-mail.</w:t>
            </w:r>
          </w:p>
          <w:p>
            <w:pPr>
              <w:pStyle w:val="TableContents"/>
              <w:spacing w:before="0" w:after="0"/>
              <w:rPr/>
            </w:pPr>
            <w:r>
              <w:rPr/>
              <w:t> </w:t>
            </w:r>
          </w:p>
          <w:p>
            <w:pPr>
              <w:pStyle w:val="TableContents"/>
              <w:spacing w:before="0" w:after="20"/>
              <w:rPr>
                <w:rFonts w:ascii="arial" w:hAnsi="arial"/>
                <w:sz w:val="16"/>
              </w:rPr>
            </w:pPr>
            <w:r>
              <w:rPr>
                <w:rFonts w:ascii="SYMBOL" w:hAnsi="SYMBOL"/>
                <w:color w:val="B94831"/>
                <w:sz w:val="12"/>
              </w:rPr>
              <w:t>·</w:t>
            </w:r>
            <w:r>
              <w:rPr>
                <w:rFonts w:ascii="arial" w:hAnsi="arial"/>
                <w:sz w:val="16"/>
              </w:rPr>
              <w:t> Representatives from Thomson Reuters and our independent auditor, PricewaterhouseCoopers LLP, will be available to discuss any questions about our financial statements at the meeting.</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45" w:type="dxa"/>
            <w:tcBorders>
              <w:bottom w:val="single" w:sz="2" w:space="0" w:color="AFAFAF"/>
            </w:tcBorders>
            <w:shd w:fill="auto" w:val="clear"/>
            <w:tcMar>
              <w:bottom w:w="60" w:type="dxa"/>
            </w:tcMar>
          </w:tcPr>
          <w:p>
            <w:pPr>
              <w:pStyle w:val="TableContents"/>
              <w:spacing w:before="0" w:after="283"/>
              <w:rPr/>
            </w:pPr>
            <w:r>
              <w:rPr/>
              <w:t>N/A</w:t>
            </w:r>
          </w:p>
        </w:tc>
      </w:tr>
      <w:tr>
        <w:trPr>
          <w:trHeight w:val="60" w:hRule="atLeast"/>
        </w:trPr>
        <w:tc>
          <w:tcPr>
            <w:tcW w:w="9275" w:type="dxa"/>
            <w:gridSpan w:val="13"/>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9275" w:type="dxa"/>
            <w:gridSpan w:val="13"/>
            <w:tcBorders/>
            <w:shd w:fill="auto" w:val="clear"/>
          </w:tcPr>
          <w:p>
            <w:pPr>
              <w:pStyle w:val="TableContents"/>
              <w:spacing w:before="0" w:after="0"/>
              <w:rPr>
                <w:rFonts w:ascii="Arial" w:hAnsi="Arial"/>
                <w:b/>
                <w:sz w:val="16"/>
              </w:rPr>
            </w:pPr>
            <w:r>
              <w:rPr>
                <w:rFonts w:ascii="Arial" w:hAnsi="Arial"/>
                <w:b/>
                <w:sz w:val="16"/>
              </w:rPr>
              <w:t>2. Election of Directors (page 24 of the circular)</w:t>
            </w:r>
          </w:p>
          <w:p>
            <w:pPr>
              <w:pStyle w:val="TableContents"/>
              <w:spacing w:before="0" w:after="0"/>
              <w:rPr/>
            </w:pPr>
            <w:r>
              <w:rPr/>
              <w:t> </w:t>
            </w:r>
          </w:p>
          <w:p>
            <w:pPr>
              <w:pStyle w:val="TableContents"/>
              <w:spacing w:before="0" w:after="0"/>
              <w:rPr>
                <w:rFonts w:ascii="arial" w:hAnsi="arial"/>
                <w:sz w:val="16"/>
              </w:rPr>
            </w:pPr>
            <w:r>
              <w:rPr>
                <w:rFonts w:ascii="arial" w:hAnsi="arial"/>
                <w:sz w:val="16"/>
              </w:rPr>
              <w:t>At the meeting, 14 individuals are proposed to be elected to our Board of Directors. All of these individuals are currently directors of our company.</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 The Corporate Governance Committee believes that the director nominees have the qualifications, skills and experience necessary for the Board to fulfill its mandate.</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 A majority of our directors are independent and four of our directors (David Thomson, David Binet, Ed Clark and Peter Thomson) are affiliated with our principal shareholder, Woodbridge. Only one director (our CEO, Steve Hasker) is a member of management.</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 The roles and responsibilities of the Chairman (David Thomson) and the CEO (Steve Hasker) are separate.</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 36% of the director nominees are women and two have self-identified as racially or ethnically diverse.</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 A majority of the director nominees have been on the Board for less than five years.</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 Shareholders vote annually for individual directors. At last years annual meeting, our director nominees who are standing for re-election received an average of 98% for votes.</w:t>
            </w:r>
          </w:p>
          <w:p>
            <w:pPr>
              <w:pStyle w:val="TableContents"/>
              <w:spacing w:before="0" w:after="0"/>
              <w:rPr/>
            </w:pPr>
            <w:r>
              <w:rPr/>
              <w:t> </w:t>
            </w:r>
          </w:p>
          <w:p>
            <w:pPr>
              <w:pStyle w:val="TableContents"/>
              <w:spacing w:before="0" w:after="20"/>
              <w:rPr>
                <w:rFonts w:ascii="arial" w:hAnsi="arial"/>
                <w:sz w:val="16"/>
              </w:rPr>
            </w:pPr>
            <w:r>
              <w:rPr>
                <w:rFonts w:ascii="arial" w:hAnsi="arial"/>
                <w:sz w:val="16"/>
              </w:rPr>
              <w:t>The director nominees for this years meeting are:</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283"/>
              <w:rPr/>
            </w:pPr>
            <w:r>
              <w:rPr>
                <w:color w:val="54F400"/>
              </w:rPr>
              <w:t>✓</w:t>
            </w:r>
            <w:r>
              <w:rPr/>
              <w:t xml:space="preserve"> </w:t>
            </w:r>
            <w:r>
              <w:rPr/>
              <w:t>FOR each director nominee</w:t>
            </w:r>
          </w:p>
        </w:tc>
      </w:tr>
      <w:tr>
        <w:trPr>
          <w:trHeight w:val="30" w:hRule="atLeast"/>
        </w:trPr>
        <w:tc>
          <w:tcPr>
            <w:tcW w:w="1565" w:type="dxa"/>
            <w:tcBorders/>
            <w:shd w:fill="262626" w:val="clear"/>
            <w:vAlign w:val="center"/>
          </w:tcPr>
          <w:p>
            <w:pPr>
              <w:pStyle w:val="TableContents"/>
              <w:spacing w:before="0" w:after="283"/>
              <w:rPr>
                <w:sz w:val="4"/>
                <w:szCs w:val="4"/>
              </w:rPr>
            </w:pPr>
            <w:r>
              <w:rPr>
                <w:sz w:val="4"/>
                <w:szCs w:val="4"/>
              </w:rPr>
            </w:r>
          </w:p>
        </w:tc>
        <w:tc>
          <w:tcPr>
            <w:tcW w:w="545" w:type="dxa"/>
            <w:gridSpan w:val="2"/>
            <w:tcBorders/>
            <w:shd w:fill="262626" w:val="clear"/>
            <w:vAlign w:val="center"/>
          </w:tcPr>
          <w:p>
            <w:pPr>
              <w:pStyle w:val="TableContents"/>
              <w:spacing w:before="0" w:after="283"/>
              <w:rPr>
                <w:sz w:val="4"/>
                <w:szCs w:val="4"/>
              </w:rPr>
            </w:pPr>
            <w:r>
              <w:rPr>
                <w:sz w:val="4"/>
                <w:szCs w:val="4"/>
              </w:rPr>
            </w:r>
          </w:p>
        </w:tc>
        <w:tc>
          <w:tcPr>
            <w:tcW w:w="995" w:type="dxa"/>
            <w:gridSpan w:val="2"/>
            <w:tcBorders/>
            <w:shd w:fill="262626" w:val="clear"/>
            <w:vAlign w:val="center"/>
          </w:tcPr>
          <w:p>
            <w:pPr>
              <w:pStyle w:val="TableContents"/>
              <w:spacing w:before="0" w:after="283"/>
              <w:rPr>
                <w:sz w:val="4"/>
                <w:szCs w:val="4"/>
              </w:rPr>
            </w:pPr>
            <w:r>
              <w:rPr>
                <w:sz w:val="4"/>
                <w:szCs w:val="4"/>
              </w:rPr>
            </w:r>
          </w:p>
        </w:tc>
        <w:tc>
          <w:tcPr>
            <w:tcW w:w="2435" w:type="dxa"/>
            <w:gridSpan w:val="2"/>
            <w:tcBorders/>
            <w:shd w:fill="262626" w:val="clear"/>
            <w:vAlign w:val="center"/>
          </w:tcPr>
          <w:p>
            <w:pPr>
              <w:pStyle w:val="TableContents"/>
              <w:spacing w:before="0" w:after="283"/>
              <w:rPr>
                <w:sz w:val="4"/>
                <w:szCs w:val="4"/>
              </w:rPr>
            </w:pPr>
            <w:r>
              <w:rPr>
                <w:sz w:val="4"/>
                <w:szCs w:val="4"/>
              </w:rPr>
            </w:r>
          </w:p>
        </w:tc>
        <w:tc>
          <w:tcPr>
            <w:tcW w:w="1445" w:type="dxa"/>
            <w:gridSpan w:val="2"/>
            <w:tcBorders/>
            <w:shd w:fill="262626" w:val="clear"/>
            <w:vAlign w:val="center"/>
          </w:tcPr>
          <w:p>
            <w:pPr>
              <w:pStyle w:val="TableContents"/>
              <w:spacing w:before="0" w:after="283"/>
              <w:rPr>
                <w:sz w:val="4"/>
                <w:szCs w:val="4"/>
              </w:rPr>
            </w:pPr>
            <w:r>
              <w:rPr>
                <w:sz w:val="4"/>
                <w:szCs w:val="4"/>
              </w:rPr>
            </w:r>
          </w:p>
        </w:tc>
        <w:tc>
          <w:tcPr>
            <w:tcW w:w="1400" w:type="dxa"/>
            <w:gridSpan w:val="2"/>
            <w:tcBorders/>
            <w:shd w:fill="262626" w:val="clear"/>
            <w:vAlign w:val="center"/>
          </w:tcPr>
          <w:p>
            <w:pPr>
              <w:pStyle w:val="TableContents"/>
              <w:spacing w:before="0" w:after="283"/>
              <w:rPr>
                <w:sz w:val="4"/>
                <w:szCs w:val="4"/>
              </w:rPr>
            </w:pPr>
            <w:r>
              <w:rPr>
                <w:sz w:val="4"/>
                <w:szCs w:val="4"/>
              </w:rPr>
            </w:r>
          </w:p>
        </w:tc>
        <w:tc>
          <w:tcPr>
            <w:tcW w:w="890" w:type="dxa"/>
            <w:gridSpan w:val="2"/>
            <w:tcBorders/>
            <w:shd w:fill="262626"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bottom w:val="single" w:sz="8" w:space="0" w:color="B94831"/>
            </w:tcBorders>
            <w:shd w:fill="262626" w:val="clear"/>
            <w:tcMar>
              <w:bottom w:w="60" w:type="dxa"/>
            </w:tcMar>
            <w:vAlign w:val="bottom"/>
          </w:tcPr>
          <w:p>
            <w:pPr>
              <w:pStyle w:val="TableContents"/>
              <w:spacing w:before="0" w:after="283"/>
              <w:rPr>
                <w:color w:val="FFFFFF"/>
              </w:rPr>
            </w:pPr>
            <w:r>
              <w:rPr>
                <w:color w:val="FFFFFF"/>
              </w:rPr>
              <w:t>  </w:t>
            </w:r>
            <w:r>
              <w:rPr>
                <w:rFonts w:ascii="Arial" w:hAnsi="Arial"/>
                <w:b/>
                <w:color w:val="FFFFFF"/>
              </w:rPr>
              <w:t>Name</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485" w:type="dxa"/>
            <w:tcBorders>
              <w:bottom w:val="single" w:sz="8" w:space="0" w:color="B94831"/>
            </w:tcBorders>
            <w:shd w:fill="262626" w:val="clear"/>
            <w:tcMar>
              <w:bottom w:w="60" w:type="dxa"/>
            </w:tcMar>
            <w:vAlign w:val="bottom"/>
          </w:tcPr>
          <w:p>
            <w:pPr>
              <w:pStyle w:val="TableContents"/>
              <w:spacing w:before="0" w:after="283"/>
              <w:rPr>
                <w:rFonts w:ascii="Arial" w:hAnsi="Arial"/>
                <w:b/>
                <w:color w:val="FFFFFF"/>
              </w:rPr>
            </w:pPr>
            <w:r>
              <w:rPr>
                <w:rFonts w:ascii="Arial" w:hAnsi="Arial"/>
                <w:b/>
                <w:color w:val="FFFFFF"/>
              </w:rPr>
              <w:t>Age</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935"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Director</w:t>
              <w:br/>
              <w:t>Since</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2375"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Principal occupation</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385"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Committees</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340"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Attendance in 2022</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830"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Other</w:t>
              <w:br/>
              <w:t>public</w:t>
              <w:br/>
              <w:t>boards</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vAlign w:val="bottom"/>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David Thomson</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65</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1988</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Chairman of Woodbridge</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Steve Hasker</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53</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President and CEO of Thomson Reuters</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Kirk E. Arnold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63</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Executive-in-Residence, General Catalyst Ventures</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CG, HR,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96%</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2</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David W. Binet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65</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2013</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President and CEO of Woodbridge</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CG, HR,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W. Edmund Clark, C.M.</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75</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2015</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Former Group President and CEO of TD Bank Group</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CG, HR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LaVerne Council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61</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2022</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CEO of Emerald One</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94%</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2</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Michael E. Daniels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68</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2014</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Former SVP and Group Executive at IBM</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CG, HR,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84%</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2</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Kirk Koenigsbauer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55</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COO and Corporate VP, Microsoft</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HR,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Deanna Oppenheimer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65</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Founder, Cameoworks</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CG</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Simon Paris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53</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CEO, Finastra</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CG,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Kim M. Rivera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54</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2019</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Chief Legal and Business Affairs Officer, OneTrust</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Barry Salzberg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69</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2015</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Former Global CEO of Deloitte</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CG, 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Peter J. Thomson</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57</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1995</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Chairman of Woodbridge</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HR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100%</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rHeight w:val="60" w:hRule="atLeast"/>
        </w:trPr>
        <w:tc>
          <w:tcPr>
            <w:tcW w:w="1565"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995" w:type="dxa"/>
            <w:gridSpan w:val="2"/>
            <w:tcBorders/>
            <w:shd w:fill="auto" w:val="clear"/>
            <w:vAlign w:val="center"/>
          </w:tcPr>
          <w:p>
            <w:pPr>
              <w:pStyle w:val="TableContents"/>
              <w:spacing w:before="0" w:after="283"/>
              <w:rPr>
                <w:sz w:val="4"/>
                <w:szCs w:val="4"/>
              </w:rPr>
            </w:pPr>
            <w:r>
              <w:rPr>
                <w:sz w:val="4"/>
                <w:szCs w:val="4"/>
              </w:rPr>
            </w:r>
          </w:p>
        </w:tc>
        <w:tc>
          <w:tcPr>
            <w:tcW w:w="2435" w:type="dxa"/>
            <w:gridSpan w:val="2"/>
            <w:tcBorders/>
            <w:shd w:fill="auto" w:val="clear"/>
            <w:vAlign w:val="center"/>
          </w:tcPr>
          <w:p>
            <w:pPr>
              <w:pStyle w:val="TableContents"/>
              <w:spacing w:before="0" w:after="283"/>
              <w:rPr>
                <w:sz w:val="4"/>
                <w:szCs w:val="4"/>
              </w:rPr>
            </w:pPr>
            <w:r>
              <w:rPr>
                <w:sz w:val="4"/>
                <w:szCs w:val="4"/>
              </w:rPr>
            </w:r>
          </w:p>
        </w:tc>
        <w:tc>
          <w:tcPr>
            <w:tcW w:w="1445" w:type="dxa"/>
            <w:gridSpan w:val="2"/>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vAlign w:val="center"/>
          </w:tcPr>
          <w:p>
            <w:pPr>
              <w:pStyle w:val="TableContents"/>
              <w:spacing w:before="0" w:after="283"/>
              <w:rPr>
                <w:sz w:val="4"/>
                <w:szCs w:val="4"/>
              </w:rPr>
            </w:pPr>
            <w:r>
              <w:rPr>
                <w:sz w:val="4"/>
                <w:szCs w:val="4"/>
              </w:rPr>
            </w:r>
          </w:p>
        </w:tc>
        <w:tc>
          <w:tcPr>
            <w:tcW w:w="8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1565" w:type="dxa"/>
            <w:tcBorders/>
            <w:shd w:fill="auto" w:val="clear"/>
          </w:tcPr>
          <w:p>
            <w:pPr>
              <w:pStyle w:val="TableContents"/>
              <w:spacing w:before="0" w:after="0"/>
              <w:rPr/>
            </w:pPr>
            <w:r>
              <w:rPr/>
              <w:t>  </w:t>
            </w:r>
            <w:r>
              <w:rPr>
                <w:rFonts w:ascii="Arial" w:hAnsi="Arial"/>
                <w:b/>
                <w:sz w:val="16"/>
              </w:rPr>
              <w:t xml:space="preserve">Beth Wilson </w:t>
            </w:r>
            <w:r>
              <w:rPr>
                <w:rFonts w:ascii="Arial" w:hAnsi="Arial"/>
                <w:b/>
                <w:color w:val="54F400"/>
                <w:sz w:val="16"/>
              </w:rPr>
              <w:t>✓</w:t>
            </w:r>
          </w:p>
        </w:tc>
        <w:tc>
          <w:tcPr>
            <w:tcW w:w="60"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rPr/>
            </w:pPr>
            <w:r>
              <w:rPr/>
              <w:t>54</w:t>
            </w:r>
          </w:p>
        </w:tc>
        <w:tc>
          <w:tcPr>
            <w:tcW w:w="60"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283"/>
              <w:jc w:val="center"/>
              <w:rPr/>
            </w:pPr>
            <w:r>
              <w:rPr/>
              <w:t>2022</w:t>
            </w:r>
          </w:p>
        </w:tc>
        <w:tc>
          <w:tcPr>
            <w:tcW w:w="60" w:type="dxa"/>
            <w:tcBorders/>
            <w:shd w:fill="auto" w:val="clear"/>
            <w:vAlign w:val="bottom"/>
          </w:tcPr>
          <w:p>
            <w:pPr>
              <w:pStyle w:val="TableContents"/>
              <w:spacing w:before="0" w:after="283"/>
              <w:rPr/>
            </w:pPr>
            <w:r>
              <w:rPr/>
              <w:t> </w:t>
            </w:r>
          </w:p>
        </w:tc>
        <w:tc>
          <w:tcPr>
            <w:tcW w:w="2375" w:type="dxa"/>
            <w:tcBorders/>
            <w:shd w:fill="auto" w:val="clear"/>
          </w:tcPr>
          <w:p>
            <w:pPr>
              <w:pStyle w:val="TableContents"/>
              <w:spacing w:before="0" w:after="283"/>
              <w:rPr/>
            </w:pPr>
            <w:r>
              <w:rPr/>
              <w:t>Vice-Chair of the Chartered Professional Accountants of Canada</w:t>
            </w:r>
          </w:p>
        </w:tc>
        <w:tc>
          <w:tcPr>
            <w:tcW w:w="60" w:type="dxa"/>
            <w:tcBorders/>
            <w:shd w:fill="auto" w:val="clear"/>
            <w:vAlign w:val="bottom"/>
          </w:tcPr>
          <w:p>
            <w:pPr>
              <w:pStyle w:val="TableContents"/>
              <w:spacing w:before="0" w:after="283"/>
              <w:rPr/>
            </w:pPr>
            <w:r>
              <w:rPr/>
              <w:t> </w:t>
            </w:r>
          </w:p>
        </w:tc>
        <w:tc>
          <w:tcPr>
            <w:tcW w:w="1385" w:type="dxa"/>
            <w:tcBorders/>
            <w:shd w:fill="auto" w:val="clear"/>
          </w:tcPr>
          <w:p>
            <w:pPr>
              <w:pStyle w:val="TableContents"/>
              <w:spacing w:before="0" w:after="283"/>
              <w:jc w:val="center"/>
              <w:rPr/>
            </w:pPr>
            <w:r>
              <w:rPr/>
              <w:t>A, HR</w:t>
            </w:r>
          </w:p>
        </w:tc>
        <w:tc>
          <w:tcPr>
            <w:tcW w:w="60" w:type="dxa"/>
            <w:tcBorders/>
            <w:shd w:fill="auto" w:val="clear"/>
            <w:vAlign w:val="bottom"/>
          </w:tcPr>
          <w:p>
            <w:pPr>
              <w:pStyle w:val="TableContents"/>
              <w:spacing w:before="0" w:after="283"/>
              <w:rPr/>
            </w:pPr>
            <w:r>
              <w:rPr/>
              <w:t> </w:t>
            </w:r>
          </w:p>
        </w:tc>
        <w:tc>
          <w:tcPr>
            <w:tcW w:w="1340" w:type="dxa"/>
            <w:tcBorders/>
            <w:shd w:fill="auto" w:val="clear"/>
          </w:tcPr>
          <w:p>
            <w:pPr>
              <w:pStyle w:val="TableContents"/>
              <w:spacing w:before="0" w:after="283"/>
              <w:jc w:val="center"/>
              <w:rPr/>
            </w:pPr>
            <w:r>
              <w:rPr/>
              <w:t>89%</w:t>
            </w:r>
          </w:p>
        </w:tc>
        <w:tc>
          <w:tcPr>
            <w:tcW w:w="60"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1</w:t>
            </w:r>
          </w:p>
        </w:tc>
        <w:tc>
          <w:tcPr>
            <w:tcW w:w="60" w:type="dxa"/>
            <w:tcBorders>
              <w:left w:val="single" w:sz="2" w:space="0" w:color="AFAFAF"/>
            </w:tcBorders>
            <w:shd w:fill="auto" w:val="clear"/>
            <w:tcMar>
              <w:left w:w="28" w:type="dxa"/>
            </w:tcMar>
            <w:vAlign w:val="bottom"/>
          </w:tcPr>
          <w:p>
            <w:pPr>
              <w:pStyle w:val="TableContents"/>
              <w:spacing w:before="0" w:after="283"/>
              <w:rPr/>
            </w:pPr>
            <w:r>
              <w:rPr/>
              <w:t> </w:t>
            </w:r>
          </w:p>
        </w:tc>
        <w:tc>
          <w:tcPr>
            <w:tcW w:w="2045" w:type="dxa"/>
            <w:tcBorders/>
            <w:shd w:fill="auto" w:val="clear"/>
          </w:tcPr>
          <w:p>
            <w:pPr>
              <w:pStyle w:val="TableContents"/>
              <w:spacing w:before="0" w:after="0"/>
              <w:rPr/>
            </w:pPr>
            <w:r>
              <w:rPr/>
              <w:t> </w:t>
            </w:r>
          </w:p>
        </w:tc>
      </w:tr>
      <w:tr>
        <w:trPr/>
        <w:tc>
          <w:tcPr>
            <w:tcW w:w="9275" w:type="dxa"/>
            <w:gridSpan w:val="13"/>
            <w:tcBorders>
              <w:bottom w:val="single" w:sz="2" w:space="0" w:color="AFAFAF"/>
              <w:right w:val="single" w:sz="2" w:space="0" w:color="AFAFAF"/>
            </w:tcBorders>
            <w:shd w:fill="auto" w:val="clear"/>
            <w:tcMar>
              <w:bottom w:w="28" w:type="dxa"/>
              <w:right w:w="28" w:type="dxa"/>
            </w:tcMar>
          </w:tcPr>
          <w:p>
            <w:pPr>
              <w:pStyle w:val="TableContents"/>
              <w:spacing w:before="0" w:after="0"/>
              <w:rPr/>
            </w:pPr>
            <w:r>
              <w:rPr>
                <w:color w:val="54F400"/>
              </w:rPr>
              <w:t>✓</w:t>
            </w:r>
            <w:r>
              <w:rPr/>
              <w:t xml:space="preserve"> </w:t>
            </w:r>
            <w:r>
              <w:rPr>
                <w:rFonts w:ascii="Arial" w:hAnsi="Arial"/>
                <w:b/>
                <w:sz w:val="16"/>
              </w:rPr>
              <w:t>= independent</w:t>
            </w:r>
          </w:p>
          <w:p>
            <w:pPr>
              <w:pStyle w:val="TableContents"/>
              <w:spacing w:before="0" w:after="20"/>
              <w:rPr>
                <w:rFonts w:ascii="Arial" w:hAnsi="Arial"/>
                <w:b/>
                <w:sz w:val="16"/>
              </w:rPr>
            </w:pPr>
            <w:r>
              <w:rPr>
                <w:rFonts w:ascii="Arial" w:hAnsi="Arial"/>
                <w:b/>
                <w:sz w:val="16"/>
              </w:rPr>
              <w:t>Committee legend: A = Audit; CG = Corporate Governance; HR = Human Resources; and R = Risk</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45" w:type="dxa"/>
            <w:tcBorders>
              <w:bottom w:val="single" w:sz="2" w:space="0" w:color="AFAFAF"/>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0410" w:type="dxa"/>
        <w:jc w:val="center"/>
        <w:tblInd w:w="0" w:type="dxa"/>
        <w:tblCellMar>
          <w:top w:w="0" w:type="dxa"/>
          <w:left w:w="0" w:type="dxa"/>
          <w:bottom w:w="0" w:type="dxa"/>
          <w:right w:w="0" w:type="dxa"/>
        </w:tblCellMar>
      </w:tblPr>
      <w:tblGrid>
        <w:gridCol w:w="1115"/>
        <w:gridCol w:w="60"/>
        <w:gridCol w:w="1655"/>
        <w:gridCol w:w="60"/>
        <w:gridCol w:w="1565"/>
        <w:gridCol w:w="120"/>
        <w:gridCol w:w="2300"/>
        <w:gridCol w:w="60"/>
        <w:gridCol w:w="1310"/>
        <w:gridCol w:w="60"/>
        <w:gridCol w:w="78"/>
        <w:gridCol w:w="1967"/>
        <w:gridCol w:w="60"/>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8245" w:type="dxa"/>
            <w:gridSpan w:val="9"/>
            <w:tcBorders/>
            <w:shd w:fill="262626" w:val="clear"/>
            <w:vAlign w:val="center"/>
          </w:tcPr>
          <w:p>
            <w:pPr>
              <w:pStyle w:val="TableContents"/>
              <w:spacing w:before="0" w:after="283"/>
              <w:rPr>
                <w:sz w:val="4"/>
                <w:szCs w:val="4"/>
              </w:rPr>
            </w:pPr>
            <w:r>
              <w:rPr>
                <w:sz w:val="4"/>
                <w:szCs w:val="4"/>
              </w:rPr>
            </w:r>
          </w:p>
        </w:tc>
        <w:tc>
          <w:tcPr>
            <w:tcW w:w="2165"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8245" w:type="dxa"/>
            <w:gridSpan w:val="9"/>
            <w:tcBorders>
              <w:bottom w:val="single" w:sz="8" w:space="0" w:color="B94831"/>
            </w:tcBorders>
            <w:shd w:fill="262626" w:val="clear"/>
            <w:tcMar>
              <w:bottom w:w="40" w:type="dxa"/>
            </w:tcMar>
          </w:tcPr>
          <w:p>
            <w:pPr>
              <w:pStyle w:val="TableContents"/>
              <w:spacing w:before="0" w:after="283"/>
              <w:rPr>
                <w:color w:val="FFFFFF"/>
              </w:rPr>
            </w:pPr>
            <w:r>
              <w:rPr>
                <w:color w:val="FFFFFF"/>
              </w:rPr>
              <w:t>   </w:t>
            </w:r>
            <w:r>
              <w:rPr>
                <w:rFonts w:ascii="Arial" w:hAnsi="Arial"/>
                <w:b/>
                <w:color w:val="FFFFFF"/>
              </w:rPr>
              <w:t>Item of Business</w:t>
            </w:r>
          </w:p>
        </w:tc>
        <w:tc>
          <w:tcPr>
            <w:tcW w:w="60"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2045" w:type="dxa"/>
            <w:gridSpan w:val="2"/>
            <w:tcBorders>
              <w:bottom w:val="single" w:sz="8" w:space="0" w:color="B94831"/>
            </w:tcBorders>
            <w:shd w:fill="262626" w:val="clear"/>
            <w:tcMar>
              <w:bottom w:w="40" w:type="dxa"/>
            </w:tcMar>
            <w:vAlign w:val="bottom"/>
          </w:tcPr>
          <w:p>
            <w:pPr>
              <w:pStyle w:val="TableContents"/>
              <w:spacing w:before="0" w:after="283"/>
              <w:rPr>
                <w:rFonts w:ascii="Arial" w:hAnsi="Arial"/>
                <w:b/>
                <w:color w:val="FFFFFF"/>
              </w:rPr>
            </w:pPr>
            <w:r>
              <w:rPr>
                <w:rFonts w:ascii="Arial" w:hAnsi="Arial"/>
                <w:b/>
                <w:color w:val="FFFFFF"/>
              </w:rPr>
              <w:t>Board Vote</w:t>
              <w:br/>
              <w:t>Recommendation</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r>
      <w:tr>
        <w:trPr>
          <w:trHeight w:val="30" w:hRule="atLeast"/>
        </w:trPr>
        <w:tc>
          <w:tcPr>
            <w:tcW w:w="8245" w:type="dxa"/>
            <w:gridSpan w:val="9"/>
            <w:tcBorders/>
            <w:shd w:fill="auto" w:val="clear"/>
            <w:vAlign w:val="center"/>
          </w:tcPr>
          <w:p>
            <w:pPr>
              <w:pStyle w:val="TableContents"/>
              <w:spacing w:before="0" w:after="283"/>
              <w:rPr>
                <w:sz w:val="4"/>
                <w:szCs w:val="4"/>
              </w:rPr>
            </w:pPr>
            <w:r>
              <w:rPr>
                <w:sz w:val="4"/>
                <w:szCs w:val="4"/>
              </w:rPr>
            </w:r>
          </w:p>
        </w:tc>
        <w:tc>
          <w:tcPr>
            <w:tcW w:w="2165"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8245" w:type="dxa"/>
            <w:gridSpan w:val="9"/>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3. Appointment of PricewaterhouseCoopers LLP as Auditor (page 61 of the circular)</w:t>
            </w:r>
          </w:p>
          <w:p>
            <w:pPr>
              <w:pStyle w:val="TableContents"/>
              <w:spacing w:before="0" w:after="0"/>
              <w:rPr/>
            </w:pPr>
            <w:r>
              <w:rPr/>
              <w:t> </w:t>
            </w:r>
          </w:p>
          <w:p>
            <w:pPr>
              <w:pStyle w:val="TableContents"/>
              <w:spacing w:before="0" w:after="0"/>
              <w:rPr>
                <w:rFonts w:ascii="arial" w:hAnsi="arial"/>
                <w:sz w:val="16"/>
              </w:rPr>
            </w:pPr>
            <w:r>
              <w:rPr>
                <w:rFonts w:ascii="arial" w:hAnsi="arial"/>
                <w:sz w:val="16"/>
              </w:rPr>
              <w:t>We are proposing to re-appoint PricewaterhouseCoopers LLP as our independent auditor for another year until the 2024 annual meeting of shareholders. Our Audit Committee is directly responsible for overseeing the independent auditor during the year.</w:t>
            </w:r>
          </w:p>
          <w:p>
            <w:pPr>
              <w:pStyle w:val="TableContents"/>
              <w:spacing w:before="0" w:after="2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40" w:type="dxa"/>
            </w:tcMar>
          </w:tcPr>
          <w:p>
            <w:pPr>
              <w:pStyle w:val="TableContents"/>
              <w:spacing w:before="0" w:after="283"/>
              <w:rPr/>
            </w:pPr>
            <w:r>
              <w:rPr/>
              <w:t> </w:t>
            </w:r>
          </w:p>
        </w:tc>
        <w:tc>
          <w:tcPr>
            <w:tcW w:w="1967" w:type="dxa"/>
            <w:tcBorders>
              <w:bottom w:val="single" w:sz="2" w:space="0" w:color="AFAFAF"/>
            </w:tcBorders>
            <w:shd w:fill="auto" w:val="clear"/>
            <w:tcMar>
              <w:bottom w:w="40" w:type="dxa"/>
            </w:tcMar>
          </w:tcPr>
          <w:p>
            <w:pPr>
              <w:pStyle w:val="TableContents"/>
              <w:spacing w:before="0" w:after="283"/>
              <w:rPr/>
            </w:pPr>
            <w:r>
              <w:rPr>
                <w:color w:val="54F400"/>
              </w:rPr>
              <w:t>✓</w:t>
            </w:r>
            <w:r>
              <w:rPr/>
              <w:t> </w:t>
            </w:r>
            <w:r>
              <w:rPr/>
              <w:t>FOR</w:t>
            </w:r>
          </w:p>
        </w:tc>
        <w:tc>
          <w:tcPr>
            <w:tcW w:w="60" w:type="dxa"/>
            <w:tcBorders>
              <w:bottom w:val="single" w:sz="2" w:space="0" w:color="AFAFAF"/>
            </w:tcBorders>
            <w:shd w:fill="auto" w:val="clear"/>
            <w:tcMar>
              <w:bottom w:w="40" w:type="dxa"/>
            </w:tcMar>
          </w:tcPr>
          <w:p>
            <w:pPr>
              <w:pStyle w:val="TableContents"/>
              <w:spacing w:before="0" w:after="283"/>
              <w:rPr/>
            </w:pPr>
            <w:r>
              <w:rPr/>
              <w:t> </w:t>
            </w:r>
          </w:p>
        </w:tc>
      </w:tr>
      <w:tr>
        <w:trPr/>
        <w:tc>
          <w:tcPr>
            <w:tcW w:w="8245" w:type="dxa"/>
            <w:gridSpan w:val="9"/>
            <w:tcBorders/>
            <w:shd w:fill="auto" w:val="clear"/>
          </w:tcPr>
          <w:p>
            <w:pPr>
              <w:pStyle w:val="TableContents"/>
              <w:spacing w:before="0" w:after="0"/>
              <w:rPr>
                <w:rFonts w:ascii="Arial" w:hAnsi="Arial"/>
                <w:b/>
                <w:sz w:val="16"/>
              </w:rPr>
            </w:pPr>
            <w:r>
              <w:rPr>
                <w:rFonts w:ascii="Arial" w:hAnsi="Arial"/>
                <w:b/>
                <w:sz w:val="16"/>
              </w:rPr>
              <w:t>4. Advisory resolution on executive compensation (page 67 of the circular)</w:t>
            </w:r>
          </w:p>
          <w:p>
            <w:pPr>
              <w:pStyle w:val="TableContents"/>
              <w:spacing w:before="0" w:after="0"/>
              <w:rPr/>
            </w:pPr>
            <w:r>
              <w:rPr/>
              <w:t> </w:t>
            </w:r>
          </w:p>
          <w:p>
            <w:pPr>
              <w:pStyle w:val="TableContents"/>
              <w:spacing w:before="0" w:after="20"/>
              <w:rPr>
                <w:rFonts w:ascii="arial" w:hAnsi="arial"/>
                <w:sz w:val="16"/>
              </w:rPr>
            </w:pPr>
            <w:r>
              <w:rPr>
                <w:rFonts w:ascii="arial" w:hAnsi="arial"/>
                <w:sz w:val="16"/>
              </w:rPr>
              <w:t>We will have a non-binding advisory resolution on executive compensation, which is sometimes called say on pay. This will provide you with an opportunity to provide a view on our companys approach to executive compensation, as described in this circular.</w:t>
            </w:r>
          </w:p>
        </w:tc>
        <w:tc>
          <w:tcPr>
            <w:tcW w:w="60" w:type="dxa"/>
            <w:vMerge w:val="restart"/>
            <w:tcBorders>
              <w:left w:val="single" w:sz="2" w:space="0" w:color="AFAFAF"/>
            </w:tcBorders>
            <w:shd w:fill="auto" w:val="clear"/>
            <w:tcMar>
              <w:left w:w="28" w:type="dxa"/>
            </w:tcMar>
            <w:vAlign w:val="bottom"/>
          </w:tcPr>
          <w:p>
            <w:pPr>
              <w:pStyle w:val="TableContents"/>
              <w:spacing w:before="0" w:after="283"/>
              <w:rPr/>
            </w:pPr>
            <w:r>
              <w:rPr/>
              <w:t> </w:t>
            </w:r>
          </w:p>
        </w:tc>
        <w:tc>
          <w:tcPr>
            <w:tcW w:w="78" w:type="dxa"/>
            <w:vMerge w:val="restart"/>
            <w:tcBorders/>
            <w:shd w:fill="auto" w:val="clear"/>
          </w:tcPr>
          <w:p>
            <w:pPr>
              <w:pStyle w:val="TableContents"/>
              <w:spacing w:before="0" w:after="283"/>
              <w:rPr/>
            </w:pPr>
            <w:r>
              <w:rPr/>
              <w:t> </w:t>
            </w:r>
          </w:p>
        </w:tc>
        <w:tc>
          <w:tcPr>
            <w:tcW w:w="1967" w:type="dxa"/>
            <w:vMerge w:val="restart"/>
            <w:tcBorders/>
            <w:shd w:fill="auto" w:val="clear"/>
          </w:tcPr>
          <w:p>
            <w:pPr>
              <w:pStyle w:val="TableContents"/>
              <w:spacing w:before="0" w:after="283"/>
              <w:rPr/>
            </w:pPr>
            <w:r>
              <w:rPr>
                <w:color w:val="54F400"/>
              </w:rPr>
              <w:t>✓</w:t>
            </w:r>
            <w:r>
              <w:rPr/>
              <w:t> </w:t>
            </w:r>
            <w:r>
              <w:rPr/>
              <w:t>FOR</w:t>
            </w:r>
          </w:p>
        </w:tc>
        <w:tc>
          <w:tcPr>
            <w:tcW w:w="60" w:type="dxa"/>
            <w:vMerge w:val="restart"/>
            <w:tcBorders/>
            <w:shd w:fill="auto" w:val="clear"/>
          </w:tcPr>
          <w:p>
            <w:pPr>
              <w:pStyle w:val="TableContents"/>
              <w:spacing w:before="0" w:after="283"/>
              <w:rPr/>
            </w:pPr>
            <w:r>
              <w:rPr/>
              <w:t> </w:t>
            </w:r>
          </w:p>
        </w:tc>
      </w:tr>
      <w:tr>
        <w:trPr/>
        <w:tc>
          <w:tcPr>
            <w:tcW w:w="8245" w:type="dxa"/>
            <w:gridSpan w:val="9"/>
            <w:tcBorders>
              <w:top w:val="single" w:sz="2" w:space="0" w:color="000000"/>
              <w:left w:val="single" w:sz="2" w:space="0" w:color="000000"/>
              <w:bottom w:val="single" w:sz="2" w:space="0" w:color="000000"/>
              <w:right w:val="single" w:sz="2" w:space="0" w:color="000000"/>
            </w:tcBorders>
            <w:shd w:fill="F4E3E0" w:val="clear"/>
            <w:tcMar>
              <w:top w:w="28" w:type="dxa"/>
              <w:left w:w="160" w:type="dxa"/>
              <w:bottom w:w="28" w:type="dxa"/>
              <w:right w:w="28" w:type="dxa"/>
            </w:tcMar>
          </w:tcPr>
          <w:p>
            <w:pPr>
              <w:pStyle w:val="TableContents"/>
              <w:spacing w:before="0" w:after="0"/>
              <w:rPr>
                <w:rFonts w:ascii="arial" w:hAnsi="arial"/>
                <w:sz w:val="16"/>
              </w:rPr>
            </w:pPr>
            <w:r>
              <w:rPr>
                <w:rFonts w:ascii="arial" w:hAnsi="arial"/>
                <w:sz w:val="16"/>
              </w:rPr>
              <w:t></w:t>
            </w:r>
            <w:r>
              <w:rPr>
                <w:rFonts w:ascii="Arial" w:hAnsi="Arial"/>
                <w:b/>
                <w:sz w:val="16"/>
              </w:rPr>
              <w:t>Pay for performance</w:t>
            </w:r>
            <w:r>
              <w:rPr>
                <w:rFonts w:ascii="arial" w:hAnsi="arial"/>
                <w:sz w:val="16"/>
              </w:rPr>
              <w:t> is the foundation of our compensation philosophy for our named executive officers. Their compensation is primarily variable and performance-based, utilizing multiple and complementary financial measures that are aligned with our strategy to drive shareholder value.</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8245" w:type="dxa"/>
            <w:gridSpan w:val="9"/>
            <w:tcBorders/>
            <w:shd w:fill="auto" w:val="clear"/>
          </w:tcPr>
          <w:p>
            <w:pPr>
              <w:pStyle w:val="TableContents"/>
              <w:spacing w:before="0" w:after="0"/>
              <w:rPr>
                <w:rFonts w:ascii="arial" w:hAnsi="arial"/>
                <w:sz w:val="16"/>
              </w:rPr>
            </w:pPr>
            <w:r>
              <w:rPr>
                <w:rFonts w:ascii="arial" w:hAnsi="arial"/>
                <w:sz w:val="16"/>
              </w:rPr>
              <w:t>In 2022, </w:t>
            </w:r>
            <w:r>
              <w:rPr>
                <w:rFonts w:ascii="Arial" w:hAnsi="Arial"/>
                <w:b/>
                <w:sz w:val="16"/>
              </w:rPr>
              <w:t>pay for performance</w:t>
            </w:r>
            <w:r>
              <w:rPr>
                <w:rFonts w:ascii="arial" w:hAnsi="arial"/>
                <w:sz w:val="16"/>
              </w:rPr>
              <w:t> continued to be a key part of our compensation philosophy for our named executive officers.</w:t>
            </w:r>
          </w:p>
          <w:p>
            <w:pPr>
              <w:pStyle w:val="TableContents"/>
              <w:spacing w:before="0" w:after="0"/>
              <w:rPr/>
            </w:pPr>
            <w:r>
              <w:rPr/>
              <w:t> </w:t>
            </w:r>
          </w:p>
          <w:p>
            <w:pPr>
              <w:pStyle w:val="TableContents"/>
              <w:spacing w:before="0" w:after="0"/>
              <w:rPr/>
            </w:pPr>
            <w:r>
              <w:rPr>
                <w:color w:val="54F400"/>
              </w:rPr>
              <w:t>✓</w:t>
            </w:r>
            <w:r>
              <w:rPr/>
              <w:t>    </w:t>
            </w:r>
            <w:r>
              <w:rPr>
                <w:rFonts w:ascii="arial" w:hAnsi="arial"/>
                <w:b/>
                <w:i/>
                <w:color w:val="54F400"/>
                <w:sz w:val="16"/>
              </w:rPr>
              <w:t>2022 compensation decisions were aligned with our strategic objectives</w:t>
            </w:r>
            <w:r>
              <w:rPr>
                <w:rFonts w:ascii="arial" w:hAnsi="arial"/>
                <w:sz w:val="16"/>
              </w:rPr>
              <w:t xml:space="preserve">  During 2022, the HR Committee of the Board of Directors was actively engaged in reviewing and discussing the design and approach to our compensation, talent and culture. Our 2022 compensation program was designed to continue to focus the organization on strong performance and organic growth as well as enable Thomson Reuters to attract, engage and retain the talent needed to complete the companys Change Program, which we completed in December 2022 (discussed later in this circular). We believe that our 2022 compensation program appropriately balanced risk and reward.</w:t>
            </w:r>
          </w:p>
          <w:p>
            <w:pPr>
              <w:pStyle w:val="TableContents"/>
              <w:spacing w:before="0" w:after="0"/>
              <w:rPr/>
            </w:pPr>
            <w:r>
              <w:rPr/>
              <w:t> </w:t>
            </w:r>
          </w:p>
          <w:p>
            <w:pPr>
              <w:pStyle w:val="TableContents"/>
              <w:spacing w:before="0" w:after="0"/>
              <w:rPr>
                <w:rFonts w:ascii="arial" w:hAnsi="arial"/>
                <w:sz w:val="16"/>
              </w:rPr>
            </w:pPr>
            <w:r>
              <w:rPr>
                <w:rFonts w:ascii="arial" w:hAnsi="arial"/>
                <w:sz w:val="16"/>
              </w:rPr>
              <w:t>In 2022, a significant portion of executive pay was at risk and linked to both operational performance and stock price. Our incentive plan goals reflected our published business outlook, operating plan and long-term strategy. Annual incentive awards focused on growth objectives for the year. The table below reflects summary 2022 compensation information for our named executive officers:</w:t>
            </w:r>
          </w:p>
          <w:p>
            <w:pPr>
              <w:pStyle w:val="TableContents"/>
              <w:spacing w:before="0" w:after="20"/>
              <w:rPr/>
            </w:pPr>
            <w:r>
              <w:rPr/>
              <w:t> </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bottom w:val="single" w:sz="8" w:space="0" w:color="B94831"/>
            </w:tcBorders>
            <w:shd w:fill="262626" w:val="clear"/>
            <w:tcMar>
              <w:bottom w:w="40" w:type="dxa"/>
            </w:tcMar>
            <w:vAlign w:val="bottom"/>
          </w:tcPr>
          <w:p>
            <w:pPr>
              <w:pStyle w:val="TableContents"/>
              <w:spacing w:before="0" w:after="283"/>
              <w:rPr>
                <w:color w:val="FFFFFF"/>
              </w:rPr>
            </w:pPr>
            <w:r>
              <w:rPr>
                <w:color w:val="FFFFFF"/>
              </w:rPr>
              <w:t>   </w:t>
            </w:r>
            <w:r>
              <w:rPr>
                <w:rFonts w:ascii="Arial" w:hAnsi="Arial"/>
                <w:b/>
                <w:color w:val="FFFFFF"/>
              </w:rPr>
              <w:t>Named executive officer</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655" w:type="dxa"/>
            <w:tcBorders>
              <w:bottom w:val="single" w:sz="8"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Base salary</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565" w:type="dxa"/>
            <w:tcBorders>
              <w:bottom w:val="single" w:sz="8" w:space="0" w:color="B94831"/>
            </w:tcBorders>
            <w:shd w:fill="262626" w:val="clear"/>
            <w:tcMar>
              <w:bottom w:w="40" w:type="dxa"/>
            </w:tcMar>
            <w:vAlign w:val="bottom"/>
          </w:tcPr>
          <w:p>
            <w:pPr>
              <w:pStyle w:val="TableContents"/>
              <w:spacing w:before="0" w:after="0"/>
              <w:jc w:val="center"/>
              <w:rPr>
                <w:rFonts w:ascii="Arial" w:hAnsi="Arial"/>
                <w:b/>
                <w:color w:val="FFFFFF"/>
                <w:sz w:val="16"/>
              </w:rPr>
            </w:pPr>
            <w:r>
              <w:rPr>
                <w:rFonts w:ascii="Arial" w:hAnsi="Arial"/>
                <w:b/>
                <w:color w:val="FFFFFF"/>
                <w:sz w:val="16"/>
              </w:rPr>
              <w:t>Target annual</w:t>
            </w:r>
          </w:p>
          <w:p>
            <w:pPr>
              <w:pStyle w:val="TableContents"/>
              <w:spacing w:before="0" w:after="0"/>
              <w:jc w:val="center"/>
              <w:rPr>
                <w:rFonts w:ascii="Arial" w:hAnsi="Arial"/>
                <w:b/>
                <w:color w:val="FFFFFF"/>
                <w:sz w:val="16"/>
              </w:rPr>
            </w:pPr>
            <w:r>
              <w:rPr>
                <w:rFonts w:ascii="Arial" w:hAnsi="Arial"/>
                <w:b/>
                <w:color w:val="FFFFFF"/>
                <w:sz w:val="16"/>
              </w:rPr>
              <w:t>incentive award</w:t>
            </w:r>
          </w:p>
          <w:p>
            <w:pPr>
              <w:pStyle w:val="TableContents"/>
              <w:spacing w:before="0" w:after="20"/>
              <w:jc w:val="center"/>
              <w:rPr>
                <w:rFonts w:ascii="Arial" w:hAnsi="Arial"/>
                <w:b/>
                <w:color w:val="FFFFFF"/>
                <w:sz w:val="16"/>
              </w:rPr>
            </w:pPr>
            <w:r>
              <w:rPr>
                <w:rFonts w:ascii="Arial" w:hAnsi="Arial"/>
                <w:b/>
                <w:color w:val="FFFFFF"/>
                <w:sz w:val="16"/>
              </w:rPr>
              <w:t>(cash) percentage</w:t>
              <w:br/>
              <w:t>of base salary</w:t>
            </w:r>
          </w:p>
        </w:tc>
        <w:tc>
          <w:tcPr>
            <w:tcW w:w="120" w:type="dxa"/>
            <w:tcBorders>
              <w:bottom w:val="single" w:sz="8" w:space="0" w:color="B94831"/>
            </w:tcBorders>
            <w:shd w:fill="262626" w:val="clear"/>
            <w:tcMar>
              <w:bottom w:w="28" w:type="dxa"/>
            </w:tcMar>
            <w:vAlign w:val="bottom"/>
          </w:tcPr>
          <w:p>
            <w:pPr>
              <w:pStyle w:val="TableContents"/>
              <w:spacing w:before="0" w:after="283"/>
              <w:rPr/>
            </w:pPr>
            <w:r>
              <w:rPr/>
              <w:t>  </w:t>
            </w:r>
          </w:p>
        </w:tc>
        <w:tc>
          <w:tcPr>
            <w:tcW w:w="2300" w:type="dxa"/>
            <w:tcBorders>
              <w:bottom w:val="single" w:sz="8"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Long-term incentive</w:t>
              <w:br/>
              <w:t>award  (equity-based)</w:t>
              <w:br/>
              <w:t> percentage</w:t>
              <w:br/>
              <w:t>of base salary</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310" w:type="dxa"/>
            <w:tcBorders>
              <w:bottom w:val="single" w:sz="8" w:space="0" w:color="B94831"/>
              <w:right w:val="single" w:sz="2" w:space="0" w:color="AFAFAF"/>
            </w:tcBorders>
            <w:shd w:fill="262626" w:val="clear"/>
            <w:tcMar>
              <w:bottom w:w="40" w:type="dxa"/>
              <w:right w:w="28" w:type="dxa"/>
            </w:tcMar>
            <w:vAlign w:val="bottom"/>
          </w:tcPr>
          <w:p>
            <w:pPr>
              <w:pStyle w:val="TableContents"/>
              <w:spacing w:before="0" w:after="283"/>
              <w:jc w:val="center"/>
              <w:rPr>
                <w:rFonts w:ascii="Arial" w:hAnsi="Arial"/>
                <w:b/>
                <w:color w:val="FFFFFF"/>
              </w:rPr>
            </w:pPr>
            <w:r>
              <w:rPr>
                <w:rFonts w:ascii="Arial" w:hAnsi="Arial"/>
                <w:b/>
                <w:color w:val="FFFFFF"/>
              </w:rPr>
              <w:t>At risk</w:t>
              <w:br/>
              <w:t>percentage</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shd w:fill="auto" w:val="cle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Steve Hasker</w:t>
            </w:r>
          </w:p>
          <w:p>
            <w:pPr>
              <w:pStyle w:val="TableContents"/>
              <w:spacing w:before="0" w:after="20"/>
              <w:rPr>
                <w:rFonts w:ascii="arial" w:hAnsi="arial"/>
                <w:sz w:val="16"/>
              </w:rPr>
            </w:pPr>
            <w:r>
              <w:rPr>
                <w:rFonts w:ascii="arial" w:hAnsi="arial"/>
                <w:sz w:val="16"/>
              </w:rPr>
              <w:t>President and Chief Executive Officer</w:t>
            </w:r>
          </w:p>
        </w:tc>
        <w:tc>
          <w:tcPr>
            <w:tcW w:w="60" w:type="dxa"/>
            <w:tcBorders/>
            <w:shd w:fill="auto" w:val="clear"/>
            <w:vAlign w:val="bottom"/>
          </w:tcPr>
          <w:p>
            <w:pPr>
              <w:pStyle w:val="TableContents"/>
              <w:spacing w:before="0" w:after="283"/>
              <w:rPr/>
            </w:pPr>
            <w:r>
              <w:rPr/>
              <w:t> </w:t>
            </w:r>
          </w:p>
        </w:tc>
        <w:tc>
          <w:tcPr>
            <w:tcW w:w="1655"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C$1,495,000</w:t>
            </w:r>
          </w:p>
          <w:p>
            <w:pPr>
              <w:pStyle w:val="TableContents"/>
              <w:spacing w:before="0" w:after="20"/>
              <w:jc w:val="center"/>
              <w:rPr>
                <w:rFonts w:ascii="arial" w:hAnsi="arial"/>
                <w:sz w:val="16"/>
              </w:rPr>
            </w:pPr>
            <w:r>
              <w:rPr>
                <w:rFonts w:ascii="arial" w:hAnsi="arial"/>
                <w:sz w:val="16"/>
              </w:rPr>
              <w:t>(US$1,146,685)</w:t>
            </w:r>
          </w:p>
        </w:tc>
        <w:tc>
          <w:tcPr>
            <w:tcW w:w="60" w:type="dxa"/>
            <w:tcBorders/>
            <w:shd w:fill="auto" w:val="clear"/>
            <w:vAlign w:val="bottom"/>
          </w:tcPr>
          <w:p>
            <w:pPr>
              <w:pStyle w:val="TableContents"/>
              <w:spacing w:before="0" w:after="283"/>
              <w:rPr/>
            </w:pPr>
            <w:r>
              <w:rPr/>
              <w:t> </w:t>
            </w:r>
          </w:p>
        </w:tc>
        <w:tc>
          <w:tcPr>
            <w:tcW w:w="156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200%</w:t>
            </w:r>
          </w:p>
        </w:tc>
        <w:tc>
          <w:tcPr>
            <w:tcW w:w="120"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550%</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88%</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shd w:fill="auto" w:val="cle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Mike Eastwood</w:t>
            </w:r>
          </w:p>
          <w:p>
            <w:pPr>
              <w:pStyle w:val="TableContents"/>
              <w:spacing w:before="0" w:after="20"/>
              <w:rPr>
                <w:rFonts w:ascii="arial" w:hAnsi="arial"/>
                <w:sz w:val="16"/>
              </w:rPr>
            </w:pPr>
            <w:r>
              <w:rPr>
                <w:rFonts w:ascii="arial" w:hAnsi="arial"/>
                <w:sz w:val="16"/>
              </w:rPr>
              <w:t>Chief Financial Officer</w:t>
            </w:r>
          </w:p>
        </w:tc>
        <w:tc>
          <w:tcPr>
            <w:tcW w:w="60" w:type="dxa"/>
            <w:tcBorders/>
            <w:shd w:fill="auto" w:val="clear"/>
            <w:vAlign w:val="bottom"/>
          </w:tcPr>
          <w:p>
            <w:pPr>
              <w:pStyle w:val="TableContents"/>
              <w:spacing w:before="0" w:after="283"/>
              <w:rPr/>
            </w:pPr>
            <w:r>
              <w:rPr/>
              <w:t> </w:t>
            </w:r>
          </w:p>
        </w:tc>
        <w:tc>
          <w:tcPr>
            <w:tcW w:w="1655"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C$925,000</w:t>
            </w:r>
          </w:p>
          <w:p>
            <w:pPr>
              <w:pStyle w:val="TableContents"/>
              <w:spacing w:before="0" w:after="20"/>
              <w:jc w:val="center"/>
              <w:rPr>
                <w:rFonts w:ascii="arial" w:hAnsi="arial"/>
                <w:sz w:val="16"/>
              </w:rPr>
            </w:pPr>
            <w:r>
              <w:rPr>
                <w:rFonts w:ascii="arial" w:hAnsi="arial"/>
                <w:sz w:val="16"/>
              </w:rPr>
              <w:t>(US$709,487)</w:t>
            </w:r>
          </w:p>
        </w:tc>
        <w:tc>
          <w:tcPr>
            <w:tcW w:w="60" w:type="dxa"/>
            <w:tcBorders/>
            <w:shd w:fill="auto" w:val="clear"/>
            <w:vAlign w:val="bottom"/>
          </w:tcPr>
          <w:p>
            <w:pPr>
              <w:pStyle w:val="TableContents"/>
              <w:spacing w:before="0" w:after="283"/>
              <w:rPr/>
            </w:pPr>
            <w:r>
              <w:rPr/>
              <w:t> </w:t>
            </w:r>
          </w:p>
        </w:tc>
        <w:tc>
          <w:tcPr>
            <w:tcW w:w="156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125%</w:t>
            </w:r>
          </w:p>
        </w:tc>
        <w:tc>
          <w:tcPr>
            <w:tcW w:w="120"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225%</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78%</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shd w:fill="auto" w:val="cle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Brian Peccarelli</w:t>
            </w:r>
          </w:p>
          <w:p>
            <w:pPr>
              <w:pStyle w:val="TableContents"/>
              <w:spacing w:before="0" w:after="20"/>
              <w:rPr>
                <w:rFonts w:ascii="arial" w:hAnsi="arial"/>
                <w:sz w:val="16"/>
              </w:rPr>
            </w:pPr>
            <w:r>
              <w:rPr>
                <w:rFonts w:ascii="arial" w:hAnsi="arial"/>
                <w:sz w:val="16"/>
              </w:rPr>
              <w:t>Former Chief Operating Officer, Customer Markets; Former President, Corporates</w:t>
            </w:r>
          </w:p>
        </w:tc>
        <w:tc>
          <w:tcPr>
            <w:tcW w:w="60" w:type="dxa"/>
            <w:tcBorders/>
            <w:shd w:fill="auto" w:val="clear"/>
            <w:vAlign w:val="bottom"/>
          </w:tcPr>
          <w:p>
            <w:pPr>
              <w:pStyle w:val="TableContents"/>
              <w:spacing w:before="0" w:after="283"/>
              <w:rPr/>
            </w:pPr>
            <w:r>
              <w:rPr/>
              <w:t> </w:t>
            </w:r>
          </w:p>
        </w:tc>
        <w:tc>
          <w:tcPr>
            <w:tcW w:w="165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US$750,000</w:t>
            </w:r>
          </w:p>
        </w:tc>
        <w:tc>
          <w:tcPr>
            <w:tcW w:w="60" w:type="dxa"/>
            <w:tcBorders/>
            <w:shd w:fill="auto" w:val="clear"/>
            <w:vAlign w:val="bottom"/>
          </w:tcPr>
          <w:p>
            <w:pPr>
              <w:pStyle w:val="TableContents"/>
              <w:spacing w:before="0" w:after="283"/>
              <w:rPr/>
            </w:pPr>
            <w:r>
              <w:rPr/>
              <w:t> </w:t>
            </w:r>
          </w:p>
        </w:tc>
        <w:tc>
          <w:tcPr>
            <w:tcW w:w="156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175%</w:t>
            </w:r>
          </w:p>
        </w:tc>
        <w:tc>
          <w:tcPr>
            <w:tcW w:w="120"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200%</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79%</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shd w:fill="auto" w:val="cle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Kirsty Roth</w:t>
            </w:r>
          </w:p>
          <w:p>
            <w:pPr>
              <w:pStyle w:val="TableContents"/>
              <w:spacing w:before="0" w:after="20"/>
              <w:rPr>
                <w:rFonts w:ascii="arial" w:hAnsi="arial"/>
                <w:sz w:val="16"/>
              </w:rPr>
            </w:pPr>
            <w:r>
              <w:rPr>
                <w:rFonts w:ascii="arial" w:hAnsi="arial"/>
                <w:sz w:val="16"/>
              </w:rPr>
              <w:t>Chief Operations and Technology Officer</w:t>
            </w:r>
          </w:p>
        </w:tc>
        <w:tc>
          <w:tcPr>
            <w:tcW w:w="60" w:type="dxa"/>
            <w:tcBorders/>
            <w:shd w:fill="auto" w:val="clear"/>
            <w:vAlign w:val="bottom"/>
          </w:tcPr>
          <w:p>
            <w:pPr>
              <w:pStyle w:val="TableContents"/>
              <w:spacing w:before="0" w:after="283"/>
              <w:rPr/>
            </w:pPr>
            <w:r>
              <w:rPr/>
              <w:t> </w:t>
            </w:r>
          </w:p>
        </w:tc>
        <w:tc>
          <w:tcPr>
            <w:tcW w:w="1655"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CHF 685,000</w:t>
            </w:r>
          </w:p>
          <w:p>
            <w:pPr>
              <w:pStyle w:val="TableContents"/>
              <w:spacing w:before="0" w:after="20"/>
              <w:jc w:val="center"/>
              <w:rPr>
                <w:rFonts w:ascii="arial" w:hAnsi="arial"/>
                <w:sz w:val="16"/>
              </w:rPr>
            </w:pPr>
            <w:r>
              <w:rPr>
                <w:rFonts w:ascii="arial" w:hAnsi="arial"/>
                <w:sz w:val="16"/>
              </w:rPr>
              <w:t>(US$718,624)</w:t>
            </w:r>
          </w:p>
        </w:tc>
        <w:tc>
          <w:tcPr>
            <w:tcW w:w="60" w:type="dxa"/>
            <w:tcBorders/>
            <w:shd w:fill="auto" w:val="clear"/>
            <w:vAlign w:val="bottom"/>
          </w:tcPr>
          <w:p>
            <w:pPr>
              <w:pStyle w:val="TableContents"/>
              <w:spacing w:before="0" w:after="283"/>
              <w:rPr/>
            </w:pPr>
            <w:r>
              <w:rPr/>
              <w:t> </w:t>
            </w:r>
          </w:p>
        </w:tc>
        <w:tc>
          <w:tcPr>
            <w:tcW w:w="156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125%</w:t>
            </w:r>
          </w:p>
        </w:tc>
        <w:tc>
          <w:tcPr>
            <w:tcW w:w="120"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250%</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79%</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1115" w:type="dxa"/>
            <w:tcBorders/>
            <w:shd w:fill="auto" w:val="cle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David Wong</w:t>
            </w:r>
          </w:p>
          <w:p>
            <w:pPr>
              <w:pStyle w:val="TableContents"/>
              <w:spacing w:before="0" w:after="20"/>
              <w:rPr>
                <w:rFonts w:ascii="arial" w:hAnsi="arial"/>
                <w:sz w:val="16"/>
              </w:rPr>
            </w:pPr>
            <w:r>
              <w:rPr>
                <w:rFonts w:ascii="arial" w:hAnsi="arial"/>
                <w:sz w:val="16"/>
              </w:rPr>
              <w:t>Chief Product Officer</w:t>
            </w:r>
          </w:p>
        </w:tc>
        <w:tc>
          <w:tcPr>
            <w:tcW w:w="60" w:type="dxa"/>
            <w:tcBorders/>
            <w:shd w:fill="auto" w:val="clear"/>
            <w:vAlign w:val="bottom"/>
          </w:tcPr>
          <w:p>
            <w:pPr>
              <w:pStyle w:val="TableContents"/>
              <w:spacing w:before="0" w:after="283"/>
              <w:rPr/>
            </w:pPr>
            <w:r>
              <w:rPr/>
              <w:t> </w:t>
            </w:r>
          </w:p>
        </w:tc>
        <w:tc>
          <w:tcPr>
            <w:tcW w:w="1655" w:type="dxa"/>
            <w:tcBorders/>
            <w:shd w:fill="auto" w:val="clea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C$792,000</w:t>
            </w:r>
          </w:p>
          <w:p>
            <w:pPr>
              <w:pStyle w:val="TableContents"/>
              <w:spacing w:before="0" w:after="20"/>
              <w:jc w:val="center"/>
              <w:rPr>
                <w:rFonts w:ascii="arial" w:hAnsi="arial"/>
                <w:sz w:val="16"/>
              </w:rPr>
            </w:pPr>
            <w:r>
              <w:rPr>
                <w:rFonts w:ascii="arial" w:hAnsi="arial"/>
                <w:sz w:val="16"/>
              </w:rPr>
              <w:t>(US$607,475)</w:t>
            </w:r>
          </w:p>
        </w:tc>
        <w:tc>
          <w:tcPr>
            <w:tcW w:w="60" w:type="dxa"/>
            <w:tcBorders/>
            <w:shd w:fill="auto" w:val="clear"/>
            <w:vAlign w:val="bottom"/>
          </w:tcPr>
          <w:p>
            <w:pPr>
              <w:pStyle w:val="TableContents"/>
              <w:spacing w:before="0" w:after="283"/>
              <w:rPr/>
            </w:pPr>
            <w:r>
              <w:rPr/>
              <w:t> </w:t>
            </w:r>
          </w:p>
        </w:tc>
        <w:tc>
          <w:tcPr>
            <w:tcW w:w="1565"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125%</w:t>
            </w:r>
          </w:p>
        </w:tc>
        <w:tc>
          <w:tcPr>
            <w:tcW w:w="120"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225%</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78%</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c>
          <w:tcPr>
            <w:tcW w:w="8245" w:type="dxa"/>
            <w:gridSpan w:val="9"/>
            <w:tcBorders/>
            <w:shd w:fill="auto" w:val="clear"/>
          </w:tcPr>
          <w:p>
            <w:pPr>
              <w:pStyle w:val="TableContents"/>
              <w:spacing w:before="0" w:after="0"/>
              <w:rPr/>
            </w:pPr>
            <w:r>
              <w:rPr/>
              <w:t> </w:t>
            </w:r>
          </w:p>
          <w:p>
            <w:pPr>
              <w:pStyle w:val="TableContents"/>
              <w:spacing w:before="0" w:after="20"/>
              <w:rPr/>
            </w:pPr>
            <w:r>
              <w:rPr>
                <w:color w:val="54F400"/>
              </w:rPr>
              <w:t>✓</w:t>
            </w:r>
            <w:r>
              <w:rPr/>
              <w:t>    </w:t>
            </w:r>
            <w:r>
              <w:rPr>
                <w:rFonts w:ascii="arial" w:hAnsi="arial"/>
                <w:b/>
                <w:i/>
                <w:color w:val="54F400"/>
                <w:sz w:val="16"/>
              </w:rPr>
              <w:t>Our compensation program is strongly aligned with shareholder value</w:t>
            </w:r>
            <w:r>
              <w:rPr>
                <w:rFonts w:ascii="arial" w:hAnsi="arial"/>
                <w:sz w:val="16"/>
              </w:rPr>
              <w:t xml:space="preserve">  Our executive officer compensation is aligned with total shareholder value and is tied to key financial and strategic drivers of sustained value creation. We also require our executive officers to maintain meaningful levels of share ownership that are multiples of their respective base salaries, creating a strong link to our shareholders and the long-term success of our company.</w:t>
            </w:r>
          </w:p>
        </w:tc>
        <w:tc>
          <w:tcPr>
            <w:tcW w:w="60" w:type="dxa"/>
            <w:vMerge w:val="continue"/>
            <w:tcBorders>
              <w:left w:val="single" w:sz="2" w:space="0" w:color="AFAFAF"/>
            </w:tcBorders>
            <w:shd w:fill="auto" w:val="clear"/>
            <w:tcMar>
              <w:left w:w="28" w:type="dxa"/>
            </w:tcMar>
            <w:vAlign w:val="bottom"/>
          </w:tcPr>
          <w:p>
            <w:pPr>
              <w:pStyle w:val="Normal"/>
              <w:rPr/>
            </w:pPr>
            <w:r>
              <w:rPr/>
            </w:r>
          </w:p>
        </w:tc>
        <w:tc>
          <w:tcPr>
            <w:tcW w:w="78" w:type="dxa"/>
            <w:vMerge w:val="continue"/>
            <w:tcBorders/>
            <w:shd w:fill="auto" w:val="clear"/>
          </w:tcPr>
          <w:p>
            <w:pPr>
              <w:pStyle w:val="Normal"/>
              <w:rPr/>
            </w:pPr>
            <w:r>
              <w:rPr/>
            </w:r>
          </w:p>
        </w:tc>
        <w:tc>
          <w:tcPr>
            <w:tcW w:w="1967" w:type="dxa"/>
            <w:vMerge w:val="continue"/>
            <w:tcBorders/>
            <w:shd w:fill="auto" w:val="clear"/>
          </w:tcPr>
          <w:p>
            <w:pPr>
              <w:pStyle w:val="Normal"/>
              <w:rPr/>
            </w:pPr>
            <w:r>
              <w:rPr/>
            </w:r>
          </w:p>
        </w:tc>
        <w:tc>
          <w:tcPr>
            <w:tcW w:w="60" w:type="dxa"/>
            <w:vMerge w:val="continue"/>
            <w:tcBorders/>
            <w:shd w:fill="auto" w:val="clear"/>
          </w:tcPr>
          <w:p>
            <w:pPr>
              <w:pStyle w:val="Normal"/>
              <w:rPr/>
            </w:pPr>
            <w:r>
              <w:rPr/>
            </w:r>
          </w:p>
        </w:tc>
      </w:tr>
      <w:tr>
        <w:trPr>
          <w:trHeight w:val="75" w:hRule="atLeast"/>
        </w:trPr>
        <w:tc>
          <w:tcPr>
            <w:tcW w:w="1115" w:type="dxa"/>
            <w:tcBorders/>
            <w:shd w:fill="262626" w:val="clear"/>
            <w:vAlign w:val="center"/>
          </w:tcPr>
          <w:p>
            <w:pPr>
              <w:pStyle w:val="TableContents"/>
              <w:spacing w:before="0" w:after="283"/>
              <w:rPr>
                <w:sz w:val="4"/>
                <w:szCs w:val="4"/>
              </w:rPr>
            </w:pPr>
            <w:r>
              <w:rPr>
                <w:sz w:val="4"/>
                <w:szCs w:val="4"/>
              </w:rPr>
            </w:r>
          </w:p>
        </w:tc>
        <w:tc>
          <w:tcPr>
            <w:tcW w:w="1715" w:type="dxa"/>
            <w:gridSpan w:val="2"/>
            <w:tcBorders/>
            <w:shd w:fill="262626" w:val="clear"/>
            <w:vAlign w:val="center"/>
          </w:tcPr>
          <w:p>
            <w:pPr>
              <w:pStyle w:val="TableContents"/>
              <w:spacing w:before="0" w:after="283"/>
              <w:rPr>
                <w:sz w:val="4"/>
                <w:szCs w:val="4"/>
              </w:rPr>
            </w:pPr>
            <w:r>
              <w:rPr>
                <w:sz w:val="4"/>
                <w:szCs w:val="4"/>
              </w:rPr>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2420"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65" w:type="dxa"/>
            <w:gridSpan w:val="4"/>
            <w:tcBorders/>
            <w:shd w:fill="auto" w:val="clear"/>
            <w:vAlign w:val="center"/>
          </w:tcPr>
          <w:p>
            <w:pPr>
              <w:pStyle w:val="TableContents"/>
              <w:spacing w:before="0" w:after="283"/>
              <w:rPr>
                <w:sz w:val="4"/>
                <w:szCs w:val="4"/>
              </w:rPr>
            </w:pPr>
            <w:r>
              <w:rPr>
                <w:sz w:val="4"/>
                <w:szCs w:val="4"/>
              </w:rPr>
            </w:r>
          </w:p>
        </w:tc>
      </w:tr>
      <w:tr>
        <w:trPr/>
        <w:tc>
          <w:tcPr>
            <w:tcW w:w="1115" w:type="dxa"/>
            <w:tcBorders>
              <w:bottom w:val="single" w:sz="8" w:space="0" w:color="B94831"/>
            </w:tcBorders>
            <w:shd w:fill="262626" w:val="clear"/>
            <w:tcMar>
              <w:bottom w:w="40" w:type="dxa"/>
            </w:tcMar>
            <w:vAlign w:val="bottom"/>
          </w:tcPr>
          <w:p>
            <w:pPr>
              <w:pStyle w:val="TableContents"/>
              <w:spacing w:before="0" w:after="283"/>
              <w:rPr>
                <w:color w:val="FFFFFF"/>
              </w:rPr>
            </w:pPr>
            <w:r>
              <w:rPr>
                <w:color w:val="FFFFFF"/>
              </w:rPr>
              <w:t>   </w:t>
            </w:r>
            <w:r>
              <w:rPr>
                <w:rFonts w:ascii="Arial" w:hAnsi="Arial"/>
                <w:b/>
                <w:color w:val="FFFFFF"/>
              </w:rPr>
              <w:t>Named executive officer</w:t>
            </w:r>
          </w:p>
        </w:tc>
        <w:tc>
          <w:tcPr>
            <w:tcW w:w="6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655" w:type="dxa"/>
            <w:tcBorders>
              <w:bottom w:val="single" w:sz="8" w:space="0" w:color="B94831"/>
            </w:tcBorders>
            <w:shd w:fill="262626" w:val="clear"/>
            <w:tcMar>
              <w:bottom w:w="40" w:type="dxa"/>
            </w:tcMar>
            <w:vAlign w:val="bottom"/>
          </w:tcPr>
          <w:p>
            <w:pPr>
              <w:pStyle w:val="TableContents"/>
              <w:spacing w:before="0" w:after="0"/>
              <w:jc w:val="center"/>
              <w:rPr>
                <w:rFonts w:ascii="Arial" w:hAnsi="Arial"/>
                <w:b/>
                <w:color w:val="FFFFFF"/>
                <w:sz w:val="16"/>
              </w:rPr>
            </w:pPr>
            <w:r>
              <w:rPr>
                <w:rFonts w:ascii="Arial" w:hAnsi="Arial"/>
                <w:b/>
                <w:color w:val="FFFFFF"/>
                <w:sz w:val="16"/>
              </w:rPr>
              <w:t>Share Ownership</w:t>
            </w:r>
          </w:p>
          <w:p>
            <w:pPr>
              <w:pStyle w:val="TableContents"/>
              <w:spacing w:before="0" w:after="0"/>
              <w:jc w:val="center"/>
              <w:rPr>
                <w:rFonts w:ascii="Arial" w:hAnsi="Arial"/>
                <w:b/>
                <w:color w:val="FFFFFF"/>
                <w:sz w:val="16"/>
              </w:rPr>
            </w:pPr>
            <w:r>
              <w:rPr>
                <w:rFonts w:ascii="Arial" w:hAnsi="Arial"/>
                <w:b/>
                <w:color w:val="FFFFFF"/>
                <w:sz w:val="16"/>
              </w:rPr>
              <w:t>Guideline</w:t>
            </w:r>
          </w:p>
          <w:p>
            <w:pPr>
              <w:pStyle w:val="TableContents"/>
              <w:spacing w:before="0" w:after="20"/>
              <w:jc w:val="center"/>
              <w:rPr>
                <w:rFonts w:ascii="Arial" w:hAnsi="Arial"/>
                <w:b/>
                <w:color w:val="FFFFFF"/>
                <w:sz w:val="16"/>
              </w:rPr>
            </w:pPr>
            <w:r>
              <w:rPr>
                <w:rFonts w:ascii="Arial" w:hAnsi="Arial"/>
                <w:b/>
                <w:color w:val="FFFFFF"/>
                <w:sz w:val="16"/>
              </w:rPr>
              <w:t>(base salary multiple)</w:t>
            </w:r>
          </w:p>
        </w:tc>
        <w:tc>
          <w:tcPr>
            <w:tcW w:w="60"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Steve Hasker</w:t>
            </w:r>
          </w:p>
        </w:tc>
        <w:tc>
          <w:tcPr>
            <w:tcW w:w="60"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6x</w:t>
            </w:r>
          </w:p>
        </w:tc>
        <w:tc>
          <w:tcPr>
            <w:tcW w:w="60"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9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115" w:type="dxa"/>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2420"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65" w:type="dxa"/>
            <w:gridSpan w:val="4"/>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Mike Eastwood</w:t>
            </w:r>
          </w:p>
        </w:tc>
        <w:tc>
          <w:tcPr>
            <w:tcW w:w="60"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4x</w:t>
            </w:r>
          </w:p>
        </w:tc>
        <w:tc>
          <w:tcPr>
            <w:tcW w:w="60"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9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115" w:type="dxa"/>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2420"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65" w:type="dxa"/>
            <w:gridSpan w:val="4"/>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pPr>
            <w:r>
              <w:rPr/>
              <w:t> </w:t>
            </w:r>
          </w:p>
          <w:p>
            <w:pPr>
              <w:pStyle w:val="TableContents"/>
              <w:spacing w:before="0" w:after="20"/>
              <w:rPr/>
            </w:pPr>
            <w:r>
              <w:rPr/>
              <w:t>   </w:t>
            </w:r>
            <w:r>
              <w:rPr>
                <w:rFonts w:ascii="arial" w:hAnsi="arial"/>
                <w:sz w:val="16"/>
              </w:rPr>
              <w:t>Kirsty Roth and David Wong</w:t>
            </w:r>
          </w:p>
        </w:tc>
        <w:tc>
          <w:tcPr>
            <w:tcW w:w="60" w:type="dxa"/>
            <w:tcBorders/>
            <w:shd w:fill="auto" w:val="clear"/>
            <w:vAlign w:val="bottom"/>
          </w:tcPr>
          <w:p>
            <w:pPr>
              <w:pStyle w:val="TableContents"/>
              <w:spacing w:before="0" w:after="283"/>
              <w:rPr/>
            </w:pPr>
            <w:r>
              <w:rPr/>
              <w:t> </w:t>
            </w:r>
          </w:p>
        </w:tc>
        <w:tc>
          <w:tcPr>
            <w:tcW w:w="1655" w:type="dxa"/>
            <w:tcBorders/>
            <w:shd w:fill="auto" w:val="clear"/>
            <w:vAlign w:val="bottom"/>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3x*</w:t>
            </w:r>
          </w:p>
        </w:tc>
        <w:tc>
          <w:tcPr>
            <w:tcW w:w="60"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10" w:type="dxa"/>
            <w:tcBorders>
              <w:right w:val="single" w:sz="2" w:space="0" w:color="AFAFAF"/>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96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8245" w:type="dxa"/>
            <w:gridSpan w:val="9"/>
            <w:tcBorders>
              <w:bottom w:val="single" w:sz="2" w:space="0" w:color="AFAFAF"/>
            </w:tcBorders>
            <w:shd w:fill="auto" w:val="clear"/>
            <w:tcMar>
              <w:bottom w:w="28" w:type="dxa"/>
            </w:tcMar>
          </w:tcPr>
          <w:p>
            <w:pPr>
              <w:pStyle w:val="TableContents"/>
              <w:spacing w:before="0" w:after="0"/>
              <w:rPr/>
            </w:pPr>
            <w:r>
              <w:rPr/>
              <w:t> </w:t>
            </w:r>
          </w:p>
          <w:p>
            <w:pPr>
              <w:pStyle w:val="TableContents"/>
              <w:spacing w:before="0" w:after="0"/>
              <w:rPr>
                <w:rFonts w:ascii="arial" w:hAnsi="arial"/>
                <w:sz w:val="16"/>
              </w:rPr>
            </w:pPr>
            <w:r>
              <w:rPr>
                <w:rFonts w:ascii="arial" w:hAnsi="arial"/>
                <w:sz w:val="16"/>
              </w:rPr>
              <w:t>* Brian Peccarelli was subject to a 3x share ownership guideline prior to leaving Thomson Reuters on April 3, 2023.</w:t>
            </w:r>
          </w:p>
          <w:p>
            <w:pPr>
              <w:pStyle w:val="TableContents"/>
              <w:spacing w:before="0" w:after="0"/>
              <w:rPr/>
            </w:pPr>
            <w:r>
              <w:rPr/>
              <w:t> </w:t>
            </w:r>
          </w:p>
          <w:p>
            <w:pPr>
              <w:pStyle w:val="TableContents"/>
              <w:spacing w:before="0" w:after="0"/>
              <w:rPr/>
            </w:pPr>
            <w:r>
              <w:rPr>
                <w:color w:val="54F400"/>
              </w:rPr>
              <w:t>✓    </w:t>
            </w:r>
            <w:r>
              <w:rPr>
                <w:rFonts w:ascii="arial" w:hAnsi="arial"/>
                <w:b/>
                <w:i/>
                <w:color w:val="54F400"/>
                <w:sz w:val="16"/>
              </w:rPr>
              <w:t>We benchmark executive compensation and performance against global peer companies that we compete with for customers and talent</w:t>
            </w:r>
            <w:r>
              <w:rPr>
                <w:rFonts w:ascii="arial" w:hAnsi="arial"/>
                <w:sz w:val="16"/>
              </w:rPr>
              <w:t xml:space="preserve">  The HR Committee utilizes a global peer group for executive compensation purposes. For compensation benchmarking of executive officers based in Toronto, the HR Committee also utilizes a separate Canadian peer group as a secondary reference point.</w:t>
            </w:r>
          </w:p>
          <w:p>
            <w:pPr>
              <w:pStyle w:val="TableContents"/>
              <w:spacing w:before="0" w:after="0"/>
              <w:rPr/>
            </w:pPr>
            <w:r>
              <w:rPr/>
              <w:t> </w:t>
            </w:r>
          </w:p>
          <w:p>
            <w:pPr>
              <w:pStyle w:val="TableContents"/>
              <w:spacing w:before="0" w:after="20"/>
              <w:rPr/>
            </w:pPr>
            <w:r>
              <w:rPr>
                <w:color w:val="54F400"/>
              </w:rPr>
              <w:t>✓    </w:t>
            </w:r>
            <w:r>
              <w:rPr>
                <w:rFonts w:ascii="arial" w:hAnsi="arial"/>
                <w:b/>
                <w:i/>
                <w:color w:val="54F400"/>
                <w:sz w:val="16"/>
              </w:rPr>
              <w:t>Our compensation program is aligned with good governance practices and has received strong shareholder support in recent years</w:t>
            </w:r>
            <w:r>
              <w:rPr>
                <w:rFonts w:ascii="arial" w:hAnsi="arial"/>
                <w:sz w:val="16"/>
              </w:rPr>
              <w:t xml:space="preserve">  Our plans and programs reflect strong governance principles. The HR Committee has an independent advisor (FW Cook) for executive compensation matters. We also engage with our shareholders on compensation matters during the year and we provide a say on pay resolution each year at our annual meeting of shareholders. </w:t>
            </w:r>
            <w:r>
              <w:rPr>
                <w:rFonts w:ascii="Arial" w:hAnsi="Arial"/>
                <w:b/>
                <w:sz w:val="16"/>
              </w:rPr>
              <w:t>Over the last five years, an average of approximately 97% of votes have been cast for our say on pay advisory resolutions.</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28" w:type="dxa"/>
            </w:tcMar>
          </w:tcPr>
          <w:p>
            <w:pPr>
              <w:pStyle w:val="TableContents"/>
              <w:spacing w:before="0" w:after="283"/>
              <w:rPr/>
            </w:pPr>
            <w:r>
              <w:rPr/>
              <w:t> </w:t>
            </w:r>
          </w:p>
        </w:tc>
        <w:tc>
          <w:tcPr>
            <w:tcW w:w="1967" w:type="dxa"/>
            <w:tcBorders>
              <w:bottom w:val="single" w:sz="2" w:space="0" w:color="AFAFAF"/>
            </w:tcBorders>
            <w:shd w:fill="auto" w:val="clear"/>
            <w:tcMar>
              <w:bottom w:w="28" w:type="dxa"/>
            </w:tcMar>
          </w:tcPr>
          <w:p>
            <w:pPr>
              <w:pStyle w:val="TableContents"/>
              <w:spacing w:before="0" w:after="283"/>
              <w:rPr/>
            </w:pPr>
            <w:r>
              <w:rPr/>
              <w:t> </w:t>
            </w:r>
          </w:p>
        </w:tc>
        <w:tc>
          <w:tcPr>
            <w:tcW w:w="60" w:type="dxa"/>
            <w:tcBorders>
              <w:bottom w:val="single" w:sz="2" w:space="0" w:color="AFAFAF"/>
            </w:tcBorders>
            <w:shd w:fill="auto" w:val="clear"/>
            <w:tcMar>
              <w:bottom w:w="28"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471"/>
        <w:gridCol w:w="282"/>
        <w:gridCol w:w="391"/>
        <w:gridCol w:w="229"/>
        <w:gridCol w:w="297"/>
        <w:gridCol w:w="229"/>
        <w:gridCol w:w="297"/>
        <w:gridCol w:w="229"/>
        <w:gridCol w:w="305"/>
        <w:gridCol w:w="127"/>
        <w:gridCol w:w="171"/>
        <w:gridCol w:w="1904"/>
        <w:gridCol w:w="273"/>
      </w:tblGrid>
      <w:tr>
        <w:trPr/>
        <w:tc>
          <w:tcPr>
            <w:tcW w:w="547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7730" w:type="dxa"/>
            <w:gridSpan w:val="9"/>
            <w:tcBorders>
              <w:left w:val="single" w:sz="2" w:space="0" w:color="FFFFFF"/>
            </w:tcBorders>
            <w:shd w:fill="262626" w:val="clear"/>
            <w:tcMar>
              <w:left w:w="160" w:type="dxa"/>
            </w:tcMar>
            <w:vAlign w:val="center"/>
          </w:tcPr>
          <w:p>
            <w:pPr>
              <w:pStyle w:val="TableContents"/>
              <w:spacing w:before="0" w:after="283"/>
              <w:rPr/>
            </w:pPr>
            <w:r>
              <w:rPr/>
              <w:t> </w:t>
            </w:r>
          </w:p>
        </w:tc>
        <w:tc>
          <w:tcPr>
            <w:tcW w:w="2475"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7730" w:type="dxa"/>
            <w:gridSpan w:val="9"/>
            <w:tcBorders>
              <w:left w:val="single" w:sz="2" w:space="0" w:color="FFFFFF"/>
              <w:bottom w:val="single" w:sz="8" w:space="0" w:color="B94831"/>
            </w:tcBorders>
            <w:shd w:fill="262626" w:val="clear"/>
            <w:tcMar>
              <w:left w:w="160" w:type="dxa"/>
              <w:bottom w:w="40" w:type="dxa"/>
            </w:tcMar>
          </w:tcPr>
          <w:p>
            <w:pPr>
              <w:pStyle w:val="TableContents"/>
              <w:spacing w:before="0" w:after="283"/>
              <w:rPr>
                <w:rFonts w:ascii="Arial" w:hAnsi="Arial"/>
                <w:b/>
                <w:color w:val="FFFFFF"/>
              </w:rPr>
            </w:pPr>
            <w:r>
              <w:rPr>
                <w:rFonts w:ascii="Arial" w:hAnsi="Arial"/>
                <w:b/>
                <w:color w:val="FFFFFF"/>
              </w:rPr>
              <w:t>Item of  Business</w:t>
            </w:r>
          </w:p>
        </w:tc>
        <w:tc>
          <w:tcPr>
            <w:tcW w:w="127"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2075" w:type="dxa"/>
            <w:gridSpan w:val="2"/>
            <w:tcBorders>
              <w:bottom w:val="single" w:sz="8" w:space="0" w:color="B94831"/>
            </w:tcBorders>
            <w:shd w:fill="262626" w:val="clear"/>
            <w:tcMar>
              <w:bottom w:w="40" w:type="dxa"/>
            </w:tcMar>
            <w:vAlign w:val="bottom"/>
          </w:tcPr>
          <w:p>
            <w:pPr>
              <w:pStyle w:val="TableContents"/>
              <w:spacing w:before="0" w:after="283"/>
              <w:rPr>
                <w:rFonts w:ascii="Arial" w:hAnsi="Arial"/>
                <w:b/>
                <w:color w:val="FFFFFF"/>
              </w:rPr>
            </w:pPr>
            <w:r>
              <w:rPr>
                <w:rFonts w:ascii="Arial" w:hAnsi="Arial"/>
                <w:b/>
                <w:color w:val="FFFFFF"/>
              </w:rPr>
              <w:t xml:space="preserve">Board Vote </w:t>
              <w:br/>
              <w:t>Recommendation</w:t>
            </w:r>
          </w:p>
        </w:tc>
        <w:tc>
          <w:tcPr>
            <w:tcW w:w="273" w:type="dxa"/>
            <w:tcBorders>
              <w:bottom w:val="single" w:sz="8" w:space="0" w:color="B94831"/>
            </w:tcBorders>
            <w:shd w:fill="262626" w:val="clear"/>
            <w:tcMar>
              <w:bottom w:w="28" w:type="dxa"/>
            </w:tcMar>
            <w:vAlign w:val="bottom"/>
          </w:tcPr>
          <w:p>
            <w:pPr>
              <w:pStyle w:val="TableContents"/>
              <w:spacing w:before="0" w:after="283"/>
              <w:rPr/>
            </w:pPr>
            <w:r>
              <w:rPr/>
              <w:t> </w:t>
            </w:r>
          </w:p>
        </w:tc>
      </w:tr>
      <w:tr>
        <w:trPr>
          <w:trHeight w:val="60" w:hRule="atLeast"/>
        </w:trPr>
        <w:tc>
          <w:tcPr>
            <w:tcW w:w="7730" w:type="dxa"/>
            <w:gridSpan w:val="9"/>
            <w:tcBorders>
              <w:right w:val="single" w:sz="2" w:space="0" w:color="AFAFAF"/>
            </w:tcBorders>
            <w:shd w:fill="auto" w:val="clear"/>
            <w:tcMar>
              <w:right w:w="28" w:type="dxa"/>
            </w:tcMar>
            <w:vAlign w:val="center"/>
          </w:tcPr>
          <w:p>
            <w:pPr>
              <w:pStyle w:val="TableContents"/>
              <w:spacing w:before="0" w:after="283"/>
              <w:rPr/>
            </w:pPr>
            <w:r>
              <w:rPr/>
              <w:t> </w:t>
            </w:r>
          </w:p>
        </w:tc>
        <w:tc>
          <w:tcPr>
            <w:tcW w:w="2475" w:type="dxa"/>
            <w:gridSpan w:val="4"/>
            <w:tcBorders/>
            <w:shd w:fill="auto" w:val="clear"/>
            <w:vAlign w:val="center"/>
          </w:tcPr>
          <w:p>
            <w:pPr>
              <w:pStyle w:val="TableContents"/>
              <w:spacing w:before="0" w:after="283"/>
              <w:rPr>
                <w:sz w:val="4"/>
                <w:szCs w:val="4"/>
              </w:rPr>
            </w:pPr>
            <w:r>
              <w:rPr>
                <w:sz w:val="4"/>
                <w:szCs w:val="4"/>
              </w:rPr>
            </w:r>
          </w:p>
        </w:tc>
      </w:tr>
      <w:tr>
        <w:trPr/>
        <w:tc>
          <w:tcPr>
            <w:tcW w:w="7730" w:type="dxa"/>
            <w:gridSpan w:val="9"/>
            <w:tcBorders>
              <w:bottom w:val="single" w:sz="2" w:space="0" w:color="AFAFAF"/>
              <w:right w:val="single" w:sz="2" w:space="0" w:color="AFAFAF"/>
            </w:tcBorders>
            <w:shd w:fill="auto" w:val="clear"/>
            <w:tcMar>
              <w:bottom w:w="60" w:type="dxa"/>
              <w:right w:w="28" w:type="dxa"/>
            </w:tcMar>
          </w:tcPr>
          <w:p>
            <w:pPr>
              <w:pStyle w:val="TableContents"/>
              <w:spacing w:before="0" w:after="0"/>
              <w:rPr/>
            </w:pPr>
            <w:r>
              <w:rPr>
                <w:color w:val="54F400"/>
              </w:rPr>
              <w:t>✓    </w:t>
            </w:r>
            <w:r>
              <w:rPr>
                <w:rFonts w:ascii="arial" w:hAnsi="arial"/>
                <w:b/>
                <w:i/>
                <w:color w:val="54F400"/>
                <w:sz w:val="16"/>
              </w:rPr>
              <w:t>We do not believe that we have any problematic pay practices and risk is taken into account in our compensation programs</w:t>
            </w:r>
            <w:r>
              <w:rPr>
                <w:rFonts w:ascii="Arial" w:hAnsi="Arial"/>
                <w:b/>
                <w:sz w:val="16"/>
              </w:rPr>
              <w:t xml:space="preserve"> </w:t>
            </w:r>
            <w:r>
              <w:rPr>
                <w:rFonts w:ascii="Times New Roman" w:hAnsi="Times New Roman"/>
                <w:b/>
                <w:sz w:val="16"/>
              </w:rPr>
              <w:t> The HR Committees independent advisor reviews our compensation program to evaluate the degree to which it encourages risk taking in the context of our overall enterprise risk profile as well as recognized market best practices. Based on the independent advisors review, the HR Committee has concluded that our programs appear unlikely to create incentives for excessive risk taking and include meaningful safeguards to mitigate compensation program risk.</w:t>
            </w:r>
          </w:p>
          <w:p>
            <w:pPr>
              <w:pStyle w:val="TableContents"/>
              <w:spacing w:before="0" w:after="0"/>
              <w:rPr/>
            </w:pPr>
            <w:r>
              <w:rPr/>
              <w:t> </w:t>
            </w:r>
          </w:p>
          <w:p>
            <w:pPr>
              <w:pStyle w:val="TableContents"/>
              <w:spacing w:before="0" w:after="0"/>
              <w:rPr>
                <w:rFonts w:ascii="arial" w:hAnsi="arial"/>
                <w:b/>
                <w:sz w:val="16"/>
              </w:rPr>
            </w:pPr>
            <w:r>
              <w:rPr>
                <w:rFonts w:ascii="arial" w:hAnsi="arial"/>
                <w:b/>
                <w:sz w:val="16"/>
              </w:rPr>
              <w:t>What we do</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The HR Committee is comprised of a majority of </w:t>
            </w:r>
            <w:r>
              <w:rPr>
                <w:rFonts w:ascii="Arial" w:hAnsi="Arial"/>
                <w:b/>
                <w:sz w:val="16"/>
              </w:rPr>
              <w:t>independent directors</w:t>
            </w:r>
            <w:r>
              <w:rPr>
                <w:rFonts w:ascii="arial" w:hAnsi="arial"/>
                <w:sz w:val="16"/>
              </w:rPr>
              <w:t xml:space="preserve"> and it uses an </w:t>
            </w:r>
            <w:r>
              <w:rPr>
                <w:rFonts w:ascii="Arial" w:hAnsi="Arial"/>
                <w:b/>
                <w:sz w:val="16"/>
              </w:rPr>
              <w:t>independent executive compensation consultant</w:t>
            </w:r>
            <w:r>
              <w:rPr>
                <w:rFonts w:ascii="arial" w:hAnsi="arial"/>
                <w:sz w:val="16"/>
              </w:rPr>
              <w:t xml:space="preserve"> to assess our executive compensation programs;</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Most of an executives compensation is comprised of </w:t>
            </w:r>
            <w:r>
              <w:rPr>
                <w:rFonts w:ascii="Arial" w:hAnsi="Arial"/>
                <w:b/>
                <w:sz w:val="16"/>
              </w:rPr>
              <w:t>longer-term performance opportunities</w:t>
            </w:r>
            <w:r>
              <w:rPr>
                <w:rFonts w:ascii="arial" w:hAnsi="arial"/>
                <w:sz w:val="16"/>
              </w:rPr>
              <w:t xml:space="preserve"> with less emphasis on shorter-term performance opportunities;</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The </w:t>
            </w:r>
            <w:r>
              <w:rPr>
                <w:rFonts w:ascii="Arial" w:hAnsi="Arial"/>
                <w:b/>
                <w:sz w:val="16"/>
              </w:rPr>
              <w:t>base salary</w:t>
            </w:r>
            <w:r>
              <w:rPr>
                <w:rFonts w:ascii="arial" w:hAnsi="arial"/>
                <w:sz w:val="16"/>
              </w:rPr>
              <w:t xml:space="preserve"> component of each executives compensation is </w:t>
            </w:r>
            <w:r>
              <w:rPr>
                <w:rFonts w:ascii="Arial" w:hAnsi="Arial"/>
                <w:b/>
                <w:sz w:val="16"/>
              </w:rPr>
              <w:t>fixed</w:t>
            </w:r>
            <w:r>
              <w:rPr>
                <w:rFonts w:ascii="arial" w:hAnsi="arial"/>
                <w:sz w:val="16"/>
              </w:rPr>
              <w:t>;</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Our </w:t>
            </w:r>
            <w:r>
              <w:rPr>
                <w:rFonts w:ascii="Arial" w:hAnsi="Arial"/>
                <w:b/>
                <w:sz w:val="16"/>
              </w:rPr>
              <w:t>HR Committee annually reviews and determines award design</w:t>
            </w:r>
            <w:r>
              <w:rPr>
                <w:rFonts w:ascii="arial" w:hAnsi="arial"/>
                <w:sz w:val="16"/>
              </w:rPr>
              <w:t xml:space="preserve"> and there are </w:t>
            </w:r>
            <w:r>
              <w:rPr>
                <w:rFonts w:ascii="Arial" w:hAnsi="Arial"/>
                <w:b/>
                <w:sz w:val="16"/>
              </w:rPr>
              <w:t>principles and processes with management</w:t>
            </w:r>
            <w:r>
              <w:rPr>
                <w:rFonts w:ascii="arial" w:hAnsi="arial"/>
                <w:sz w:val="16"/>
              </w:rPr>
              <w:t xml:space="preserve"> for approving design changes and performance goals;</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The HR Committee reviews </w:t>
            </w:r>
            <w:r>
              <w:rPr>
                <w:rFonts w:ascii="Arial" w:hAnsi="Arial"/>
                <w:b/>
                <w:sz w:val="16"/>
              </w:rPr>
              <w:t>performance criteria</w:t>
            </w:r>
            <w:r>
              <w:rPr>
                <w:rFonts w:ascii="arial" w:hAnsi="arial"/>
                <w:sz w:val="16"/>
              </w:rPr>
              <w:t xml:space="preserve"> for financial metrics used in our incentive awards, including threshold, target and maximum amounts, to ensure that they are challenging, but achievable. Performance criteria are in alignment with the companys strategic objectives;</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Our incentive awards utilize a number of </w:t>
            </w:r>
            <w:r>
              <w:rPr>
                <w:rFonts w:ascii="Arial" w:hAnsi="Arial"/>
                <w:b/>
                <w:sz w:val="16"/>
              </w:rPr>
              <w:t>different financial performance measures</w:t>
            </w:r>
            <w:r>
              <w:rPr>
                <w:rFonts w:ascii="arial" w:hAnsi="arial"/>
                <w:sz w:val="16"/>
              </w:rPr>
              <w:t xml:space="preserve"> and do not rely on a single metric. Each metric has a threshold, target and maximum performance target with pre-defined payout amounts;</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Our annual incentive awards and performance restricted share units (PRSUs) issued as part of long-term incentive awards have </w:t>
            </w:r>
            <w:r>
              <w:rPr>
                <w:rFonts w:ascii="Arial" w:hAnsi="Arial"/>
                <w:b/>
                <w:sz w:val="16"/>
              </w:rPr>
              <w:t>caps for the maximum potential payouts</w:t>
            </w:r>
            <w:r>
              <w:rPr>
                <w:rFonts w:ascii="arial" w:hAnsi="arial"/>
                <w:sz w:val="16"/>
              </w:rPr>
              <w:t>;</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Our </w:t>
            </w:r>
            <w:r>
              <w:rPr>
                <w:rFonts w:ascii="Arial" w:hAnsi="Arial"/>
                <w:b/>
                <w:sz w:val="16"/>
              </w:rPr>
              <w:t>HR Committee has authority</w:t>
            </w:r>
            <w:r>
              <w:rPr>
                <w:rFonts w:ascii="arial" w:hAnsi="arial"/>
                <w:sz w:val="16"/>
              </w:rPr>
              <w:t xml:space="preserve"> to make fairness-related and other adjustments to performance award opportunities that it may deem appropriate;</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We have robust </w:t>
            </w:r>
            <w:r>
              <w:rPr>
                <w:rFonts w:ascii="Arial" w:hAnsi="Arial"/>
                <w:b/>
                <w:sz w:val="16"/>
              </w:rPr>
              <w:t>share ownership guidelines</w:t>
            </w:r>
            <w:r>
              <w:rPr>
                <w:rFonts w:ascii="arial" w:hAnsi="arial"/>
                <w:sz w:val="16"/>
              </w:rPr>
              <w:t xml:space="preserve"> for our executive officers which further ties their interests to those of our shareholders over the long-term; and</w:t>
            </w:r>
          </w:p>
          <w:p>
            <w:pPr>
              <w:pStyle w:val="TableContents"/>
              <w:spacing w:before="0" w:after="0"/>
              <w:rPr/>
            </w:pPr>
            <w:r>
              <w:rPr/>
              <w:t> </w:t>
            </w:r>
          </w:p>
          <w:p>
            <w:pPr>
              <w:pStyle w:val="TableContents"/>
              <w:spacing w:before="0" w:after="0"/>
              <w:rPr/>
            </w:pPr>
            <w:r>
              <w:rPr>
                <w:color w:val="54F400"/>
              </w:rPr>
              <w:t>✓</w:t>
            </w:r>
            <w:r>
              <w:rPr/>
              <w:t>  </w:t>
            </w:r>
            <w:r>
              <w:rPr>
                <w:rFonts w:ascii="arial" w:hAnsi="arial"/>
                <w:sz w:val="16"/>
              </w:rPr>
              <w:t xml:space="preserve">We have a </w:t>
            </w:r>
            <w:r>
              <w:rPr>
                <w:rFonts w:ascii="Arial" w:hAnsi="Arial"/>
                <w:b/>
                <w:sz w:val="16"/>
              </w:rPr>
              <w:t>recoupment (or clawback) policy</w:t>
            </w:r>
            <w:r>
              <w:rPr>
                <w:rFonts w:ascii="arial" w:hAnsi="arial"/>
                <w:sz w:val="16"/>
              </w:rPr>
              <w:t xml:space="preserve"> that permits us to seek reimbursement from the CEO and all of the other executive officers in certain circumstances.</w:t>
            </w:r>
          </w:p>
          <w:p>
            <w:pPr>
              <w:pStyle w:val="TableContents"/>
              <w:spacing w:before="0" w:after="0"/>
              <w:rPr/>
            </w:pPr>
            <w:r>
              <w:rPr/>
              <w:t> </w:t>
            </w:r>
          </w:p>
          <w:p>
            <w:pPr>
              <w:pStyle w:val="TableContents"/>
              <w:spacing w:before="0" w:after="0"/>
              <w:rPr>
                <w:rFonts w:ascii="Arial" w:hAnsi="Arial"/>
                <w:b/>
                <w:sz w:val="16"/>
              </w:rPr>
            </w:pPr>
            <w:r>
              <w:rPr>
                <w:rFonts w:ascii="Arial" w:hAnsi="Arial"/>
                <w:b/>
                <w:sz w:val="16"/>
              </w:rPr>
              <w:t>What we dont do</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Executive officers are prohibited from hedging or pledging company shares;</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We dont offer single trigger change of control rights or excise tax gross-up payments;</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We dont guarantee minimum payout levels in our incentive plans or minimum vesting for equity awards;</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We dont guarantee increases to base salaries or target incentive award opportunities;</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We dont reprice stock options, grant reload stock options or spring load equity awards to enable recipients to benefit from the release of confidential information;</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w:t>
            </w:r>
            <w:r>
              <w:rPr>
                <w:rFonts w:ascii="Arial" w:hAnsi="Arial"/>
                <w:b/>
                <w:sz w:val="16"/>
              </w:rPr>
              <w:t>   We dont include unvested RSUs or vested/unvested stock options in the calculation of share ownership guidelines; and</w:t>
            </w:r>
          </w:p>
          <w:p>
            <w:pPr>
              <w:pStyle w:val="TableContents"/>
              <w:spacing w:before="0" w:after="0"/>
              <w:rPr/>
            </w:pPr>
            <w:r>
              <w:rPr/>
              <w:t> </w:t>
            </w:r>
          </w:p>
          <w:p>
            <w:pPr>
              <w:pStyle w:val="TableContents"/>
              <w:spacing w:before="0" w:after="0"/>
              <w:rPr>
                <w:rFonts w:ascii="Arial" w:hAnsi="Arial"/>
                <w:b/>
                <w:sz w:val="16"/>
              </w:rPr>
            </w:pPr>
            <w:r>
              <w:rPr>
                <w:rFonts w:ascii="Arial" w:hAnsi="Arial"/>
                <w:b/>
                <w:color w:val="B94831"/>
                <w:sz w:val="16"/>
              </w:rPr>
              <w:t>X   </w:t>
            </w:r>
            <w:r>
              <w:rPr>
                <w:rFonts w:ascii="Arial" w:hAnsi="Arial"/>
                <w:b/>
                <w:sz w:val="16"/>
              </w:rPr>
              <w:t>We dont offer excessive perquisites.</w:t>
            </w:r>
          </w:p>
          <w:p>
            <w:pPr>
              <w:pStyle w:val="TableContents"/>
              <w:spacing w:before="0" w:after="0"/>
              <w:rPr/>
            </w:pPr>
            <w:r>
              <w:rPr/>
              <w:t> </w:t>
            </w:r>
          </w:p>
          <w:p>
            <w:pPr>
              <w:pStyle w:val="TableContents"/>
              <w:spacing w:before="0" w:after="20"/>
              <w:rPr>
                <w:rFonts w:ascii="arial" w:hAnsi="arial"/>
                <w:sz w:val="16"/>
              </w:rPr>
            </w:pPr>
            <w:r>
              <w:rPr>
                <w:rFonts w:ascii="arial" w:hAnsi="arial"/>
                <w:sz w:val="16"/>
              </w:rPr>
              <w:t>Please see the Compensation Discussion and Analysis section of the circular for additional information.</w:t>
            </w:r>
          </w:p>
        </w:tc>
        <w:tc>
          <w:tcPr>
            <w:tcW w:w="127" w:type="dxa"/>
            <w:tcBorders>
              <w:bottom w:val="single" w:sz="2" w:space="0" w:color="AFAFAF"/>
            </w:tcBorders>
            <w:shd w:fill="auto" w:val="clear"/>
            <w:tcMar>
              <w:bottom w:w="28" w:type="dxa"/>
            </w:tcMar>
            <w:vAlign w:val="bottom"/>
          </w:tcPr>
          <w:p>
            <w:pPr>
              <w:pStyle w:val="TableContents"/>
              <w:spacing w:before="0" w:after="283"/>
              <w:rPr/>
            </w:pPr>
            <w:r>
              <w:rPr/>
              <w:t> </w:t>
            </w:r>
          </w:p>
        </w:tc>
        <w:tc>
          <w:tcPr>
            <w:tcW w:w="171"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90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273"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c>
          <w:tcPr>
            <w:tcW w:w="7730" w:type="dxa"/>
            <w:gridSpan w:val="9"/>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0"/>
              <w:rPr>
                <w:rFonts w:ascii="Arial" w:hAnsi="Arial"/>
                <w:b/>
                <w:sz w:val="16"/>
              </w:rPr>
            </w:pPr>
            <w:r>
              <w:rPr>
                <w:rFonts w:ascii="Arial" w:hAnsi="Arial"/>
                <w:b/>
                <w:sz w:val="16"/>
              </w:rPr>
              <w:t>5. Plan of Arrangement (pages 109 and B-1 of the circular)</w:t>
            </w:r>
          </w:p>
          <w:p>
            <w:pPr>
              <w:pStyle w:val="TableContents"/>
              <w:spacing w:before="0" w:after="0"/>
              <w:rPr/>
            </w:pPr>
            <w:r>
              <w:rPr/>
              <w:t> </w:t>
            </w:r>
          </w:p>
          <w:p>
            <w:pPr>
              <w:pStyle w:val="TableContents"/>
              <w:spacing w:before="0" w:after="20"/>
              <w:rPr>
                <w:rFonts w:ascii="arial" w:hAnsi="arial"/>
                <w:sz w:val="16"/>
              </w:rPr>
            </w:pPr>
            <w:r>
              <w:rPr>
                <w:rFonts w:ascii="arial" w:hAnsi="arial"/>
                <w:sz w:val="16"/>
              </w:rPr>
              <w:t xml:space="preserve">To consider, pursuant to an interim order of the Court dated April 21, 2023, and, if deemed advisable, to approve, with or without amendment, a special resolution approving the Arrangement described in this circular, pursuant to section 182 of the </w:t>
            </w:r>
            <w:r>
              <w:rPr>
                <w:rFonts w:ascii="arial" w:hAnsi="arial"/>
                <w:i/>
                <w:sz w:val="16"/>
              </w:rPr>
              <w:t>Business Corporations Act</w:t>
            </w:r>
            <w:r>
              <w:rPr>
                <w:rFonts w:ascii="arial" w:hAnsi="arial"/>
                <w:sz w:val="16"/>
              </w:rPr>
              <w:t xml:space="preserve"> (Ontario) under which Thomson Reuters Corporation will (i) make a cash distribution of US$4.67 per common share, or approximately US$2.2 billion in the aggregate and (ii) consolidate its outstanding common shares (or reverse stock split) on a basis that is proportional to the cash distribution</w:t>
            </w:r>
          </w:p>
        </w:tc>
        <w:tc>
          <w:tcPr>
            <w:tcW w:w="12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1"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pPr>
            <w:r>
              <w:rPr/>
              <w:t> </w:t>
            </w:r>
          </w:p>
        </w:tc>
        <w:tc>
          <w:tcPr>
            <w:tcW w:w="1904"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pPr>
            <w:r>
              <w:rPr>
                <w:color w:val="54F400"/>
              </w:rPr>
              <w:t>✓</w:t>
            </w:r>
            <w:r>
              <w:rPr/>
              <w:t> </w:t>
            </w:r>
            <w:r>
              <w:rPr>
                <w:rFonts w:ascii="arial" w:hAnsi="arial"/>
                <w:sz w:val="16"/>
              </w:rPr>
              <w:t>FOR</w:t>
            </w:r>
          </w:p>
        </w:tc>
        <w:tc>
          <w:tcPr>
            <w:tcW w:w="273"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pPr>
            <w:r>
              <w:rPr/>
              <w:t> </w:t>
            </w:r>
          </w:p>
        </w:tc>
      </w:tr>
      <w:tr>
        <w:trPr/>
        <w:tc>
          <w:tcPr>
            <w:tcW w:w="7730" w:type="dxa"/>
            <w:gridSpan w:val="9"/>
            <w:tcBorders>
              <w:bottom w:val="single" w:sz="2" w:space="0" w:color="AFAFAF"/>
            </w:tcBorders>
            <w:shd w:fill="auto" w:val="clear"/>
            <w:tcMar>
              <w:bottom w:w="120" w:type="dxa"/>
            </w:tcMar>
            <w:vAlign w:val="bottom"/>
          </w:tcPr>
          <w:p>
            <w:pPr>
              <w:pStyle w:val="TableContents"/>
              <w:spacing w:before="0" w:after="0"/>
              <w:rPr/>
            </w:pPr>
            <w:r>
              <w:rPr/>
              <w:t> </w:t>
            </w:r>
          </w:p>
          <w:p>
            <w:pPr>
              <w:pStyle w:val="TableContents"/>
              <w:spacing w:before="0" w:after="0"/>
              <w:rPr>
                <w:rFonts w:ascii="Arial" w:hAnsi="Arial"/>
                <w:b/>
                <w:sz w:val="16"/>
              </w:rPr>
            </w:pPr>
            <w:r>
              <w:rPr>
                <w:rFonts w:ascii="Arial" w:hAnsi="Arial"/>
                <w:b/>
                <w:sz w:val="16"/>
              </w:rPr>
              <w:t>6. Other business</w:t>
            </w:r>
          </w:p>
          <w:p>
            <w:pPr>
              <w:pStyle w:val="TableContents"/>
              <w:spacing w:before="0" w:after="0"/>
              <w:rPr/>
            </w:pPr>
            <w:r>
              <w:rPr/>
              <w:t> </w:t>
            </w:r>
          </w:p>
          <w:p>
            <w:pPr>
              <w:pStyle w:val="TableContents"/>
              <w:spacing w:before="0" w:after="20"/>
              <w:rPr>
                <w:rFonts w:ascii="arial" w:hAnsi="arial"/>
                <w:sz w:val="16"/>
              </w:rPr>
            </w:pPr>
            <w:r>
              <w:rPr>
                <w:rFonts w:ascii="arial" w:hAnsi="arial"/>
                <w:sz w:val="16"/>
              </w:rPr>
              <w:t>If any other items of business are properly brought before the meeting (or any adjourned or postponed meeting), shareholders will be asked to vote. We are not aware of any other items of business at this time.</w:t>
            </w:r>
          </w:p>
        </w:tc>
        <w:tc>
          <w:tcPr>
            <w:tcW w:w="12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1"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pPr>
            <w:r>
              <w:rPr/>
              <w:t> </w:t>
            </w:r>
          </w:p>
        </w:tc>
        <w:tc>
          <w:tcPr>
            <w:tcW w:w="1904"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rFonts w:ascii="arial" w:hAnsi="arial"/>
                <w:sz w:val="16"/>
              </w:rPr>
            </w:pPr>
            <w:r>
              <w:rPr>
                <w:rFonts w:ascii="arial" w:hAnsi="arial"/>
                <w:sz w:val="16"/>
              </w:rPr>
              <w:t>N/A</w:t>
            </w:r>
          </w:p>
        </w:tc>
        <w:tc>
          <w:tcPr>
            <w:tcW w:w="273" w:type="dxa"/>
            <w:tcBorders>
              <w:bottom w:val="single" w:sz="2" w:space="0" w:color="AFAFAF"/>
            </w:tcBorders>
            <w:shd w:fill="auto" w:val="clear"/>
            <w:tcMar>
              <w:bottom w:w="120" w:type="dxa"/>
            </w:tcMar>
          </w:tcPr>
          <w:p>
            <w:pPr>
              <w:pStyle w:val="TableContents"/>
              <w:spacing w:before="0" w:after="0"/>
              <w:rPr/>
            </w:pPr>
            <w:r>
              <w:rPr/>
              <w:t> </w:t>
            </w:r>
          </w:p>
          <w:p>
            <w:pPr>
              <w:pStyle w:val="TableContents"/>
              <w:spacing w:before="0" w:after="20"/>
              <w:rPr/>
            </w:pPr>
            <w:r>
              <w:rPr/>
              <w:t> </w:t>
            </w:r>
          </w:p>
        </w:tc>
      </w:tr>
      <w:tr>
        <w:trPr/>
        <w:tc>
          <w:tcPr>
            <w:tcW w:w="7730" w:type="dxa"/>
            <w:gridSpan w:val="9"/>
            <w:tcBorders>
              <w:bottom w:val="single" w:sz="2" w:space="0" w:color="AFAFAF"/>
            </w:tcBorders>
            <w:shd w:fill="auto" w:val="clear"/>
            <w:tcMar>
              <w:bottom w:w="120" w:type="dxa"/>
            </w:tcMar>
            <w:vAlign w:val="bottom"/>
          </w:tcPr>
          <w:p>
            <w:pPr>
              <w:pStyle w:val="TableContents"/>
              <w:spacing w:before="0" w:after="283"/>
              <w:rPr/>
            </w:pPr>
            <w:r>
              <w:rPr/>
              <w:t>We received a shareholder proposal for consideration at the meeting. Following a constructive discussion with our company and based on our progress, ongoing work and commitments in this area, the shareholder agreed not to submit its proposal to a vote at the meeting. We agreed to include the proposal in this circular for informational purposes only. The proposal and related supporting statement are reproduced in Appendix F of this circular, along with our companys response. This proposal is not a part of the formal business or agenda of the meeting.</w:t>
            </w:r>
          </w:p>
        </w:tc>
        <w:tc>
          <w:tcPr>
            <w:tcW w:w="12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1904" w:type="dxa"/>
            <w:tcBorders>
              <w:bottom w:val="single" w:sz="2" w:space="0" w:color="AFAFAF"/>
            </w:tcBorders>
            <w:shd w:fill="auto" w:val="clear"/>
            <w:tcMar>
              <w:bottom w:w="28" w:type="dxa"/>
            </w:tcMar>
            <w:vAlign w:val="bottom"/>
          </w:tcPr>
          <w:p>
            <w:pPr>
              <w:pStyle w:val="TableContents"/>
              <w:spacing w:before="0" w:after="283"/>
              <w:rPr/>
            </w:pPr>
            <w:r>
              <w:rPr/>
              <w:t> </w:t>
            </w:r>
          </w:p>
        </w:tc>
        <w:tc>
          <w:tcPr>
            <w:tcW w:w="273" w:type="dxa"/>
            <w:tcBorders>
              <w:bottom w:val="single" w:sz="2" w:space="0" w:color="AFAFAF"/>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8" w:name="tx494196_14"/>
      <w:bookmarkEnd w:id="8"/>
      <w:r>
        <w:rPr>
          <w:rFonts w:ascii="arial" w:hAnsi="arial"/>
          <w:color w:val="B94831"/>
          <w:sz w:val="52"/>
        </w:rPr>
        <w:t xml:space="preserve">Voting Information and How to Attend </w:t>
      </w:r>
    </w:p>
    <w:p>
      <w:pPr>
        <w:pStyle w:val="TextBody"/>
        <w:spacing w:before="480" w:after="0"/>
        <w:jc w:val="left"/>
        <w:rPr>
          <w:rFonts w:ascii="arial" w:hAnsi="arial"/>
          <w:color w:val="B94831"/>
          <w:sz w:val="28"/>
        </w:rPr>
      </w:pPr>
      <w:r>
        <w:rPr>
          <w:rFonts w:ascii="arial" w:hAnsi="arial"/>
          <w:color w:val="B94831"/>
          <w:sz w:val="28"/>
        </w:rPr>
        <w:t xml:space="preserve">What is the format of the meeting? </w:t>
      </w:r>
    </w:p>
    <w:p>
      <w:pPr>
        <w:pStyle w:val="TextBody"/>
        <w:spacing w:before="40" w:after="0"/>
        <w:jc w:val="left"/>
        <w:rPr>
          <w:rFonts w:ascii="arial" w:hAnsi="arial"/>
          <w:sz w:val="20"/>
        </w:rPr>
      </w:pPr>
      <w:r>
        <w:rPr>
          <w:rFonts w:ascii="arial" w:hAnsi="arial"/>
          <w:sz w:val="20"/>
        </w:rPr>
        <w:t xml:space="preserve">We are holding the meeting as a virtual-only meeting, which will be conducted through a live webcast. Shareholders will have an opportunity to attend the meeting, submit or ask questions and vote in real time through a web-based platform, regardless of geographic location and share ownership. Shareholders will not be able to attend the meeting in person. </w:t>
      </w:r>
    </w:p>
    <w:p>
      <w:pPr>
        <w:pStyle w:val="TextBody"/>
        <w:spacing w:before="120" w:after="0"/>
        <w:jc w:val="left"/>
        <w:rPr>
          <w:rFonts w:ascii="arial" w:hAnsi="arial"/>
          <w:color w:val="B94831"/>
          <w:sz w:val="28"/>
        </w:rPr>
      </w:pPr>
      <w:r>
        <w:rPr>
          <w:rFonts w:ascii="arial" w:hAnsi="arial"/>
          <w:color w:val="B94831"/>
          <w:sz w:val="28"/>
        </w:rPr>
        <w:t xml:space="preserve">Who can vote at the meeting? </w:t>
      </w:r>
    </w:p>
    <w:p>
      <w:pPr>
        <w:pStyle w:val="TextBody"/>
        <w:spacing w:before="40" w:after="0"/>
        <w:jc w:val="left"/>
        <w:rPr>
          <w:rFonts w:ascii="arial" w:hAnsi="arial"/>
          <w:sz w:val="20"/>
        </w:rPr>
      </w:pPr>
      <w:r>
        <w:rPr>
          <w:rFonts w:ascii="arial" w:hAnsi="arial"/>
          <w:sz w:val="20"/>
        </w:rPr>
        <w:t xml:space="preserve">If you held common shares as of 5:00 p.m. (Eastern Daylight Time) on April 21, 2023 (the record date), then you are entitled to vote at the meeting or any adjourned or postponed meeting. Each share is entitled to one vote. As of April 21, 2023, there were 470,972,647 common shares outstanding. </w:t>
      </w:r>
    </w:p>
    <w:p>
      <w:pPr>
        <w:pStyle w:val="TextBody"/>
        <w:spacing w:before="120" w:after="0"/>
        <w:jc w:val="left"/>
        <w:rPr>
          <w:rFonts w:ascii="arial" w:hAnsi="arial"/>
          <w:sz w:val="20"/>
        </w:rPr>
      </w:pPr>
      <w:r>
        <w:rPr>
          <w:rFonts w:ascii="arial" w:hAnsi="arial"/>
          <w:sz w:val="20"/>
        </w:rPr>
        <w:t xml:space="preserve">We also have 6,000,000 Series II preference shares outstanding, but these shares do not have voting rights at the meeting. </w:t>
      </w:r>
    </w:p>
    <w:p>
      <w:pPr>
        <w:pStyle w:val="TextBody"/>
        <w:spacing w:before="120" w:after="0"/>
        <w:jc w:val="left"/>
        <w:rPr>
          <w:rFonts w:ascii="arial" w:hAnsi="arial"/>
          <w:color w:val="B94831"/>
          <w:sz w:val="28"/>
        </w:rPr>
      </w:pPr>
      <w:r>
        <w:rPr>
          <w:rFonts w:ascii="arial" w:hAnsi="arial"/>
          <w:color w:val="B94831"/>
          <w:sz w:val="28"/>
        </w:rPr>
        <w:t xml:space="preserve">How many votes are required for approval? </w:t>
      </w:r>
    </w:p>
    <w:p>
      <w:pPr>
        <w:pStyle w:val="TextBody"/>
        <w:spacing w:before="40" w:after="0"/>
        <w:jc w:val="left"/>
        <w:rPr>
          <w:rFonts w:ascii="arial" w:hAnsi="arial"/>
          <w:sz w:val="20"/>
        </w:rPr>
      </w:pPr>
      <w:r>
        <w:rPr>
          <w:rFonts w:ascii="arial" w:hAnsi="arial"/>
          <w:sz w:val="20"/>
        </w:rPr>
        <w:t xml:space="preserve">A simple majority (more than 50%) of votes cast, during the meeting online or by proxy, is required to approve each item of business other than the Return of Capital Transaction. The special resolution to approve the Return of Capital Transaction must be passed by not less than two-thirds (more than 66.6%) of votes cast by shareholders, during the meeting online or by proxy. </w:t>
      </w:r>
    </w:p>
    <w:p>
      <w:pPr>
        <w:pStyle w:val="TextBody"/>
        <w:spacing w:before="120" w:after="0"/>
        <w:jc w:val="left"/>
        <w:rPr>
          <w:rFonts w:ascii="arial" w:hAnsi="arial"/>
          <w:sz w:val="20"/>
        </w:rPr>
      </w:pPr>
      <w:r>
        <w:rPr>
          <w:rFonts w:ascii="arial" w:hAnsi="arial"/>
          <w:sz w:val="20"/>
        </w:rPr>
        <w:t xml:space="preserve">Woodbridge, our principal and controlling shareholder, beneficially owned approximately 69% of our outstanding common shares as of April 21, 2023. Woodbridge has advised our company that it will vote FOR each item of business as recommended by the board of directors. </w:t>
      </w:r>
    </w:p>
    <w:p>
      <w:pPr>
        <w:pStyle w:val="TextBody"/>
        <w:spacing w:before="120" w:after="0"/>
        <w:jc w:val="left"/>
        <w:rPr>
          <w:rFonts w:ascii="arial" w:hAnsi="arial"/>
          <w:sz w:val="20"/>
        </w:rPr>
      </w:pPr>
      <w:r>
        <w:rPr>
          <w:rFonts w:ascii="arial" w:hAnsi="arial"/>
          <w:sz w:val="20"/>
        </w:rPr>
        <w:t xml:space="preserve">We have a majority voting policy that applies to the election of directors at the annual meeting of shareholders. This means that if a director receives more withhold votes than for votes at the meeting, then the director will immediately tender his or her resignation to the Chairman. This would be effective if accepted by the Board. The Corporate Governance Committee will consider a directors offer to resign and make a recommendation to the Board as to whether to accept it. The Board will accept resignations, except in exceptional circumstances. The Board will have 90 days from the annual meeting to make and publicly disclose its decision by news release either to accept or reject the resignation (including reasons for rejecting the resignation, if applicable). As Woodbridge has indicated that it will vote FOR the election of each director nominee, each director will receive more than a majority of votes at the meeting. </w:t>
      </w:r>
    </w:p>
    <w:p>
      <w:pPr>
        <w:pStyle w:val="TextBody"/>
        <w:spacing w:before="120" w:after="0"/>
        <w:jc w:val="left"/>
        <w:rPr>
          <w:rFonts w:ascii="arial" w:hAnsi="arial"/>
          <w:color w:val="B94831"/>
          <w:sz w:val="28"/>
        </w:rPr>
      </w:pPr>
      <w:r>
        <w:rPr>
          <w:rFonts w:ascii="arial" w:hAnsi="arial"/>
          <w:color w:val="B94831"/>
          <w:sz w:val="28"/>
        </w:rPr>
        <w:t xml:space="preserve">How do I vote? </w:t>
      </w:r>
    </w:p>
    <w:p>
      <w:pPr>
        <w:pStyle w:val="TextBody"/>
        <w:spacing w:before="40" w:after="0"/>
        <w:jc w:val="left"/>
        <w:rPr>
          <w:rFonts w:ascii="arial" w:hAnsi="arial"/>
          <w:sz w:val="20"/>
        </w:rPr>
      </w:pPr>
      <w:r>
        <w:rPr>
          <w:rFonts w:ascii="Arial" w:hAnsi="Arial"/>
          <w:b/>
          <w:sz w:val="20"/>
        </w:rPr>
        <w:t>You have two choices  you can vote by proxy, or you can attend the virtual-only meeting and vote during the meeting by online ballot through the live webcast platform. The voting process is different for each choice. The voting process also depends on whether you are a registered or non-registered shareholder.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You should first determine whether you are a registered or non-registered holder of our common shares. Most of our shareholders are non-registered 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You are a </w:t>
            </w:r>
            <w:r>
              <w:rPr>
                <w:rFonts w:ascii="Arial" w:hAnsi="Arial"/>
                <w:b/>
                <w:sz w:val="20"/>
              </w:rPr>
              <w:t>registered shareholder</w:t>
            </w:r>
            <w:r>
              <w:rPr>
                <w:rFonts w:ascii="arial" w:hAnsi="arial"/>
                <w:sz w:val="20"/>
              </w:rPr>
              <w:t xml:space="preserve"> if your name appears directly on your share certificates, or if you hold your common shares in book-entry form through the direct registration system (DRS) on the records of our transfer agent, Computershare Trust Company of Canada.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You are a </w:t>
            </w:r>
            <w:r>
              <w:rPr>
                <w:rFonts w:ascii="Arial" w:hAnsi="Arial"/>
                <w:b/>
                <w:sz w:val="20"/>
              </w:rPr>
              <w:t>non-registered shareholder</w:t>
            </w:r>
            <w:r>
              <w:rPr>
                <w:rFonts w:ascii="arial" w:hAnsi="arial"/>
                <w:sz w:val="20"/>
              </w:rPr>
              <w:t xml:space="preserve"> if you own shares indirectly and the shares are registered in the name of an intermediary. For example, you are a non-registered shareholder if: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sz w:val="20"/>
              </w:rPr>
            </w:pPr>
            <w:r>
              <w:rPr>
                <w:rFonts w:ascii="arial" w:hAnsi="arial"/>
                <w:sz w:val="20"/>
              </w:rPr>
              <w:t xml:space="preserve">your common shares are held in the name of a bank, trust company, securities broker, trustee or custodian;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arial" w:hAnsi="arial"/>
                <w:sz w:val="20"/>
              </w:rPr>
            </w:pPr>
            <w:r>
              <w:rPr>
                <w:rFonts w:ascii="arial" w:hAnsi="arial"/>
                <w:sz w:val="20"/>
              </w:rPr>
              <w:t xml:space="preserve">you hold Depositary Interests representing our common shares which are held in the name of Computershare Company Nominees Limited as nominee and custodian. </w:t>
            </w:r>
          </w:p>
        </w:tc>
      </w:tr>
    </w:tbl>
    <w:p>
      <w:pPr>
        <w:pStyle w:val="TextBody"/>
        <w:spacing w:before="120" w:after="0"/>
        <w:jc w:val="left"/>
        <w:rPr>
          <w:rFonts w:ascii="arial" w:hAnsi="arial"/>
          <w:sz w:val="20"/>
        </w:rPr>
      </w:pPr>
      <w:r>
        <w:rPr>
          <w:rFonts w:ascii="arial" w:hAnsi="arial"/>
          <w:sz w:val="20"/>
        </w:rPr>
        <w:t xml:space="preserve">Non-registered shareholders are sometimes referred to as beneficial owners. </w:t>
      </w:r>
    </w:p>
    <w:p>
      <w:pPr>
        <w:pStyle w:val="TextBody"/>
        <w:spacing w:before="240" w:after="0"/>
        <w:jc w:val="left"/>
        <w:rPr>
          <w:rFonts w:ascii="arial" w:hAnsi="arial"/>
          <w:color w:val="B94831"/>
          <w:sz w:val="28"/>
        </w:rPr>
      </w:pPr>
      <w:r>
        <w:rPr>
          <w:rFonts w:ascii="arial" w:hAnsi="arial"/>
          <w:color w:val="B94831"/>
          <w:sz w:val="28"/>
        </w:rPr>
        <w:t xml:space="preserve">How do I attend and participate in the meeting? </w:t>
      </w:r>
    </w:p>
    <w:p>
      <w:pPr>
        <w:pStyle w:val="TextBody"/>
        <w:spacing w:before="120" w:after="0"/>
        <w:jc w:val="left"/>
        <w:rPr>
          <w:rFonts w:ascii="Arial" w:hAnsi="Arial"/>
          <w:b/>
          <w:sz w:val="20"/>
        </w:rPr>
      </w:pPr>
      <w:r>
        <w:rPr>
          <w:rFonts w:ascii="Arial" w:hAnsi="Arial"/>
          <w:b/>
          <w:sz w:val="20"/>
        </w:rPr>
        <w:t xml:space="preserve">We are holding the meeting in a virtual-only format, which will be conducted through a live webcast. Shareholders will not be able to attend the meeting in person. </w:t>
      </w:r>
    </w:p>
    <w:p>
      <w:pPr>
        <w:pStyle w:val="TextBody"/>
        <w:spacing w:before="120" w:after="0"/>
        <w:jc w:val="left"/>
        <w:rPr>
          <w:rFonts w:ascii="arial" w:hAnsi="arial"/>
          <w:sz w:val="20"/>
        </w:rPr>
      </w:pPr>
      <w:r>
        <w:rPr>
          <w:rFonts w:ascii="arial" w:hAnsi="arial"/>
          <w:sz w:val="20"/>
        </w:rPr>
        <w:t xml:space="preserve">How you vote will depend on whether youre a registered shareholder or a non-registered shareholder (as discussed above). </w:t>
      </w:r>
    </w:p>
    <w:p>
      <w:pPr>
        <w:pStyle w:val="TextBody"/>
        <w:spacing w:before="120" w:after="0"/>
        <w:jc w:val="left"/>
        <w:rPr>
          <w:rFonts w:ascii="arial" w:hAnsi="arial"/>
          <w:sz w:val="20"/>
        </w:rPr>
      </w:pPr>
      <w:r>
        <w:rPr>
          <w:rFonts w:ascii="arial" w:hAnsi="arial"/>
          <w:sz w:val="20"/>
        </w:rPr>
        <w:t xml:space="preserve">Registered shareholders and duly appointed proxyholders (including non-registered shareholders who have duly appointed themselves as proxyholder) will be able to attend and vote at the meeting online. Guests (including non-registered shareholders who have not duly appointed themselves as proxyholder) can log into the meeting as described below. Guests will be able to listen to the meeting but will not be able to vote at the meeting. </w:t>
      </w:r>
    </w:p>
    <w:p>
      <w:pPr>
        <w:pStyle w:val="TextBody"/>
        <w:spacing w:before="120" w:after="0"/>
        <w:jc w:val="left"/>
        <w:rPr>
          <w:rFonts w:ascii="arial" w:hAnsi="arial"/>
          <w:sz w:val="20"/>
        </w:rPr>
      </w:pPr>
      <w:r>
        <w:rPr>
          <w:rFonts w:ascii="arial" w:hAnsi="arial"/>
          <w:sz w:val="20"/>
        </w:rPr>
        <w:t xml:space="preserve">Additional information about participation in the meeting is set forth in our Virtual AGM User Guide which accompanies this circular and is available on our website. </w:t>
      </w:r>
    </w:p>
    <w:p>
      <w:pPr>
        <w:pStyle w:val="TextBody"/>
        <w:spacing w:before="120" w:after="0"/>
        <w:jc w:val="left"/>
        <w:rPr>
          <w:rFonts w:ascii="arial" w:hAnsi="arial"/>
          <w:sz w:val="20"/>
        </w:rPr>
      </w:pPr>
      <w:r>
        <w:rPr>
          <w:rFonts w:ascii="arial" w:hAnsi="arial"/>
          <w:sz w:val="20"/>
        </w:rPr>
        <w:t xml:space="preserve">If you attend the meeting, it is your responsibility to have Internet connectivity for the duration of the meeting.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871"/>
        <w:gridCol w:w="106"/>
        <w:gridCol w:w="7228"/>
      </w:tblGrid>
      <w:tr>
        <w:trPr/>
        <w:tc>
          <w:tcPr>
            <w:tcW w:w="2871"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228" w:type="dxa"/>
            <w:tcBorders/>
            <w:shd w:fill="auto" w:val="clear"/>
            <w:vAlign w:val="center"/>
          </w:tcPr>
          <w:p>
            <w:pPr>
              <w:pStyle w:val="TableContents"/>
              <w:spacing w:before="0" w:after="283"/>
              <w:rPr>
                <w:sz w:val="4"/>
                <w:szCs w:val="4"/>
              </w:rPr>
            </w:pPr>
            <w:r>
              <w:rPr>
                <w:sz w:val="4"/>
                <w:szCs w:val="4"/>
              </w:rPr>
            </w:r>
          </w:p>
        </w:tc>
      </w:tr>
      <w:tr>
        <w:trPr/>
        <w:tc>
          <w:tcPr>
            <w:tcW w:w="2871" w:type="dxa"/>
            <w:tcBorders>
              <w:bottom w:val="single" w:sz="8" w:space="0" w:color="B94831"/>
            </w:tcBorders>
            <w:shd w:fill="262626" w:val="clear"/>
            <w:tcMar>
              <w:bottom w:w="80" w:type="dxa"/>
            </w:tcMar>
          </w:tcPr>
          <w:p>
            <w:pPr>
              <w:pStyle w:val="TableContents"/>
              <w:spacing w:before="0" w:after="283"/>
              <w:rPr>
                <w:rFonts w:ascii="Arial" w:hAnsi="Arial"/>
                <w:b/>
                <w:color w:val="FFFFFF"/>
              </w:rPr>
            </w:pPr>
            <w:r>
              <w:rPr>
                <w:rFonts w:ascii="Arial" w:hAnsi="Arial"/>
                <w:b/>
                <w:color w:val="FFFFFF"/>
              </w:rPr>
              <w:t>Registered shareholders</w:t>
            </w:r>
          </w:p>
        </w:tc>
        <w:tc>
          <w:tcPr>
            <w:tcW w:w="106" w:type="dxa"/>
            <w:tcBorders>
              <w:left w:val="single" w:sz="2" w:space="0" w:color="000000"/>
              <w:bottom w:val="single" w:sz="8" w:space="0" w:color="B94831"/>
            </w:tcBorders>
            <w:shd w:fill="262626" w:val="clear"/>
            <w:tcMar>
              <w:left w:w="28" w:type="dxa"/>
              <w:bottom w:w="28" w:type="dxa"/>
            </w:tcMar>
            <w:vAlign w:val="bottom"/>
          </w:tcPr>
          <w:p>
            <w:pPr>
              <w:pStyle w:val="TableContents"/>
              <w:spacing w:before="0" w:after="283"/>
              <w:rPr/>
            </w:pPr>
            <w:r>
              <w:rPr/>
              <w:t> </w:t>
            </w:r>
          </w:p>
        </w:tc>
        <w:tc>
          <w:tcPr>
            <w:tcW w:w="7228" w:type="dxa"/>
            <w:tcBorders>
              <w:bottom w:val="single" w:sz="8" w:space="0" w:color="B94831"/>
            </w:tcBorders>
            <w:shd w:fill="262626" w:val="clear"/>
            <w:tcMar>
              <w:bottom w:w="80" w:type="dxa"/>
            </w:tcMar>
          </w:tcPr>
          <w:p>
            <w:pPr>
              <w:pStyle w:val="TableContents"/>
              <w:spacing w:before="0" w:after="283"/>
              <w:rPr>
                <w:color w:val="FFFFFF"/>
              </w:rPr>
            </w:pPr>
            <w:r>
              <w:rPr>
                <w:color w:val="FFFFFF"/>
              </w:rPr>
              <w:t>You are a registered shareholder if your name appears directly on your share certificates, or if you hold your common shares in book-entry form through the direct registration system (DRS) on the records of our transfer agent, Computershare Trust Company of Canada.</w:t>
            </w:r>
          </w:p>
        </w:tc>
      </w:tr>
      <w:tr>
        <w:trPr>
          <w:trHeight w:val="120" w:hRule="atLeast"/>
        </w:trPr>
        <w:tc>
          <w:tcPr>
            <w:tcW w:w="2871" w:type="dxa"/>
            <w:tcBorders>
              <w:left w:val="single" w:sz="2" w:space="0" w:color="000000"/>
            </w:tcBorders>
            <w:shd w:fill="auto" w:val="clear"/>
            <w:tcMar>
              <w:left w:w="160" w:type="dxa"/>
            </w:tcMar>
            <w:vAlign w:val="center"/>
          </w:tcPr>
          <w:p>
            <w:pPr>
              <w:pStyle w:val="TableContents"/>
              <w:spacing w:before="0" w:after="283"/>
              <w:rPr/>
            </w:pPr>
            <w:r>
              <w:rPr/>
              <w:t> </w:t>
            </w:r>
          </w:p>
        </w:tc>
        <w:tc>
          <w:tcPr>
            <w:tcW w:w="7334"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2871"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If you want to vote by proxy before the meeting</w:t>
            </w:r>
          </w:p>
        </w:tc>
        <w:tc>
          <w:tcPr>
            <w:tcW w:w="10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228" w:type="dxa"/>
            <w:tcBorders>
              <w:bottom w:val="single" w:sz="2" w:space="0" w:color="000000"/>
              <w:right w:val="single" w:sz="2" w:space="0" w:color="000000"/>
            </w:tcBorders>
            <w:shd w:fill="auto" w:val="clear"/>
            <w:tcMar>
              <w:bottom w:w="120" w:type="dxa"/>
              <w:right w:w="40" w:type="dxa"/>
            </w:tcMar>
          </w:tcPr>
          <w:p>
            <w:pPr>
              <w:pStyle w:val="TableContents"/>
              <w:spacing w:before="0" w:after="0"/>
              <w:rPr>
                <w:rFonts w:ascii="arial" w:hAnsi="arial"/>
                <w:sz w:val="20"/>
              </w:rPr>
            </w:pPr>
            <w:r>
              <w:rPr>
                <w:rFonts w:ascii="arial" w:hAnsi="arial"/>
                <w:sz w:val="20"/>
              </w:rPr>
              <w:t>You may authorize our directors who are named on the enclosed proxy form to vote your shares as your proxyholder.</w:t>
            </w:r>
          </w:p>
          <w:p>
            <w:pPr>
              <w:pStyle w:val="TableContents"/>
              <w:spacing w:before="0" w:after="0"/>
              <w:rPr/>
            </w:pPr>
            <w:r>
              <w:rPr/>
              <w:t> </w:t>
            </w:r>
          </w:p>
          <w:p>
            <w:pPr>
              <w:pStyle w:val="TableContents"/>
              <w:spacing w:before="0" w:after="20"/>
              <w:rPr>
                <w:rFonts w:ascii="arial" w:hAnsi="arial"/>
                <w:sz w:val="20"/>
              </w:rPr>
            </w:pPr>
            <w:r>
              <w:rPr>
                <w:rFonts w:ascii="arial" w:hAnsi="arial"/>
                <w:sz w:val="20"/>
              </w:rPr>
              <w:t>You may give voting instructions through the Internet, mail or telephone. Please refer to your proxy form for instructions.</w:t>
            </w:r>
          </w:p>
        </w:tc>
      </w:tr>
      <w:tr>
        <w:trPr>
          <w:trHeight w:val="120" w:hRule="atLeast"/>
        </w:trPr>
        <w:tc>
          <w:tcPr>
            <w:tcW w:w="2871" w:type="dxa"/>
            <w:tcBorders>
              <w:left w:val="single" w:sz="2" w:space="0" w:color="000000"/>
            </w:tcBorders>
            <w:shd w:fill="auto" w:val="clear"/>
            <w:tcMar>
              <w:left w:w="160" w:type="dxa"/>
            </w:tcMar>
            <w:vAlign w:val="center"/>
          </w:tcPr>
          <w:p>
            <w:pPr>
              <w:pStyle w:val="TableContents"/>
              <w:spacing w:before="0" w:after="283"/>
              <w:rPr/>
            </w:pPr>
            <w:r>
              <w:rPr/>
              <w:t> </w:t>
            </w:r>
          </w:p>
        </w:tc>
        <w:tc>
          <w:tcPr>
            <w:tcW w:w="7334"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2871"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If you want to attend and vote at the meeting</w:t>
            </w:r>
          </w:p>
        </w:tc>
        <w:tc>
          <w:tcPr>
            <w:tcW w:w="10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228" w:type="dxa"/>
            <w:tcBorders>
              <w:bottom w:val="single" w:sz="2" w:space="0" w:color="000000"/>
              <w:right w:val="single" w:sz="2" w:space="0" w:color="000000"/>
            </w:tcBorders>
            <w:shd w:fill="auto" w:val="clear"/>
            <w:tcMar>
              <w:bottom w:w="120" w:type="dxa"/>
              <w:right w:w="40" w:type="dxa"/>
            </w:tcMar>
          </w:tcPr>
          <w:p>
            <w:pPr>
              <w:pStyle w:val="TableContents"/>
              <w:spacing w:before="0" w:after="0"/>
              <w:rPr>
                <w:rFonts w:ascii="arial" w:hAnsi="arial"/>
                <w:sz w:val="20"/>
              </w:rPr>
            </w:pPr>
            <w:r>
              <w:rPr>
                <w:rFonts w:ascii="arial" w:hAnsi="arial"/>
                <w:sz w:val="20"/>
              </w:rPr>
              <w:t>You may vote at the meeting by completing an online ballot during the meeting, as further described below. Do not complete or return your proxy form, as your vote will be taken at the meeting. If you wish to vote common shares registered in the name of a legal entity, that entity must submit a properly executed proxy form to Computershare Trust Company of Canada by the proxy cut-off time which appoints you to vote the common shares on its behalf. Follow the instructions below for appointing a proxyholder if applicable.</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1.   Log in online at </w:t>
            </w:r>
            <w:r>
              <w:rPr>
                <w:rFonts w:ascii="Arial" w:hAnsi="Arial"/>
                <w:b/>
                <w:color w:val="335367"/>
                <w:sz w:val="20"/>
              </w:rPr>
              <w:t>www.tr.com/agm2023</w:t>
            </w:r>
            <w:r>
              <w:rPr>
                <w:rFonts w:ascii="arial" w:hAnsi="arial"/>
                <w:sz w:val="20"/>
              </w:rPr>
              <w:t>. We recommend that you log into the meeting at least 15 minutes before the meeting starts.</w:t>
            </w:r>
          </w:p>
          <w:p>
            <w:pPr>
              <w:pStyle w:val="TableContents"/>
              <w:spacing w:before="0" w:after="0"/>
              <w:rPr/>
            </w:pPr>
            <w:r>
              <w:rPr/>
              <w:t> </w:t>
            </w:r>
          </w:p>
          <w:p>
            <w:pPr>
              <w:pStyle w:val="TableContents"/>
              <w:spacing w:before="0" w:after="0"/>
              <w:rPr>
                <w:rFonts w:ascii="arial" w:hAnsi="arial"/>
                <w:sz w:val="20"/>
              </w:rPr>
            </w:pPr>
            <w:r>
              <w:rPr>
                <w:rFonts w:ascii="arial" w:hAnsi="arial"/>
                <w:sz w:val="20"/>
              </w:rPr>
              <w:t>2.  Click Shareholder.</w:t>
            </w:r>
          </w:p>
          <w:p>
            <w:pPr>
              <w:pStyle w:val="TableContents"/>
              <w:spacing w:before="0" w:after="0"/>
              <w:rPr/>
            </w:pPr>
            <w:r>
              <w:rPr/>
              <w:t> </w:t>
            </w:r>
          </w:p>
          <w:p>
            <w:pPr>
              <w:pStyle w:val="TableContents"/>
              <w:spacing w:before="0" w:after="0"/>
              <w:rPr>
                <w:rFonts w:ascii="arial" w:hAnsi="arial"/>
                <w:sz w:val="20"/>
              </w:rPr>
            </w:pPr>
            <w:r>
              <w:rPr>
                <w:rFonts w:ascii="arial" w:hAnsi="arial"/>
                <w:sz w:val="20"/>
              </w:rPr>
              <w:t>3.  Enter your control number as your username. The control number is located on your proxy form or in the e-mail notification you received from Computershare Trust Company of Canada.</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4.  Enter the password: </w:t>
            </w:r>
            <w:r>
              <w:rPr>
                <w:rFonts w:ascii="Arial" w:hAnsi="Arial"/>
                <w:b/>
                <w:color w:val="335367"/>
                <w:sz w:val="20"/>
              </w:rPr>
              <w:t>tri2023</w:t>
            </w:r>
            <w:r>
              <w:rPr>
                <w:rFonts w:ascii="arial" w:hAnsi="arial"/>
                <w:sz w:val="20"/>
              </w:rPr>
              <w:t xml:space="preserve"> (case sensitive).</w:t>
            </w:r>
          </w:p>
          <w:p>
            <w:pPr>
              <w:pStyle w:val="TableContents"/>
              <w:spacing w:before="0" w:after="0"/>
              <w:rPr/>
            </w:pPr>
            <w:r>
              <w:rPr/>
              <w:t> </w:t>
            </w:r>
          </w:p>
          <w:p>
            <w:pPr>
              <w:pStyle w:val="TableContents"/>
              <w:spacing w:before="0" w:after="0"/>
              <w:rPr>
                <w:rFonts w:ascii="arial" w:hAnsi="arial"/>
                <w:sz w:val="20"/>
              </w:rPr>
            </w:pPr>
            <w:r>
              <w:rPr>
                <w:rFonts w:ascii="arial" w:hAnsi="arial"/>
                <w:sz w:val="20"/>
              </w:rPr>
              <w:t>5.  Follow the instructions to view the meeting and vote when prompted.</w:t>
            </w:r>
          </w:p>
          <w:p>
            <w:pPr>
              <w:pStyle w:val="TableContents"/>
              <w:spacing w:before="0" w:after="0"/>
              <w:rPr/>
            </w:pPr>
            <w:r>
              <w:rPr/>
              <w:t> </w:t>
            </w:r>
          </w:p>
          <w:p>
            <w:pPr>
              <w:pStyle w:val="TableContents"/>
              <w:spacing w:before="0" w:after="20"/>
              <w:rPr>
                <w:rFonts w:ascii="arial" w:hAnsi="arial"/>
                <w:sz w:val="20"/>
              </w:rPr>
            </w:pPr>
            <w:r>
              <w:rPr>
                <w:rFonts w:ascii="arial" w:hAnsi="arial"/>
                <w:sz w:val="20"/>
              </w:rPr>
              <w:t>Once you log into the meeting and you accept the terms and conditions, any vote that you cast at the meeting will revoke any proxy that you previously submitted. If you do not wish to revoke a previously submitted proxy, you should not vote during the meeting.</w:t>
            </w:r>
          </w:p>
        </w:tc>
      </w:tr>
      <w:tr>
        <w:trPr>
          <w:trHeight w:val="120" w:hRule="atLeast"/>
        </w:trPr>
        <w:tc>
          <w:tcPr>
            <w:tcW w:w="2871" w:type="dxa"/>
            <w:tcBorders>
              <w:left w:val="single" w:sz="2" w:space="0" w:color="000000"/>
            </w:tcBorders>
            <w:shd w:fill="auto" w:val="clear"/>
            <w:tcMar>
              <w:left w:w="160" w:type="dxa"/>
            </w:tcMar>
            <w:vAlign w:val="center"/>
          </w:tcPr>
          <w:p>
            <w:pPr>
              <w:pStyle w:val="TableContents"/>
              <w:spacing w:before="0" w:after="283"/>
              <w:rPr/>
            </w:pPr>
            <w:r>
              <w:rPr/>
              <w:t> </w:t>
            </w:r>
          </w:p>
        </w:tc>
        <w:tc>
          <w:tcPr>
            <w:tcW w:w="7334"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2871"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If you want to appoint a third party as proxy to attend and vote at the meeting</w:t>
            </w:r>
          </w:p>
        </w:tc>
        <w:tc>
          <w:tcPr>
            <w:tcW w:w="10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228" w:type="dxa"/>
            <w:tcBorders>
              <w:bottom w:val="single" w:sz="2" w:space="0" w:color="000000"/>
              <w:right w:val="single" w:sz="2" w:space="0" w:color="000000"/>
            </w:tcBorders>
            <w:shd w:fill="auto" w:val="clear"/>
            <w:tcMar>
              <w:bottom w:w="120" w:type="dxa"/>
              <w:right w:w="40" w:type="dxa"/>
            </w:tcMar>
          </w:tcPr>
          <w:p>
            <w:pPr>
              <w:pStyle w:val="TableContents"/>
              <w:spacing w:before="0" w:after="0"/>
              <w:rPr>
                <w:rFonts w:ascii="arial" w:hAnsi="arial"/>
                <w:b/>
                <w:sz w:val="20"/>
              </w:rPr>
            </w:pPr>
            <w:r>
              <w:rPr>
                <w:rFonts w:ascii="arial" w:hAnsi="arial"/>
                <w:b/>
                <w:sz w:val="20"/>
              </w:rPr>
              <w:t>You may appoint another person (other than our directors who are named on your proxy form) to attend the meeting on your behalf and vote your shares as your proxyholder. If you choose this option, you must submit your proxy form appointing the third party AND register the third party proxyholder as described below. Registering your proxyholder is an additional step to be completed AFTER you have submitted your proxy form. Failure to register your proxyholder will result in the proxyholder not receiving a username to attend, participate or vote at the meeting. You may choose anyone to be your proxyholder  the person does not have to be another shareholder.</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1.   </w:t>
            </w:r>
            <w:r>
              <w:rPr>
                <w:rFonts w:ascii="Arial" w:hAnsi="Arial"/>
                <w:b/>
                <w:sz w:val="20"/>
              </w:rPr>
              <w:t>Submit your proxy form </w:t>
            </w:r>
            <w:r>
              <w:rPr>
                <w:rFonts w:ascii="arial" w:hAnsi="arial"/>
                <w:sz w:val="20"/>
              </w:rPr>
              <w:t>To appoint a third party proxyholder, insert that persons name into the appropriate space on the proxy form. Follow the instructions for submitting the proxy form. This step must be completed before registering the proxyholder as step 2 below.</w:t>
            </w:r>
          </w:p>
          <w:p>
            <w:pPr>
              <w:pStyle w:val="TableContents"/>
              <w:spacing w:before="0" w:after="0"/>
              <w:rPr/>
            </w:pPr>
            <w:r>
              <w:rPr/>
              <w:t> </w:t>
            </w:r>
          </w:p>
          <w:p>
            <w:pPr>
              <w:pStyle w:val="TableContents"/>
              <w:spacing w:before="0" w:after="0"/>
              <w:rPr>
                <w:rFonts w:ascii="arial" w:hAnsi="arial"/>
                <w:sz w:val="20"/>
              </w:rPr>
            </w:pPr>
            <w:r>
              <w:rPr>
                <w:rFonts w:ascii="arial" w:hAnsi="arial"/>
                <w:sz w:val="20"/>
              </w:rPr>
              <w:t>2.  </w:t>
            </w:r>
            <w:r>
              <w:rPr>
                <w:rFonts w:ascii="Arial" w:hAnsi="Arial"/>
                <w:b/>
                <w:sz w:val="20"/>
              </w:rPr>
              <w:t>Register your proxyholder </w:t>
            </w:r>
            <w:r>
              <w:rPr>
                <w:rFonts w:ascii="arial" w:hAnsi="arial"/>
                <w:sz w:val="20"/>
              </w:rPr>
              <w:t xml:space="preserve">To register a third party as your proxyholder, you MUST visit </w:t>
            </w:r>
            <w:r>
              <w:rPr>
                <w:rFonts w:ascii="Arial" w:hAnsi="Arial"/>
                <w:b/>
                <w:color w:val="335367"/>
                <w:sz w:val="20"/>
              </w:rPr>
              <w:t>www.computershare.com/ThomsonReuters</w:t>
            </w:r>
            <w:r>
              <w:rPr>
                <w:rFonts w:ascii="arial" w:hAnsi="arial"/>
                <w:sz w:val="20"/>
              </w:rPr>
              <w:t xml:space="preserve"> </w:t>
            </w:r>
            <w:r>
              <w:rPr>
                <w:rFonts w:ascii="Arial" w:hAnsi="Arial"/>
                <w:b/>
                <w:sz w:val="20"/>
              </w:rPr>
              <w:t>by 5:00 p.m. (Eastern Daylight Time) on June 12, 2023</w:t>
            </w:r>
            <w:r>
              <w:rPr>
                <w:rFonts w:ascii="arial" w:hAnsi="arial"/>
                <w:sz w:val="20"/>
              </w:rPr>
              <w:t xml:space="preserve"> and provide Computershare Trust Company of Canada with the required proxyholder contact information so that Computershare Trust Company of Canada may provide the proxyholder with a username by e-mail shortly after this deadline. Without a username, proxyholders will not be able to ask questions or vote at the meeting but will be able to participate as a guest.</w:t>
            </w:r>
          </w:p>
          <w:p>
            <w:pPr>
              <w:pStyle w:val="TableContents"/>
              <w:spacing w:before="0" w:after="0"/>
              <w:rPr/>
            </w:pPr>
            <w:r>
              <w:rPr/>
              <w:t> </w:t>
            </w:r>
          </w:p>
          <w:p>
            <w:pPr>
              <w:pStyle w:val="TableContents"/>
              <w:spacing w:before="0" w:after="20"/>
              <w:rPr>
                <w:rFonts w:ascii="arial" w:hAnsi="arial"/>
                <w:sz w:val="20"/>
              </w:rPr>
            </w:pPr>
            <w:r>
              <w:rPr>
                <w:rFonts w:ascii="arial" w:hAnsi="arial"/>
                <w:sz w:val="20"/>
              </w:rPr>
              <w:t>If you want to appoint more than one proxyholder to each vote a subset of your shares, you must submit your proxy by mail indicating the number of shares to be voted by each proxyholder, and also complete step 2 above.</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978"/>
        <w:gridCol w:w="103"/>
        <w:gridCol w:w="8124"/>
      </w:tblGrid>
      <w:tr>
        <w:trPr/>
        <w:tc>
          <w:tcPr>
            <w:tcW w:w="1978"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8124" w:type="dxa"/>
            <w:tcBorders/>
            <w:shd w:fill="auto" w:val="clear"/>
            <w:vAlign w:val="center"/>
          </w:tcPr>
          <w:p>
            <w:pPr>
              <w:pStyle w:val="TableContents"/>
              <w:spacing w:before="0" w:after="283"/>
              <w:rPr>
                <w:sz w:val="4"/>
                <w:szCs w:val="4"/>
              </w:rPr>
            </w:pPr>
            <w:r>
              <w:rPr>
                <w:sz w:val="4"/>
                <w:szCs w:val="4"/>
              </w:rPr>
            </w:r>
          </w:p>
        </w:tc>
      </w:tr>
      <w:tr>
        <w:trPr/>
        <w:tc>
          <w:tcPr>
            <w:tcW w:w="1978" w:type="dxa"/>
            <w:tcBorders>
              <w:top w:val="single" w:sz="2" w:space="0" w:color="000000"/>
              <w:left w:val="single" w:sz="2" w:space="0" w:color="000000"/>
              <w:bottom w:val="single" w:sz="2" w:space="0" w:color="000000"/>
            </w:tcBorders>
            <w:shd w:fill="auto" w:val="clear"/>
            <w:tcMar>
              <w:top w:w="28" w:type="dxa"/>
              <w:left w:w="160" w:type="dxa"/>
              <w:bottom w:w="120" w:type="dxa"/>
            </w:tcMar>
          </w:tcPr>
          <w:p>
            <w:pPr>
              <w:pStyle w:val="TableContents"/>
              <w:spacing w:before="0" w:after="283"/>
              <w:rPr>
                <w:rFonts w:ascii="Arial" w:hAnsi="Arial"/>
                <w:b/>
                <w:sz w:val="18"/>
              </w:rPr>
            </w:pPr>
            <w:r>
              <w:rPr>
                <w:rFonts w:ascii="Arial" w:hAnsi="Arial"/>
                <w:b/>
                <w:sz w:val="18"/>
              </w:rPr>
              <w:t>If you want to attend the meeting as a guest</w:t>
            </w:r>
          </w:p>
        </w:tc>
        <w:tc>
          <w:tcPr>
            <w:tcW w:w="103"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124" w:type="dxa"/>
            <w:tcBorders>
              <w:top w:val="single" w:sz="2" w:space="0" w:color="000000"/>
              <w:bottom w:val="single" w:sz="2" w:space="0" w:color="000000"/>
              <w:right w:val="single" w:sz="2" w:space="0" w:color="000000"/>
            </w:tcBorders>
            <w:shd w:fill="auto" w:val="clear"/>
            <w:tcMar>
              <w:top w:w="28" w:type="dxa"/>
              <w:bottom w:w="120" w:type="dxa"/>
              <w:right w:w="40" w:type="dxa"/>
            </w:tcMar>
          </w:tcPr>
          <w:p>
            <w:pPr>
              <w:pStyle w:val="TableContents"/>
              <w:spacing w:before="0" w:after="0"/>
              <w:rPr>
                <w:rFonts w:ascii="arial" w:hAnsi="arial"/>
                <w:sz w:val="20"/>
              </w:rPr>
            </w:pPr>
            <w:r>
              <w:rPr>
                <w:rFonts w:ascii="arial" w:hAnsi="arial"/>
                <w:sz w:val="20"/>
              </w:rPr>
              <w:t>Guests can log into the meeting as set forth below. Guests can listen to the meeting but are not able to submit or ask questions or vote at the meeting.</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1.   Log in online at </w:t>
            </w:r>
            <w:r>
              <w:rPr>
                <w:rFonts w:ascii="Arial" w:hAnsi="Arial"/>
                <w:b/>
                <w:color w:val="335367"/>
                <w:sz w:val="20"/>
              </w:rPr>
              <w:t>www.tr.com/agm2023</w:t>
            </w:r>
            <w:r>
              <w:rPr>
                <w:rFonts w:ascii="arial" w:hAnsi="arial"/>
                <w:sz w:val="20"/>
              </w:rPr>
              <w:t>. We recommend that you log into the meeting at least 15 minutes before the meeting starts.</w:t>
            </w:r>
          </w:p>
          <w:p>
            <w:pPr>
              <w:pStyle w:val="TableContents"/>
              <w:spacing w:before="0" w:after="0"/>
              <w:rPr/>
            </w:pPr>
            <w:r>
              <w:rPr/>
              <w:t> </w:t>
            </w:r>
          </w:p>
          <w:p>
            <w:pPr>
              <w:pStyle w:val="TableContents"/>
              <w:spacing w:before="0" w:after="20"/>
              <w:rPr>
                <w:rFonts w:ascii="arial" w:hAnsi="arial"/>
                <w:sz w:val="20"/>
              </w:rPr>
            </w:pPr>
            <w:r>
              <w:rPr>
                <w:rFonts w:ascii="arial" w:hAnsi="arial"/>
                <w:sz w:val="20"/>
              </w:rPr>
              <w:t>2.  Click Guest and complete the online form.</w:t>
            </w:r>
          </w:p>
        </w:tc>
      </w:tr>
      <w:tr>
        <w:trPr>
          <w:trHeight w:val="120" w:hRule="atLeast"/>
        </w:trPr>
        <w:tc>
          <w:tcPr>
            <w:tcW w:w="1978" w:type="dxa"/>
            <w:tcBorders>
              <w:left w:val="single" w:sz="2" w:space="0" w:color="000000"/>
            </w:tcBorders>
            <w:shd w:fill="auto" w:val="clear"/>
            <w:tcMar>
              <w:left w:w="160" w:type="dxa"/>
            </w:tcMar>
            <w:vAlign w:val="center"/>
          </w:tcPr>
          <w:p>
            <w:pPr>
              <w:pStyle w:val="TableContents"/>
              <w:spacing w:before="0" w:after="283"/>
              <w:rPr/>
            </w:pPr>
            <w:r>
              <w:rPr/>
              <w:t> </w:t>
            </w:r>
          </w:p>
        </w:tc>
        <w:tc>
          <w:tcPr>
            <w:tcW w:w="8227"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1978"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Deadline for returning your proxy form</w:t>
            </w:r>
          </w:p>
        </w:tc>
        <w:tc>
          <w:tcPr>
            <w:tcW w:w="103"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000000"/>
              <w:right w:val="single" w:sz="2" w:space="0" w:color="000000"/>
            </w:tcBorders>
            <w:shd w:fill="auto" w:val="clear"/>
            <w:tcMar>
              <w:bottom w:w="120" w:type="dxa"/>
              <w:right w:w="40" w:type="dxa"/>
            </w:tcMar>
          </w:tcPr>
          <w:p>
            <w:pPr>
              <w:pStyle w:val="TableContents"/>
              <w:spacing w:before="0" w:after="283"/>
              <w:rPr>
                <w:b/>
              </w:rPr>
            </w:pPr>
            <w:r>
              <w:rPr>
                <w:b/>
              </w:rPr>
              <w:t>Your completed proxy must be received by Computershare Trust Company of Canada by 5:00 p.m. (Eastern Daylight Time) on Monday, June 12, 2023.</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77"/>
        <w:gridCol w:w="104"/>
        <w:gridCol w:w="8124"/>
      </w:tblGrid>
      <w:tr>
        <w:trPr/>
        <w:tc>
          <w:tcPr>
            <w:tcW w:w="197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8124" w:type="dxa"/>
            <w:tcBorders/>
            <w:shd w:fill="auto" w:val="clear"/>
            <w:vAlign w:val="center"/>
          </w:tcPr>
          <w:p>
            <w:pPr>
              <w:pStyle w:val="TableContents"/>
              <w:spacing w:before="0" w:after="283"/>
              <w:rPr>
                <w:sz w:val="4"/>
                <w:szCs w:val="4"/>
              </w:rPr>
            </w:pPr>
            <w:r>
              <w:rPr>
                <w:sz w:val="4"/>
                <w:szCs w:val="4"/>
              </w:rPr>
            </w:r>
          </w:p>
        </w:tc>
      </w:tr>
      <w:tr>
        <w:trPr/>
        <w:tc>
          <w:tcPr>
            <w:tcW w:w="1977" w:type="dxa"/>
            <w:tcBorders>
              <w:top w:val="single" w:sz="2" w:space="0" w:color="000000"/>
              <w:left w:val="single" w:sz="2" w:space="0" w:color="000000"/>
              <w:bottom w:val="single" w:sz="2" w:space="0" w:color="B94831"/>
            </w:tcBorders>
            <w:shd w:fill="262626" w:val="clear"/>
            <w:tcMar>
              <w:top w:w="28" w:type="dxa"/>
              <w:left w:w="160" w:type="dxa"/>
              <w:bottom w:w="120" w:type="dxa"/>
            </w:tcMar>
          </w:tcPr>
          <w:p>
            <w:pPr>
              <w:pStyle w:val="TableContents"/>
              <w:spacing w:before="0" w:after="0"/>
              <w:rPr/>
            </w:pPr>
            <w:r>
              <w:rPr/>
              <w:t> </w:t>
            </w:r>
          </w:p>
          <w:p>
            <w:pPr>
              <w:pStyle w:val="TableContents"/>
              <w:spacing w:before="0" w:after="20"/>
              <w:rPr>
                <w:rFonts w:ascii="Arial" w:hAnsi="Arial"/>
                <w:b/>
                <w:color w:val="FFFFFF"/>
                <w:sz w:val="18"/>
              </w:rPr>
            </w:pPr>
            <w:r>
              <w:rPr>
                <w:rFonts w:ascii="Arial" w:hAnsi="Arial"/>
                <w:b/>
                <w:color w:val="FFFFFF"/>
                <w:sz w:val="18"/>
              </w:rPr>
              <w:t>Non-registered shareholders</w:t>
            </w:r>
          </w:p>
        </w:tc>
        <w:tc>
          <w:tcPr>
            <w:tcW w:w="104" w:type="dxa"/>
            <w:tcBorders>
              <w:top w:val="single" w:sz="2" w:space="0" w:color="000000"/>
              <w:left w:val="single" w:sz="2" w:space="0" w:color="000000"/>
              <w:bottom w:val="single" w:sz="2" w:space="0" w:color="B94831"/>
            </w:tcBorders>
            <w:shd w:fill="262626" w:val="clear"/>
            <w:tcMar>
              <w:top w:w="28" w:type="dxa"/>
              <w:left w:w="28" w:type="dxa"/>
              <w:bottom w:w="28" w:type="dxa"/>
            </w:tcMar>
            <w:vAlign w:val="bottom"/>
          </w:tcPr>
          <w:p>
            <w:pPr>
              <w:pStyle w:val="TableContents"/>
              <w:spacing w:before="0" w:after="283"/>
              <w:rPr/>
            </w:pPr>
            <w:r>
              <w:rPr/>
              <w:t> </w:t>
            </w:r>
          </w:p>
        </w:tc>
        <w:tc>
          <w:tcPr>
            <w:tcW w:w="8124" w:type="dxa"/>
            <w:tcBorders>
              <w:top w:val="single" w:sz="2" w:space="0" w:color="000000"/>
              <w:bottom w:val="single" w:sz="2" w:space="0" w:color="B94831"/>
              <w:right w:val="single" w:sz="2" w:space="0" w:color="000000"/>
            </w:tcBorders>
            <w:shd w:fill="262626" w:val="clear"/>
            <w:tcMar>
              <w:top w:w="28" w:type="dxa"/>
              <w:bottom w:w="120" w:type="dxa"/>
              <w:right w:w="40" w:type="dxa"/>
            </w:tcMar>
          </w:tcPr>
          <w:p>
            <w:pPr>
              <w:pStyle w:val="TableContents"/>
              <w:spacing w:before="0" w:after="0"/>
              <w:rPr/>
            </w:pPr>
            <w:r>
              <w:rPr/>
              <w:t> </w:t>
            </w:r>
          </w:p>
          <w:p>
            <w:pPr>
              <w:pStyle w:val="TableContents"/>
              <w:spacing w:before="0" w:after="0"/>
              <w:rPr>
                <w:rFonts w:ascii="arial" w:hAnsi="arial"/>
                <w:color w:val="FFFFFF"/>
                <w:sz w:val="20"/>
              </w:rPr>
            </w:pPr>
            <w:r>
              <w:rPr>
                <w:rFonts w:ascii="arial" w:hAnsi="arial"/>
                <w:color w:val="FFFFFF"/>
                <w:sz w:val="20"/>
              </w:rPr>
              <w:t>You are a non-registered shareholder if you own shares indirectly and the shares are registered in the name of an intermediary. For example, you are a non-registered shareholder if your common shares are held in the name of a bank, trust company, securities broker, trustee or custodian; or you hold Depositary Interests representing our common shares which are held in the name of Computershare Company Nominees Limited as nominee and custodian.</w:t>
            </w:r>
          </w:p>
          <w:p>
            <w:pPr>
              <w:pStyle w:val="TableContents"/>
              <w:spacing w:before="0" w:after="0"/>
              <w:rPr/>
            </w:pPr>
            <w:r>
              <w:rPr/>
              <w:t> </w:t>
            </w:r>
          </w:p>
          <w:p>
            <w:pPr>
              <w:pStyle w:val="TableContents"/>
              <w:spacing w:before="0" w:after="20"/>
              <w:rPr>
                <w:rFonts w:ascii="arial" w:hAnsi="arial"/>
                <w:color w:val="FFFFFF"/>
                <w:sz w:val="20"/>
              </w:rPr>
            </w:pPr>
            <w:r>
              <w:rPr>
                <w:rFonts w:ascii="arial" w:hAnsi="arial"/>
                <w:color w:val="FFFFFF"/>
                <w:sz w:val="20"/>
              </w:rPr>
              <w:t>Non-registered shareholders are sometimes referred to as beneficial owners.</w:t>
            </w:r>
          </w:p>
        </w:tc>
      </w:tr>
      <w:tr>
        <w:trPr>
          <w:trHeight w:val="120" w:hRule="atLeast"/>
        </w:trPr>
        <w:tc>
          <w:tcPr>
            <w:tcW w:w="1977" w:type="dxa"/>
            <w:tcBorders>
              <w:left w:val="single" w:sz="2" w:space="0" w:color="000000"/>
            </w:tcBorders>
            <w:shd w:fill="auto" w:val="clear"/>
            <w:tcMar>
              <w:left w:w="160" w:type="dxa"/>
            </w:tcMar>
            <w:vAlign w:val="center"/>
          </w:tcPr>
          <w:p>
            <w:pPr>
              <w:pStyle w:val="TableContents"/>
              <w:spacing w:before="0" w:after="283"/>
              <w:rPr/>
            </w:pPr>
            <w:r>
              <w:rPr/>
              <w:t> </w:t>
            </w:r>
          </w:p>
        </w:tc>
        <w:tc>
          <w:tcPr>
            <w:tcW w:w="8228"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1977"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If you want to vote by proxy before the meeting</w:t>
            </w:r>
          </w:p>
        </w:tc>
        <w:tc>
          <w:tcPr>
            <w:tcW w:w="104"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000000"/>
              <w:right w:val="single" w:sz="2" w:space="0" w:color="000000"/>
            </w:tcBorders>
            <w:shd w:fill="auto" w:val="clear"/>
            <w:tcMar>
              <w:bottom w:w="120" w:type="dxa"/>
              <w:right w:w="40" w:type="dxa"/>
            </w:tcMar>
          </w:tcPr>
          <w:p>
            <w:pPr>
              <w:pStyle w:val="TableContents"/>
              <w:spacing w:before="0" w:after="283"/>
              <w:rPr/>
            </w:pPr>
            <w:r>
              <w:rPr/>
              <w:t>If you are a non-registered shareholder who receives a proxy form or voting instruction form (VIF), you should follow your intermediarys instruction for completing the form. Holders of Depositary Interests will receive a voting form of instruction or direction from Computershare Investor Services PLC.</w:t>
            </w:r>
          </w:p>
        </w:tc>
      </w:tr>
      <w:tr>
        <w:trPr>
          <w:trHeight w:val="120" w:hRule="atLeast"/>
        </w:trPr>
        <w:tc>
          <w:tcPr>
            <w:tcW w:w="1977" w:type="dxa"/>
            <w:tcBorders>
              <w:left w:val="single" w:sz="2" w:space="0" w:color="000000"/>
            </w:tcBorders>
            <w:shd w:fill="auto" w:val="clear"/>
            <w:tcMar>
              <w:left w:w="160" w:type="dxa"/>
            </w:tcMar>
            <w:vAlign w:val="center"/>
          </w:tcPr>
          <w:p>
            <w:pPr>
              <w:pStyle w:val="TableContents"/>
              <w:spacing w:before="0" w:after="283"/>
              <w:rPr/>
            </w:pPr>
            <w:r>
              <w:rPr/>
              <w:t> </w:t>
            </w:r>
          </w:p>
        </w:tc>
        <w:tc>
          <w:tcPr>
            <w:tcW w:w="8228"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1977" w:type="dxa"/>
            <w:tcBorders>
              <w:left w:val="single" w:sz="2" w:space="0" w:color="000000"/>
              <w:bottom w:val="single" w:sz="2" w:space="0" w:color="000000"/>
            </w:tcBorders>
            <w:shd w:fill="auto" w:val="clear"/>
            <w:tcMar>
              <w:left w:w="160" w:type="dxa"/>
              <w:bottom w:w="28" w:type="dxa"/>
            </w:tcMar>
          </w:tcPr>
          <w:p>
            <w:pPr>
              <w:pStyle w:val="TableContents"/>
              <w:spacing w:before="0" w:after="283"/>
              <w:rPr>
                <w:rFonts w:ascii="Arial" w:hAnsi="Arial"/>
                <w:b/>
                <w:sz w:val="18"/>
              </w:rPr>
            </w:pPr>
            <w:r>
              <w:rPr>
                <w:rFonts w:ascii="Arial" w:hAnsi="Arial"/>
                <w:b/>
                <w:sz w:val="18"/>
              </w:rPr>
              <w:t>If you want to attend and vote at the meeting</w:t>
            </w:r>
          </w:p>
        </w:tc>
        <w:tc>
          <w:tcPr>
            <w:tcW w:w="104"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000000"/>
              <w:right w:val="single" w:sz="2" w:space="0" w:color="000000"/>
            </w:tcBorders>
            <w:shd w:fill="auto" w:val="clear"/>
            <w:tcMar>
              <w:bottom w:w="28" w:type="dxa"/>
              <w:right w:w="40" w:type="dxa"/>
            </w:tcMar>
          </w:tcPr>
          <w:p>
            <w:pPr>
              <w:pStyle w:val="TableContents"/>
              <w:spacing w:before="0" w:after="0"/>
              <w:rPr>
                <w:rFonts w:ascii="arial" w:hAnsi="arial"/>
                <w:sz w:val="20"/>
              </w:rPr>
            </w:pPr>
            <w:r>
              <w:rPr>
                <w:rFonts w:ascii="Arial" w:hAnsi="Arial"/>
                <w:b/>
                <w:sz w:val="20"/>
              </w:rPr>
              <w:t>If you are a non-registered shareholder and you wish to ask questions or vote at the meeting, you have to appoint yourself as a proxyholder first and then also register with Computershare Trust Company of Canada.</w:t>
            </w:r>
            <w:r>
              <w:rPr>
                <w:rFonts w:ascii="arial" w:hAnsi="arial"/>
                <w:sz w:val="20"/>
              </w:rPr>
              <w:t xml:space="preserve"> This is because our company and our transfer agent, Computershare Trust Company of Canada, do not have records of the non-registered shareholders of the company. As a result, we would have no knowledge of your shareholdings or entitlement to vote, unless you appoint yourself as proxyholder. If youre a non-registered shareholder and dont appoint yourself as proxyholder, you can still attend the virtual meeting as a guest, but you wont be able to submit or ask questions or vote at the meeting.</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1.   To appoint yourself as proxyholder, insert your name in the appropriate space on the voting instruction form. Do not fill out your voting instructions. Follow the instructions by submitting the voting instruction form by the appropriate deadline as the instructions and deadline may vary depending on the intermediary. It is important that you comply with the signature and return instructions provided by your intermediary. This step must be completed before registering a proxyholder as step 2 below.</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2.  To register yourself as a proxyholder, you must visit </w:t>
            </w:r>
            <w:r>
              <w:rPr>
                <w:rFonts w:ascii="Arial" w:hAnsi="Arial"/>
                <w:b/>
                <w:color w:val="335367"/>
                <w:sz w:val="20"/>
              </w:rPr>
              <w:t>www.computershare.com/ThomsonReuters</w:t>
            </w:r>
            <w:r>
              <w:rPr>
                <w:rFonts w:ascii="arial" w:hAnsi="arial"/>
                <w:sz w:val="20"/>
              </w:rPr>
              <w:t xml:space="preserve"> </w:t>
            </w:r>
            <w:r>
              <w:rPr>
                <w:rFonts w:ascii="Arial" w:hAnsi="Arial"/>
                <w:b/>
                <w:sz w:val="20"/>
              </w:rPr>
              <w:t>by 5:00 p.m. (Eastern Daylight Time) on June 12, 2023</w:t>
            </w:r>
            <w:r>
              <w:rPr>
                <w:rFonts w:ascii="arial" w:hAnsi="arial"/>
                <w:sz w:val="20"/>
              </w:rPr>
              <w:t xml:space="preserve"> and provide Computershare Trust Company of Canada with your required proxyholder contact information so that Computershare Trust Company of Canada may provide you with a username by e-mail shortly after this deadline. </w:t>
            </w:r>
            <w:r>
              <w:rPr>
                <w:rFonts w:ascii="Arial" w:hAnsi="Arial"/>
                <w:b/>
                <w:sz w:val="20"/>
              </w:rPr>
              <w:t>Without a username, you will not be able to vote at the meeting but will be able to participate as a guest.</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3.  Log in online at </w:t>
            </w:r>
            <w:r>
              <w:rPr>
                <w:rFonts w:ascii="Arial" w:hAnsi="Arial"/>
                <w:b/>
                <w:color w:val="335367"/>
                <w:sz w:val="20"/>
              </w:rPr>
              <w:t>www.tr.com/agm2023</w:t>
            </w:r>
            <w:r>
              <w:rPr>
                <w:rFonts w:ascii="arial" w:hAnsi="arial"/>
                <w:sz w:val="20"/>
              </w:rPr>
              <w:t>. We recommend that you log into the meeting at least 15 minutes before the meeting starts.</w:t>
            </w:r>
          </w:p>
          <w:p>
            <w:pPr>
              <w:pStyle w:val="TableContents"/>
              <w:spacing w:before="0" w:after="0"/>
              <w:rPr/>
            </w:pPr>
            <w:r>
              <w:rPr/>
              <w:t> </w:t>
            </w:r>
          </w:p>
          <w:p>
            <w:pPr>
              <w:pStyle w:val="TableContents"/>
              <w:spacing w:before="0" w:after="0"/>
              <w:rPr>
                <w:rFonts w:ascii="arial" w:hAnsi="arial"/>
                <w:sz w:val="20"/>
              </w:rPr>
            </w:pPr>
            <w:r>
              <w:rPr>
                <w:rFonts w:ascii="arial" w:hAnsi="arial"/>
                <w:sz w:val="20"/>
              </w:rPr>
              <w:t>4.  Click Shareholder.</w:t>
            </w:r>
          </w:p>
          <w:p>
            <w:pPr>
              <w:pStyle w:val="TableContents"/>
              <w:spacing w:before="0" w:after="0"/>
              <w:rPr/>
            </w:pPr>
            <w:r>
              <w:rPr/>
              <w:t> </w:t>
            </w:r>
          </w:p>
          <w:p>
            <w:pPr>
              <w:pStyle w:val="TableContents"/>
              <w:spacing w:before="0" w:after="0"/>
              <w:rPr>
                <w:rFonts w:ascii="arial" w:hAnsi="arial"/>
                <w:sz w:val="20"/>
              </w:rPr>
            </w:pPr>
            <w:r>
              <w:rPr>
                <w:rFonts w:ascii="arial" w:hAnsi="arial"/>
                <w:sz w:val="20"/>
              </w:rPr>
              <w:t>5.  Enter your username that was provided by Computershare Trust Company of Canada.</w:t>
            </w:r>
          </w:p>
          <w:p>
            <w:pPr>
              <w:pStyle w:val="TableContents"/>
              <w:spacing w:before="0" w:after="20"/>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978"/>
        <w:gridCol w:w="103"/>
        <w:gridCol w:w="8124"/>
      </w:tblGrid>
      <w:tr>
        <w:trPr/>
        <w:tc>
          <w:tcPr>
            <w:tcW w:w="1978"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8124" w:type="dxa"/>
            <w:tcBorders/>
            <w:shd w:fill="auto" w:val="clear"/>
            <w:vAlign w:val="center"/>
          </w:tcPr>
          <w:p>
            <w:pPr>
              <w:pStyle w:val="TableContents"/>
              <w:spacing w:before="0" w:after="283"/>
              <w:rPr>
                <w:sz w:val="4"/>
                <w:szCs w:val="4"/>
              </w:rPr>
            </w:pPr>
            <w:r>
              <w:rPr>
                <w:sz w:val="4"/>
                <w:szCs w:val="4"/>
              </w:rPr>
            </w:r>
          </w:p>
        </w:tc>
      </w:tr>
      <w:tr>
        <w:trPr/>
        <w:tc>
          <w:tcPr>
            <w:tcW w:w="197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rPr/>
            </w:pPr>
            <w:r>
              <w:rPr/>
              <w:t> </w:t>
            </w:r>
          </w:p>
          <w:p>
            <w:pPr>
              <w:pStyle w:val="TableContents"/>
              <w:spacing w:before="0" w:after="0"/>
              <w:rPr/>
            </w:pPr>
            <w:r>
              <w:rPr/>
              <w:t> </w:t>
            </w:r>
          </w:p>
        </w:tc>
        <w:tc>
          <w:tcPr>
            <w:tcW w:w="103"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124" w:type="dxa"/>
            <w:tcBorders>
              <w:top w:val="single" w:sz="2" w:space="0" w:color="000000"/>
              <w:bottom w:val="single" w:sz="2" w:space="0" w:color="000000"/>
              <w:right w:val="single" w:sz="2" w:space="0" w:color="000000"/>
            </w:tcBorders>
            <w:shd w:fill="auto" w:val="clear"/>
            <w:tcMar>
              <w:top w:w="28" w:type="dxa"/>
              <w:bottom w:w="120" w:type="dxa"/>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6.  Enter the password: </w:t>
            </w:r>
            <w:r>
              <w:rPr>
                <w:rFonts w:ascii="Arial" w:hAnsi="Arial"/>
                <w:b/>
                <w:color w:val="335367"/>
                <w:sz w:val="20"/>
              </w:rPr>
              <w:t>tri2023</w:t>
            </w:r>
            <w:r>
              <w:rPr>
                <w:rFonts w:ascii="arial" w:hAnsi="arial"/>
                <w:sz w:val="20"/>
              </w:rPr>
              <w:t xml:space="preserve"> (case sensitive).</w:t>
            </w:r>
          </w:p>
          <w:p>
            <w:pPr>
              <w:pStyle w:val="TableContents"/>
              <w:spacing w:before="0" w:after="0"/>
              <w:rPr/>
            </w:pPr>
            <w:r>
              <w:rPr/>
              <w:t> </w:t>
            </w:r>
          </w:p>
          <w:p>
            <w:pPr>
              <w:pStyle w:val="TableContents"/>
              <w:spacing w:before="0" w:after="0"/>
              <w:rPr>
                <w:rFonts w:ascii="arial" w:hAnsi="arial"/>
                <w:sz w:val="20"/>
              </w:rPr>
            </w:pPr>
            <w:r>
              <w:rPr>
                <w:rFonts w:ascii="arial" w:hAnsi="arial"/>
                <w:sz w:val="20"/>
              </w:rPr>
              <w:t>7.  Follow the instructions to view the meeting and vote when prompted.</w:t>
            </w:r>
          </w:p>
          <w:p>
            <w:pPr>
              <w:pStyle w:val="TableContents"/>
              <w:spacing w:before="0" w:after="0"/>
              <w:rPr/>
            </w:pPr>
            <w:r>
              <w:rPr/>
              <w:t> </w:t>
            </w:r>
          </w:p>
          <w:p>
            <w:pPr>
              <w:pStyle w:val="TableContents"/>
              <w:spacing w:before="0" w:after="0"/>
              <w:rPr>
                <w:rFonts w:ascii="arial" w:hAnsi="arial"/>
                <w:sz w:val="20"/>
              </w:rPr>
            </w:pPr>
            <w:r>
              <w:rPr>
                <w:rFonts w:ascii="Arial" w:hAnsi="Arial"/>
                <w:b/>
                <w:sz w:val="20"/>
              </w:rPr>
              <w:t>If you are a non-registered shareholder located in the United States and you wish to appoint yourself as a proxyholder, in addition to the steps above, you must first obtain a valid legal proxy from your intermediary.</w:t>
            </w:r>
            <w:r>
              <w:rPr>
                <w:rFonts w:ascii="arial" w:hAnsi="arial"/>
                <w:sz w:val="20"/>
              </w:rPr>
              <w:t xml:space="preserve"> To do so, 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1.   Follow the instructions from your intermediary included with the legal proxy form and the voting information form sent to you, or contact your intermediary to request a legal proxy form or a legal proxy if you have not received one.</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2.  After you receive a valid legal proxy from your intermediary, you must then submit the legal proxy to Computershare Trust Company of Canada. You can send the legal proxy by e-mail or by courier to: </w:t>
            </w:r>
            <w:r>
              <w:rPr>
                <w:rFonts w:ascii="Arial" w:hAnsi="Arial"/>
                <w:b/>
                <w:color w:val="335367"/>
                <w:sz w:val="20"/>
              </w:rPr>
              <w:t>uslegalproxy@computershare.com</w:t>
            </w:r>
            <w:r>
              <w:rPr>
                <w:rFonts w:ascii="arial" w:hAnsi="arial"/>
                <w:sz w:val="20"/>
              </w:rPr>
              <w:t xml:space="preserve"> (if by e-mail), or Computershare Trust Company of Canada, Attention: Proxy Dept., 8th Floor, 100 University Avenue, Toronto, Ontario M5J 2Y1, Canada (if by courier). The legal proxy in both cases must be labeled Legal Proxy and received </w:t>
            </w:r>
            <w:r>
              <w:rPr>
                <w:rFonts w:ascii="Arial" w:hAnsi="Arial"/>
                <w:b/>
                <w:sz w:val="20"/>
              </w:rPr>
              <w:t>no later than the voting deadline of 5:00 p.m. (Eastern Daylight Time) on Monday, June 12, 2023</w:t>
            </w:r>
            <w:r>
              <w:rPr>
                <w:rFonts w:ascii="arial" w:hAnsi="arial"/>
                <w:sz w:val="20"/>
              </w:rPr>
              <w:t>.</w:t>
            </w:r>
          </w:p>
          <w:p>
            <w:pPr>
              <w:pStyle w:val="TableContents"/>
              <w:spacing w:before="0" w:after="0"/>
              <w:rPr/>
            </w:pPr>
            <w:r>
              <w:rPr/>
              <w:t> </w:t>
            </w:r>
          </w:p>
          <w:p>
            <w:pPr>
              <w:pStyle w:val="TableContents"/>
              <w:spacing w:before="0" w:after="20"/>
              <w:rPr>
                <w:rFonts w:ascii="arial" w:hAnsi="arial"/>
                <w:sz w:val="20"/>
              </w:rPr>
            </w:pPr>
            <w:r>
              <w:rPr>
                <w:rFonts w:ascii="arial" w:hAnsi="arial"/>
                <w:sz w:val="20"/>
              </w:rPr>
              <w:t xml:space="preserve">3.  Computershare Trust Company of Canada will provide duly appointed proxyholders with a username by e-mail after the voting deadline has passed. Please note that you are required to register your appointment as a proxyholder at </w:t>
            </w:r>
            <w:r>
              <w:rPr>
                <w:rFonts w:ascii="Arial" w:hAnsi="Arial"/>
                <w:b/>
                <w:color w:val="335367"/>
                <w:sz w:val="20"/>
              </w:rPr>
              <w:t>www.computershare.com/ThomsonReuters</w:t>
            </w:r>
            <w:r>
              <w:rPr>
                <w:rFonts w:ascii="arial" w:hAnsi="arial"/>
                <w:sz w:val="20"/>
              </w:rPr>
              <w:t xml:space="preserve"> as noted above.</w:t>
            </w:r>
          </w:p>
        </w:tc>
      </w:tr>
      <w:tr>
        <w:trPr>
          <w:trHeight w:val="120" w:hRule="atLeast"/>
        </w:trPr>
        <w:tc>
          <w:tcPr>
            <w:tcW w:w="1978" w:type="dxa"/>
            <w:tcBorders>
              <w:left w:val="single" w:sz="2" w:space="0" w:color="000000"/>
            </w:tcBorders>
            <w:shd w:fill="auto" w:val="clear"/>
            <w:tcMar>
              <w:left w:w="160" w:type="dxa"/>
            </w:tcMar>
            <w:vAlign w:val="center"/>
          </w:tcPr>
          <w:p>
            <w:pPr>
              <w:pStyle w:val="TableContents"/>
              <w:spacing w:before="0" w:after="283"/>
              <w:rPr/>
            </w:pPr>
            <w:r>
              <w:rPr/>
              <w:t> </w:t>
            </w:r>
          </w:p>
        </w:tc>
        <w:tc>
          <w:tcPr>
            <w:tcW w:w="8227"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1978" w:type="dxa"/>
            <w:tcBorders>
              <w:left w:val="single" w:sz="2" w:space="0" w:color="000000"/>
              <w:bottom w:val="single" w:sz="2" w:space="0" w:color="000000"/>
            </w:tcBorders>
            <w:shd w:fill="auto" w:val="clear"/>
            <w:tcMar>
              <w:left w:w="160" w:type="dxa"/>
              <w:bottom w:w="28" w:type="dxa"/>
            </w:tcMar>
          </w:tcPr>
          <w:p>
            <w:pPr>
              <w:pStyle w:val="TableContents"/>
              <w:spacing w:before="0" w:after="283"/>
              <w:rPr>
                <w:rFonts w:ascii="Arial" w:hAnsi="Arial"/>
                <w:b/>
                <w:sz w:val="18"/>
              </w:rPr>
            </w:pPr>
            <w:r>
              <w:rPr>
                <w:rFonts w:ascii="Arial" w:hAnsi="Arial"/>
                <w:b/>
                <w:sz w:val="18"/>
              </w:rPr>
              <w:t>If you want to appoint a third party as proxy to attend and vote at the meeting</w:t>
            </w:r>
          </w:p>
        </w:tc>
        <w:tc>
          <w:tcPr>
            <w:tcW w:w="103"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000000"/>
              <w:right w:val="single" w:sz="2" w:space="0" w:color="000000"/>
            </w:tcBorders>
            <w:shd w:fill="auto" w:val="clear"/>
            <w:tcMar>
              <w:bottom w:w="28" w:type="dxa"/>
              <w:right w:w="40" w:type="dxa"/>
            </w:tcMar>
          </w:tcPr>
          <w:p>
            <w:pPr>
              <w:pStyle w:val="TableContents"/>
              <w:spacing w:before="0" w:after="0"/>
              <w:rPr>
                <w:rFonts w:ascii="arial" w:hAnsi="arial"/>
                <w:b/>
                <w:sz w:val="20"/>
              </w:rPr>
            </w:pPr>
            <w:r>
              <w:rPr>
                <w:rFonts w:ascii="arial" w:hAnsi="arial"/>
                <w:b/>
                <w:sz w:val="20"/>
              </w:rPr>
              <w:t>You may appoint another person (other than our directors who are named on your voting instruction form) to attend the meeting on your behalf and vote your shares as your proxyholder. If you choose this option, you must submit your voting instruction form appointing the third party AND register the third party proxyholder as described below. Registering your proxyholder is an additional step to be completed AFTER you have submitted your voting instruction form. Failure to register your proxyholder will result in the proxyholder not receiving a username to attend, participate or vote at the meeting. You may choose anyone to be your proxyholder  the person does not have to be another shareholder.</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1.   </w:t>
            </w:r>
            <w:r>
              <w:rPr>
                <w:rFonts w:ascii="Arial" w:hAnsi="Arial"/>
                <w:b/>
                <w:sz w:val="20"/>
              </w:rPr>
              <w:t>Submit your voting instruction form</w:t>
            </w:r>
            <w:r>
              <w:rPr>
                <w:rFonts w:ascii="arial" w:hAnsi="arial"/>
                <w:sz w:val="20"/>
              </w:rPr>
              <w:t xml:space="preserve">  To appoint a third party proxyholder, insert the persons name into the appropriate space on the voting instruction form. Follow the instructions by submitting the voting instruction form by the appropriate deadline as the instructions and deadline may vary depending on the intermediary. It is important that you comply with the signature and return instructions provided by your intermediary. This step must be completed before registering a proxyholder as step 2 below.</w:t>
            </w:r>
          </w:p>
          <w:p>
            <w:pPr>
              <w:pStyle w:val="TableContents"/>
              <w:spacing w:before="0" w:after="0"/>
              <w:rPr/>
            </w:pPr>
            <w:r>
              <w:rPr/>
              <w:t> </w:t>
            </w:r>
          </w:p>
          <w:p>
            <w:pPr>
              <w:pStyle w:val="TableContents"/>
              <w:spacing w:before="0" w:after="0"/>
              <w:rPr>
                <w:rFonts w:ascii="arial" w:hAnsi="arial"/>
                <w:sz w:val="20"/>
              </w:rPr>
            </w:pPr>
            <w:r>
              <w:rPr>
                <w:rFonts w:ascii="arial" w:hAnsi="arial"/>
                <w:sz w:val="20"/>
              </w:rPr>
              <w:t>2.  </w:t>
            </w:r>
            <w:r>
              <w:rPr>
                <w:rFonts w:ascii="Arial" w:hAnsi="Arial"/>
                <w:b/>
                <w:sz w:val="20"/>
              </w:rPr>
              <w:t>Register your proxyholder</w:t>
            </w:r>
            <w:r>
              <w:rPr>
                <w:rFonts w:ascii="arial" w:hAnsi="arial"/>
                <w:sz w:val="20"/>
              </w:rPr>
              <w:t xml:space="preserve">  To register another person as your proxyholder, you MUST visit </w:t>
            </w:r>
            <w:r>
              <w:rPr>
                <w:rFonts w:ascii="Arial" w:hAnsi="Arial"/>
                <w:b/>
                <w:color w:val="335367"/>
                <w:sz w:val="20"/>
              </w:rPr>
              <w:t>www.computershare.com/ThomsonReuters</w:t>
            </w:r>
            <w:r>
              <w:rPr>
                <w:rFonts w:ascii="arial" w:hAnsi="arial"/>
                <w:sz w:val="20"/>
              </w:rPr>
              <w:t xml:space="preserve"> </w:t>
            </w:r>
            <w:r>
              <w:rPr>
                <w:rFonts w:ascii="Arial" w:hAnsi="Arial"/>
                <w:b/>
                <w:sz w:val="20"/>
              </w:rPr>
              <w:t>by 5:00 p.m. (Eastern Daylight Time) on June 12, 2023</w:t>
            </w:r>
            <w:r>
              <w:rPr>
                <w:rFonts w:ascii="arial" w:hAnsi="arial"/>
                <w:sz w:val="20"/>
              </w:rPr>
              <w:t xml:space="preserve"> and provide Computershare Trust Company of Canada with the required proxyholder contact information so that Computershare Trust Company of Canada may provide the proxyholder with a username by e-mail shortly after this deadline. </w:t>
            </w:r>
            <w:r>
              <w:rPr>
                <w:rFonts w:ascii="Arial" w:hAnsi="Arial"/>
                <w:b/>
                <w:sz w:val="20"/>
              </w:rPr>
              <w:t>Without a username, proxyholders will not be able to vote at the meeting but will be able to participate as a guest.</w:t>
            </w:r>
          </w:p>
          <w:p>
            <w:pPr>
              <w:pStyle w:val="TableContents"/>
              <w:spacing w:before="0" w:after="0"/>
              <w:rPr/>
            </w:pPr>
            <w:r>
              <w:rPr/>
              <w:t> </w:t>
            </w:r>
          </w:p>
          <w:p>
            <w:pPr>
              <w:pStyle w:val="TableContents"/>
              <w:spacing w:before="0" w:after="0"/>
              <w:rPr>
                <w:rFonts w:ascii="arial" w:hAnsi="arial"/>
                <w:sz w:val="20"/>
              </w:rPr>
            </w:pPr>
            <w:r>
              <w:rPr>
                <w:rFonts w:ascii="Arial" w:hAnsi="Arial"/>
                <w:b/>
                <w:sz w:val="20"/>
              </w:rPr>
              <w:t>If you are a non-registered shareholder located in the United States and you wish to appoint a third party as a proxyholder, in addition to the steps above, you must first obtain a valid legal proxy from your intermediary.</w:t>
            </w:r>
            <w:r>
              <w:rPr>
                <w:rFonts w:ascii="arial" w:hAnsi="arial"/>
                <w:sz w:val="20"/>
              </w:rPr>
              <w:t xml:space="preserve"> To do so, 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1.   Follow the instructions from your intermediary included with the legal proxy form and the voting information form sent to you, or contact your intermediary to request a legal proxy form or a legal proxy if you have not received one.</w:t>
            </w:r>
          </w:p>
          <w:p>
            <w:pPr>
              <w:pStyle w:val="TableContents"/>
              <w:spacing w:before="0" w:after="20"/>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080"/>
        <w:gridCol w:w="103"/>
        <w:gridCol w:w="8022"/>
      </w:tblGrid>
      <w:tr>
        <w:trPr/>
        <w:tc>
          <w:tcPr>
            <w:tcW w:w="208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8022" w:type="dxa"/>
            <w:tcBorders/>
            <w:shd w:fill="auto" w:val="clear"/>
            <w:vAlign w:val="center"/>
          </w:tcPr>
          <w:p>
            <w:pPr>
              <w:pStyle w:val="TableContents"/>
              <w:spacing w:before="0" w:after="283"/>
              <w:rPr>
                <w:sz w:val="4"/>
                <w:szCs w:val="4"/>
              </w:rPr>
            </w:pPr>
            <w:r>
              <w:rPr>
                <w:sz w:val="4"/>
                <w:szCs w:val="4"/>
              </w:rPr>
            </w:r>
          </w:p>
        </w:tc>
      </w:tr>
      <w:tr>
        <w:trPr/>
        <w:tc>
          <w:tcPr>
            <w:tcW w:w="2080"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rPr/>
            </w:pPr>
            <w:r>
              <w:rPr/>
              <w:t> </w:t>
            </w:r>
          </w:p>
          <w:p>
            <w:pPr>
              <w:pStyle w:val="TableContents"/>
              <w:spacing w:before="0" w:after="0"/>
              <w:rPr/>
            </w:pPr>
            <w:r>
              <w:rPr/>
              <w:t> </w:t>
            </w:r>
          </w:p>
        </w:tc>
        <w:tc>
          <w:tcPr>
            <w:tcW w:w="103"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022" w:type="dxa"/>
            <w:tcBorders>
              <w:top w:val="single" w:sz="2" w:space="0" w:color="000000"/>
              <w:bottom w:val="single" w:sz="2" w:space="0" w:color="000000"/>
              <w:right w:val="single" w:sz="2" w:space="0" w:color="000000"/>
            </w:tcBorders>
            <w:shd w:fill="auto" w:val="clear"/>
            <w:tcMar>
              <w:top w:w="28" w:type="dxa"/>
              <w:bottom w:w="120" w:type="dxa"/>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2.  After you receive a valid legal proxy from your intermediary, you must then submit the legal proxy to Computershare Trust Company of Canada. You can send the legal proxy by e-mail or by courier to: </w:t>
            </w:r>
            <w:r>
              <w:rPr>
                <w:rFonts w:ascii="Arial" w:hAnsi="Arial"/>
                <w:b/>
                <w:color w:val="335367"/>
                <w:sz w:val="20"/>
              </w:rPr>
              <w:t>uslegalproxy@computershare.com</w:t>
            </w:r>
            <w:r>
              <w:rPr>
                <w:rFonts w:ascii="arial" w:hAnsi="arial"/>
                <w:sz w:val="20"/>
              </w:rPr>
              <w:t xml:space="preserve"> (if by e-mail), or Computershare Trust Company of Canada, Attention: Proxy Dept., 8th Floor, 100 University Avenue, Toronto, Ontario M5J 2Y1, Canada (if by courier). The legal proxy in both cases must be labeled Legal Proxy and received </w:t>
            </w:r>
            <w:r>
              <w:rPr>
                <w:rFonts w:ascii="Arial" w:hAnsi="Arial"/>
                <w:b/>
                <w:sz w:val="20"/>
              </w:rPr>
              <w:t>no later than the voting deadline of 5:00 p.m. (Eastern Daylight Time) on Monday, June 12, 2023</w:t>
            </w:r>
            <w:r>
              <w:rPr>
                <w:rFonts w:ascii="arial" w:hAnsi="arial"/>
                <w:sz w:val="20"/>
              </w:rPr>
              <w:t>.</w:t>
            </w:r>
          </w:p>
          <w:p>
            <w:pPr>
              <w:pStyle w:val="TableContents"/>
              <w:spacing w:before="0" w:after="0"/>
              <w:rPr/>
            </w:pPr>
            <w:r>
              <w:rPr/>
              <w:t> </w:t>
            </w:r>
          </w:p>
          <w:p>
            <w:pPr>
              <w:pStyle w:val="TableContents"/>
              <w:spacing w:before="0" w:after="20"/>
              <w:rPr>
                <w:rFonts w:ascii="arial" w:hAnsi="arial"/>
                <w:sz w:val="20"/>
              </w:rPr>
            </w:pPr>
            <w:r>
              <w:rPr>
                <w:rFonts w:ascii="arial" w:hAnsi="arial"/>
                <w:sz w:val="20"/>
              </w:rPr>
              <w:t xml:space="preserve">3.  Computershare Trust Company of Canada will provide duly appointed proxyholders with a username by e-mail after the voting deadline has passed. Please note that you are required to register the third partys appointment as a proxyholder at </w:t>
            </w:r>
            <w:r>
              <w:rPr>
                <w:rFonts w:ascii="Arial" w:hAnsi="Arial"/>
                <w:b/>
                <w:color w:val="335367"/>
                <w:sz w:val="20"/>
              </w:rPr>
              <w:t>www.computershare.com/ThomsonReuters</w:t>
            </w:r>
            <w:r>
              <w:rPr>
                <w:rFonts w:ascii="arial" w:hAnsi="arial"/>
                <w:sz w:val="20"/>
              </w:rPr>
              <w:t xml:space="preserve"> as noted above.</w:t>
            </w:r>
          </w:p>
        </w:tc>
      </w:tr>
      <w:tr>
        <w:trPr>
          <w:trHeight w:val="120" w:hRule="atLeast"/>
        </w:trPr>
        <w:tc>
          <w:tcPr>
            <w:tcW w:w="2080" w:type="dxa"/>
            <w:tcBorders>
              <w:left w:val="single" w:sz="2" w:space="0" w:color="000000"/>
            </w:tcBorders>
            <w:shd w:fill="auto" w:val="clear"/>
            <w:tcMar>
              <w:left w:w="160" w:type="dxa"/>
            </w:tcMar>
            <w:vAlign w:val="center"/>
          </w:tcPr>
          <w:p>
            <w:pPr>
              <w:pStyle w:val="TableContents"/>
              <w:spacing w:before="0" w:after="283"/>
              <w:rPr/>
            </w:pPr>
            <w:r>
              <w:rPr/>
              <w:t> </w:t>
            </w:r>
          </w:p>
        </w:tc>
        <w:tc>
          <w:tcPr>
            <w:tcW w:w="812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2080"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If you want to attend the meeting as a guest</w:t>
            </w:r>
          </w:p>
        </w:tc>
        <w:tc>
          <w:tcPr>
            <w:tcW w:w="103"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022" w:type="dxa"/>
            <w:tcBorders>
              <w:bottom w:val="single" w:sz="2" w:space="0" w:color="000000"/>
              <w:right w:val="single" w:sz="2" w:space="0" w:color="000000"/>
            </w:tcBorders>
            <w:shd w:fill="auto" w:val="clear"/>
            <w:tcMar>
              <w:bottom w:w="120" w:type="dxa"/>
              <w:right w:w="40" w:type="dxa"/>
            </w:tcMar>
          </w:tcPr>
          <w:p>
            <w:pPr>
              <w:pStyle w:val="TableContents"/>
              <w:spacing w:before="0" w:after="0"/>
              <w:rPr>
                <w:rFonts w:ascii="arial" w:hAnsi="arial"/>
                <w:sz w:val="20"/>
              </w:rPr>
            </w:pPr>
            <w:r>
              <w:rPr>
                <w:rFonts w:ascii="arial" w:hAnsi="arial"/>
                <w:sz w:val="20"/>
              </w:rPr>
              <w:t>Guests, including non-registered shareholders who have not duly appointed themselves as proxyholders, can log into the meeting as set forth below. Guests can listen to the meeting but are not able to submit or ask questions or vote at the meeting.</w:t>
            </w:r>
          </w:p>
          <w:p>
            <w:pPr>
              <w:pStyle w:val="TableContents"/>
              <w:spacing w:before="0" w:after="0"/>
              <w:rPr/>
            </w:pPr>
            <w:r>
              <w:rPr/>
              <w:t> </w:t>
            </w:r>
          </w:p>
          <w:p>
            <w:pPr>
              <w:pStyle w:val="TableContents"/>
              <w:spacing w:before="0" w:after="0"/>
              <w:rPr>
                <w:rFonts w:ascii="arial" w:hAnsi="arial"/>
                <w:sz w:val="20"/>
              </w:rPr>
            </w:pPr>
            <w:r>
              <w:rPr>
                <w:rFonts w:ascii="arial" w:hAnsi="arial"/>
                <w:sz w:val="20"/>
              </w:rPr>
              <w:t>Please follow these steps:</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1.   Log in online at </w:t>
            </w:r>
            <w:r>
              <w:rPr>
                <w:rFonts w:ascii="Arial" w:hAnsi="Arial"/>
                <w:b/>
                <w:color w:val="335367"/>
                <w:sz w:val="20"/>
              </w:rPr>
              <w:t>www.tr.com/agm2023</w:t>
            </w:r>
            <w:r>
              <w:rPr>
                <w:rFonts w:ascii="arial" w:hAnsi="arial"/>
                <w:sz w:val="20"/>
              </w:rPr>
              <w:t>. We recommend that you log into the meeting at least 15 minutes before the meeting starts.</w:t>
            </w:r>
          </w:p>
          <w:p>
            <w:pPr>
              <w:pStyle w:val="TableContents"/>
              <w:spacing w:before="0" w:after="0"/>
              <w:rPr/>
            </w:pPr>
            <w:r>
              <w:rPr/>
              <w:t> </w:t>
            </w:r>
          </w:p>
          <w:p>
            <w:pPr>
              <w:pStyle w:val="TableContents"/>
              <w:spacing w:before="0" w:after="20"/>
              <w:rPr>
                <w:rFonts w:ascii="arial" w:hAnsi="arial"/>
                <w:sz w:val="20"/>
              </w:rPr>
            </w:pPr>
            <w:r>
              <w:rPr>
                <w:rFonts w:ascii="arial" w:hAnsi="arial"/>
                <w:sz w:val="20"/>
              </w:rPr>
              <w:t>2.  Click Guest and complete the online form.</w:t>
            </w:r>
          </w:p>
        </w:tc>
      </w:tr>
      <w:tr>
        <w:trPr>
          <w:trHeight w:val="120" w:hRule="atLeast"/>
        </w:trPr>
        <w:tc>
          <w:tcPr>
            <w:tcW w:w="2080" w:type="dxa"/>
            <w:tcBorders>
              <w:left w:val="single" w:sz="2" w:space="0" w:color="000000"/>
            </w:tcBorders>
            <w:shd w:fill="auto" w:val="clear"/>
            <w:tcMar>
              <w:left w:w="160" w:type="dxa"/>
            </w:tcMar>
            <w:vAlign w:val="center"/>
          </w:tcPr>
          <w:p>
            <w:pPr>
              <w:pStyle w:val="TableContents"/>
              <w:spacing w:before="0" w:after="283"/>
              <w:rPr/>
            </w:pPr>
            <w:r>
              <w:rPr/>
              <w:t> </w:t>
            </w:r>
          </w:p>
        </w:tc>
        <w:tc>
          <w:tcPr>
            <w:tcW w:w="812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2080" w:type="dxa"/>
            <w:tcBorders>
              <w:left w:val="single" w:sz="2" w:space="0" w:color="000000"/>
              <w:bottom w:val="single" w:sz="2" w:space="0" w:color="000000"/>
            </w:tcBorders>
            <w:shd w:fill="auto" w:val="clear"/>
            <w:tcMar>
              <w:left w:w="160" w:type="dxa"/>
              <w:bottom w:w="120" w:type="dxa"/>
            </w:tcMar>
          </w:tcPr>
          <w:p>
            <w:pPr>
              <w:pStyle w:val="TableContents"/>
              <w:spacing w:before="0" w:after="283"/>
              <w:rPr>
                <w:rFonts w:ascii="Arial" w:hAnsi="Arial"/>
                <w:b/>
                <w:sz w:val="18"/>
              </w:rPr>
            </w:pPr>
            <w:r>
              <w:rPr>
                <w:rFonts w:ascii="Arial" w:hAnsi="Arial"/>
                <w:b/>
                <w:sz w:val="18"/>
              </w:rPr>
              <w:t>Deadline for returning your form</w:t>
            </w:r>
          </w:p>
        </w:tc>
        <w:tc>
          <w:tcPr>
            <w:tcW w:w="103"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022" w:type="dxa"/>
            <w:tcBorders>
              <w:bottom w:val="single" w:sz="2" w:space="0" w:color="000000"/>
              <w:right w:val="single" w:sz="2" w:space="0" w:color="000000"/>
            </w:tcBorders>
            <w:shd w:fill="auto" w:val="clear"/>
            <w:tcMar>
              <w:bottom w:w="120" w:type="dxa"/>
              <w:right w:w="40" w:type="dxa"/>
            </w:tcMar>
          </w:tcPr>
          <w:p>
            <w:pPr>
              <w:pStyle w:val="TableContents"/>
              <w:spacing w:before="0" w:after="283"/>
              <w:rPr/>
            </w:pPr>
            <w:r>
              <w:rPr/>
              <w:t>Please check your voting instruction form for the specific deadline. Your intermediary will need your voting instructions sufficiently in advance of the proxy deadline to enable your intermediary to act on your instructions prior to the deadline.</w:t>
            </w:r>
          </w:p>
        </w:tc>
      </w:tr>
    </w:tbl>
    <w:p>
      <w:pPr>
        <w:pStyle w:val="TextBody"/>
        <w:spacing w:before="120" w:after="0"/>
        <w:jc w:val="left"/>
        <w:rPr>
          <w:rFonts w:ascii="arial" w:hAnsi="arial"/>
          <w:color w:val="B94831"/>
          <w:sz w:val="28"/>
        </w:rPr>
      </w:pPr>
      <w:r>
        <w:rPr>
          <w:rFonts w:ascii="arial" w:hAnsi="arial"/>
          <w:color w:val="B94831"/>
          <w:sz w:val="28"/>
        </w:rPr>
        <w:t xml:space="preserve">How do I submit or ask questions during the meeting? </w:t>
      </w:r>
    </w:p>
    <w:p>
      <w:pPr>
        <w:pStyle w:val="TextBody"/>
        <w:spacing w:before="40" w:after="0"/>
        <w:jc w:val="left"/>
        <w:rPr>
          <w:rFonts w:ascii="arial" w:hAnsi="arial"/>
          <w:i/>
          <w:sz w:val="21"/>
        </w:rPr>
      </w:pPr>
      <w:r>
        <w:rPr>
          <w:rFonts w:ascii="arial" w:hAnsi="arial"/>
          <w:i/>
          <w:sz w:val="21"/>
        </w:rPr>
        <w:t xml:space="preserve">In writing (type/chat) </w:t>
      </w:r>
    </w:p>
    <w:p>
      <w:pPr>
        <w:pStyle w:val="TextBody"/>
        <w:spacing w:before="120" w:after="0"/>
        <w:jc w:val="left"/>
        <w:rPr>
          <w:rFonts w:ascii="arial" w:hAnsi="arial"/>
          <w:sz w:val="20"/>
        </w:rPr>
      </w:pPr>
      <w:r>
        <w:rPr>
          <w:rFonts w:ascii="arial" w:hAnsi="arial"/>
          <w:sz w:val="20"/>
        </w:rPr>
        <w:t xml:space="preserve">Registered shareholders and duly appointed proxyholders (including non-registered shareholders who have duly appointed themselves as proxyholder) participating in the meeting may ask questions via the website for the meeting by typing and submitting their question in writing. Select the messaging tab and type your question within the box at the top of the screen. Once finished, press the send arrow to the right of the box to submit your question. </w:t>
      </w:r>
    </w:p>
    <w:p>
      <w:pPr>
        <w:pStyle w:val="TextBody"/>
        <w:spacing w:before="120" w:after="0"/>
        <w:jc w:val="left"/>
        <w:rPr>
          <w:rFonts w:ascii="arial" w:hAnsi="arial"/>
          <w:i/>
          <w:sz w:val="21"/>
        </w:rPr>
      </w:pPr>
      <w:r>
        <w:rPr>
          <w:rFonts w:ascii="arial" w:hAnsi="arial"/>
          <w:i/>
          <w:sz w:val="21"/>
        </w:rPr>
        <w:t xml:space="preserve">By phone </w:t>
      </w:r>
    </w:p>
    <w:p>
      <w:pPr>
        <w:pStyle w:val="TextBody"/>
        <w:spacing w:before="120" w:after="0"/>
        <w:jc w:val="left"/>
        <w:rPr>
          <w:rFonts w:ascii="arial" w:hAnsi="arial"/>
          <w:sz w:val="20"/>
        </w:rPr>
      </w:pPr>
      <w:r>
        <w:rPr>
          <w:rFonts w:ascii="arial" w:hAnsi="arial"/>
          <w:sz w:val="20"/>
        </w:rPr>
        <w:t xml:space="preserve">During the meeting, registered shareholders and duly appointed proxyholders (including non-registered shareholders who have duly appointed themselves as proxyholder) will also be able to ask questions by phone. To ask a question by phone, send your phone number and subject using the messaging tab (as described above) and the LUMI platform will dial you in the meeting during the Q&amp;A session of the meeting. </w:t>
      </w:r>
    </w:p>
    <w:p>
      <w:pPr>
        <w:pStyle w:val="TextBody"/>
        <w:spacing w:before="120" w:after="0"/>
        <w:jc w:val="left"/>
        <w:rPr>
          <w:rFonts w:ascii="arial" w:hAnsi="arial"/>
          <w:sz w:val="20"/>
        </w:rPr>
      </w:pPr>
      <w:r>
        <w:rPr>
          <w:rFonts w:ascii="arial" w:hAnsi="arial"/>
          <w:sz w:val="20"/>
        </w:rPr>
        <w:t xml:space="preserve">Non-registered shareholders who have not duly appointed themselves as proxyholder will be able to attend the meeting as guests but will </w:t>
      </w:r>
      <w:r>
        <w:rPr>
          <w:rFonts w:ascii="arial" w:hAnsi="arial"/>
          <w:sz w:val="20"/>
          <w:u w:val="single"/>
        </w:rPr>
        <w:t>not</w:t>
      </w:r>
      <w:r>
        <w:rPr>
          <w:rFonts w:ascii="arial" w:hAnsi="arial"/>
          <w:sz w:val="20"/>
        </w:rPr>
        <w:t xml:space="preserve"> be able to submit or ask questions during the meeting. </w:t>
      </w:r>
    </w:p>
    <w:p>
      <w:pPr>
        <w:pStyle w:val="TextBody"/>
        <w:spacing w:before="120" w:after="0"/>
        <w:jc w:val="left"/>
        <w:rPr>
          <w:rFonts w:ascii="arial" w:hAnsi="arial"/>
          <w:sz w:val="20"/>
        </w:rPr>
      </w:pPr>
      <w:r>
        <w:rPr>
          <w:rFonts w:ascii="arial" w:hAnsi="arial"/>
          <w:sz w:val="20"/>
        </w:rPr>
        <w:t xml:space="preserve">If you prefer, you may also submit written questions in advance of the meeting which will be addressed during the Q&amp;A session by e-mailing your question to </w:t>
      </w:r>
      <w:r>
        <w:rPr>
          <w:rFonts w:ascii="Arial" w:hAnsi="Arial"/>
          <w:b/>
          <w:color w:val="335367"/>
          <w:sz w:val="20"/>
        </w:rPr>
        <w:t>investor.relations@tr.com</w:t>
      </w:r>
      <w:r>
        <w:rPr>
          <w:rFonts w:ascii="arial" w:hAnsi="arial"/>
          <w:sz w:val="20"/>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r>
        <w:rPr>
          <w:rFonts w:ascii="Arial" w:hAnsi="Arial"/>
          <w:b/>
          <w:sz w:val="28"/>
        </w:rPr>
        <w:t xml:space="preserve">Other Questions and Answers </w:t>
      </w:r>
    </w:p>
    <w:p>
      <w:pPr>
        <w:pStyle w:val="TextBody"/>
        <w:spacing w:before="40" w:after="0"/>
        <w:jc w:val="left"/>
        <w:rPr>
          <w:rFonts w:ascii="arial" w:hAnsi="arial"/>
          <w:color w:val="B94831"/>
          <w:sz w:val="28"/>
        </w:rPr>
      </w:pPr>
      <w:r>
        <w:rPr>
          <w:rFonts w:ascii="arial" w:hAnsi="arial"/>
          <w:color w:val="B94831"/>
          <w:sz w:val="28"/>
        </w:rPr>
        <w:t xml:space="preserve">Can I vote my shares by filling out and returning the notice? </w:t>
      </w:r>
    </w:p>
    <w:p>
      <w:pPr>
        <w:pStyle w:val="TextBody"/>
        <w:spacing w:before="40" w:after="0"/>
        <w:jc w:val="left"/>
        <w:rPr>
          <w:rFonts w:ascii="arial" w:hAnsi="arial"/>
          <w:sz w:val="20"/>
        </w:rPr>
      </w:pPr>
      <w:r>
        <w:rPr>
          <w:rFonts w:ascii="arial" w:hAnsi="arial"/>
          <w:sz w:val="20"/>
        </w:rPr>
        <w:t xml:space="preserve">No. The notice sets forth the items to be voted on at the meeting, but you cannot vote by marking the notice and returning it. The notice provides instructions on how to vote. </w:t>
      </w:r>
    </w:p>
    <w:p>
      <w:pPr>
        <w:pStyle w:val="TextBody"/>
        <w:spacing w:before="120" w:after="0"/>
        <w:jc w:val="left"/>
        <w:rPr>
          <w:rFonts w:ascii="arial" w:hAnsi="arial"/>
          <w:color w:val="B94831"/>
          <w:sz w:val="28"/>
        </w:rPr>
      </w:pPr>
      <w:r>
        <w:rPr>
          <w:rFonts w:ascii="arial" w:hAnsi="arial"/>
          <w:color w:val="B94831"/>
          <w:sz w:val="28"/>
        </w:rPr>
        <w:t xml:space="preserve">Whats the deadline for receiving my proxy or voting instructions? </w:t>
      </w:r>
    </w:p>
    <w:p>
      <w:pPr>
        <w:pStyle w:val="TextBody"/>
        <w:spacing w:before="40" w:after="0"/>
        <w:jc w:val="left"/>
        <w:rPr>
          <w:rFonts w:ascii="arial" w:hAnsi="arial"/>
          <w:sz w:val="20"/>
        </w:rPr>
      </w:pPr>
      <w:r>
        <w:rPr>
          <w:rFonts w:ascii="arial" w:hAnsi="arial"/>
          <w:sz w:val="20"/>
        </w:rPr>
        <w:t xml:space="preserve">If you are a registered shareholder, your proxy must be received by 5:00 p.m. (Eastern Daylight Time) on Monday, June 12, 2023. </w:t>
      </w:r>
    </w:p>
    <w:p>
      <w:pPr>
        <w:pStyle w:val="TextBody"/>
        <w:spacing w:before="120" w:after="0"/>
        <w:jc w:val="left"/>
        <w:rPr>
          <w:rFonts w:ascii="Arial" w:hAnsi="Arial"/>
          <w:b/>
          <w:sz w:val="20"/>
        </w:rPr>
      </w:pPr>
      <w:r>
        <w:rPr>
          <w:rFonts w:ascii="Arial" w:hAnsi="Arial"/>
          <w:b/>
          <w:sz w:val="20"/>
        </w:rPr>
        <w:t xml:space="preserve">Non-registered shareholders may be subject to earlier deadlines as specified in their proxy or voting instructions. </w:t>
      </w:r>
    </w:p>
    <w:p>
      <w:pPr>
        <w:pStyle w:val="TextBody"/>
        <w:spacing w:before="120" w:after="0"/>
        <w:jc w:val="left"/>
        <w:rPr>
          <w:rFonts w:ascii="arial" w:hAnsi="arial"/>
          <w:sz w:val="20"/>
        </w:rPr>
      </w:pPr>
      <w:r>
        <w:rPr>
          <w:rFonts w:ascii="arial" w:hAnsi="arial"/>
          <w:sz w:val="20"/>
        </w:rPr>
        <w:t xml:space="preserve">If the meeting is adjourned or postponed, the proxy cut-off deadline will be no later than 48 hours (excluding Saturdays, Sundays and holidays) before any adjourned or postponed meeting. </w:t>
      </w:r>
    </w:p>
    <w:p>
      <w:pPr>
        <w:pStyle w:val="TextBody"/>
        <w:spacing w:before="120" w:after="0"/>
        <w:jc w:val="left"/>
        <w:rPr>
          <w:rFonts w:ascii="arial" w:hAnsi="arial"/>
          <w:color w:val="B94831"/>
          <w:sz w:val="28"/>
        </w:rPr>
      </w:pPr>
      <w:r>
        <w:rPr>
          <w:rFonts w:ascii="arial" w:hAnsi="arial"/>
          <w:color w:val="B94831"/>
          <w:sz w:val="28"/>
        </w:rPr>
        <w:t xml:space="preserve">How will my shares be voted if I appoint a proxyholder? </w:t>
      </w:r>
    </w:p>
    <w:p>
      <w:pPr>
        <w:pStyle w:val="TextBody"/>
        <w:spacing w:before="40" w:after="0"/>
        <w:jc w:val="left"/>
        <w:rPr>
          <w:rFonts w:ascii="arial" w:hAnsi="arial"/>
          <w:sz w:val="20"/>
        </w:rPr>
      </w:pPr>
      <w:r>
        <w:rPr>
          <w:rFonts w:ascii="arial" w:hAnsi="arial"/>
          <w:sz w:val="20"/>
        </w:rPr>
        <w:t xml:space="preserve">Your proxyholder must vote your shares on each matter according to your instructions if you have properly completed and returned a proxy form. If you have not specified how to vote on a particular matter, then your proxyholder can vote your shares as he or she sees fit. </w:t>
      </w:r>
      <w:r>
        <w:rPr>
          <w:rFonts w:ascii="Arial" w:hAnsi="Arial"/>
          <w:b/>
          <w:sz w:val="20"/>
        </w:rPr>
        <w:t>If you have appointed our directors named on your proxy form or voting instruction form as your proxyholder, and you have not specified how you want your shares to be voted, your shares will be voted FOR each of the items of business described in this circular.</w:t>
      </w:r>
      <w:r>
        <w:rPr>
          <w:rFonts w:ascii="arial" w:hAnsi="arial"/>
          <w:sz w:val="20"/>
        </w:rPr>
        <w:t xml:space="preserve"> </w:t>
      </w:r>
    </w:p>
    <w:p>
      <w:pPr>
        <w:pStyle w:val="TextBody"/>
        <w:spacing w:before="120" w:after="0"/>
        <w:jc w:val="left"/>
        <w:rPr>
          <w:rFonts w:ascii="arial" w:hAnsi="arial"/>
          <w:color w:val="B94831"/>
          <w:sz w:val="28"/>
        </w:rPr>
      </w:pPr>
      <w:r>
        <w:rPr>
          <w:rFonts w:ascii="arial" w:hAnsi="arial"/>
          <w:color w:val="B94831"/>
          <w:sz w:val="28"/>
        </w:rPr>
        <w:t xml:space="preserve">What happens if any amendments are properly made to the items of business to be considered or if other matters are properly brought before the meeting? </w:t>
      </w:r>
    </w:p>
    <w:p>
      <w:pPr>
        <w:pStyle w:val="TextBody"/>
        <w:spacing w:before="40" w:after="0"/>
        <w:jc w:val="left"/>
        <w:rPr>
          <w:rFonts w:ascii="arial" w:hAnsi="arial"/>
          <w:sz w:val="20"/>
        </w:rPr>
      </w:pPr>
      <w:r>
        <w:rPr>
          <w:rFonts w:ascii="arial" w:hAnsi="arial"/>
          <w:sz w:val="20"/>
        </w:rPr>
        <w:t xml:space="preserve">Your proxyholder will have discretionary authority to vote your shares as he or she sees fit. As of the date of this circular, management knows of no such amendment, variation or other matter expected to come before the meeting. </w:t>
      </w:r>
    </w:p>
    <w:p>
      <w:pPr>
        <w:pStyle w:val="TextBody"/>
        <w:spacing w:before="120" w:after="0"/>
        <w:jc w:val="left"/>
        <w:rPr>
          <w:rFonts w:ascii="arial" w:hAnsi="arial"/>
          <w:color w:val="B94831"/>
          <w:sz w:val="28"/>
        </w:rPr>
      </w:pPr>
      <w:r>
        <w:rPr>
          <w:rFonts w:ascii="arial" w:hAnsi="arial"/>
          <w:color w:val="B94831"/>
          <w:sz w:val="28"/>
        </w:rPr>
        <w:t xml:space="preserve">If I change my mind, how do I revoke my proxy or voting instructions? </w:t>
      </w:r>
    </w:p>
    <w:p>
      <w:pPr>
        <w:pStyle w:val="TextBody"/>
        <w:spacing w:before="0" w:after="0"/>
        <w:jc w:val="left"/>
        <w:rPr/>
      </w:pPr>
      <w:r>
        <w:rPr/>
        <w:t> </w:t>
      </w:r>
    </w:p>
    <w:p>
      <w:pPr>
        <w:pStyle w:val="TextBody"/>
        <w:spacing w:before="40" w:after="0"/>
        <w:jc w:val="left"/>
        <w:rPr>
          <w:rFonts w:ascii="arial" w:hAnsi="arial"/>
          <w:b/>
          <w:sz w:val="20"/>
        </w:rPr>
      </w:pPr>
      <w:r>
        <w:rPr>
          <w:rFonts w:ascii="arial" w:hAnsi="arial"/>
          <w:b/>
          <w:sz w:val="20"/>
        </w:rPr>
        <w:t xml:space="preserve">Non-registered shareholders </w:t>
      </w:r>
    </w:p>
    <w:p>
      <w:pPr>
        <w:pStyle w:val="TextBody"/>
        <w:spacing w:before="40" w:after="0"/>
        <w:jc w:val="left"/>
        <w:rPr>
          <w:rFonts w:ascii="arial" w:hAnsi="arial"/>
          <w:sz w:val="20"/>
        </w:rPr>
      </w:pPr>
      <w:r>
        <w:rPr>
          <w:rFonts w:ascii="arial" w:hAnsi="arial"/>
          <w:sz w:val="20"/>
        </w:rPr>
        <w:t xml:space="preserve">You may revoke your proxy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 </w:t>
      </w:r>
    </w:p>
    <w:p>
      <w:pPr>
        <w:pStyle w:val="TextBody"/>
        <w:spacing w:before="120" w:after="0"/>
        <w:jc w:val="left"/>
        <w:rPr>
          <w:rFonts w:ascii="arial" w:hAnsi="arial"/>
          <w:b/>
          <w:sz w:val="20"/>
        </w:rPr>
      </w:pPr>
      <w:r>
        <w:rPr>
          <w:rFonts w:ascii="arial" w:hAnsi="arial"/>
          <w:b/>
          <w:sz w:val="20"/>
        </w:rPr>
        <w:t xml:space="preserve">Registered shareholders </w:t>
      </w:r>
    </w:p>
    <w:p>
      <w:pPr>
        <w:pStyle w:val="TextBody"/>
        <w:spacing w:before="40" w:after="0"/>
        <w:jc w:val="left"/>
        <w:rPr>
          <w:rFonts w:ascii="arial" w:hAnsi="arial"/>
          <w:sz w:val="20"/>
        </w:rPr>
      </w:pPr>
      <w:r>
        <w:rPr>
          <w:rFonts w:ascii="arial" w:hAnsi="arial"/>
          <w:sz w:val="20"/>
        </w:rPr>
        <w:t xml:space="preserve">You may revoke your proxy or voting instructions in any of the following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By completing and signing a proxy form with a later date than the proxy form you previously returned, and delivering it to Computershare Trust Company of Canada at any time before 5:00 p.m. (Eastern Daylight Time) on Monday, June 12, 2023. If the meeting is adjourned or postponed, the deadline will be no later than 48 hours before any adjourned or postponed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By completing a written statement revoking your instructions, which is signed by you or your attorney authorized in writing, and delivering 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6"/>
        <w:gridCol w:w="102"/>
        <w:gridCol w:w="9592"/>
      </w:tblGrid>
      <w:tr>
        <w:trPr/>
        <w:tc>
          <w:tcPr>
            <w:tcW w:w="305"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arial" w:hAnsi="arial"/>
                <w:sz w:val="20"/>
              </w:rPr>
            </w:pPr>
            <w:r>
              <w:rPr>
                <w:rFonts w:ascii="arial" w:hAnsi="arial"/>
                <w:sz w:val="20"/>
              </w:rPr>
              <w:t xml:space="preserve">To the offices of Computershare Trust Company of Canada at any time before 5:00 p.m. (Eastern Daylight Time) on Tuesday, June 13, 2023. If the meeting is adjourned or postponed, the deadline will be no later than close of business on the business day immediately preceding any adjourned or postponed meeting;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5"/>
        <w:gridCol w:w="102"/>
        <w:gridCol w:w="9593"/>
      </w:tblGrid>
      <w:tr>
        <w:trPr/>
        <w:tc>
          <w:tcPr>
            <w:tcW w:w="305"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arial" w:hAnsi="arial"/>
                <w:sz w:val="20"/>
              </w:rPr>
            </w:pPr>
            <w:r>
              <w:rPr>
                <w:rFonts w:ascii="arial" w:hAnsi="arial"/>
                <w:sz w:val="20"/>
              </w:rPr>
              <w:t xml:space="preserve">To the Chair of the meeting before the meeting starts;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8"/>
        <w:gridCol w:w="102"/>
        <w:gridCol w:w="9590"/>
      </w:tblGrid>
      <w:tr>
        <w:trPr/>
        <w:tc>
          <w:tcPr>
            <w:tcW w:w="3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590" w:type="dxa"/>
            <w:tcBorders/>
            <w:shd w:fill="auto" w:val="clear"/>
          </w:tcPr>
          <w:p>
            <w:pPr>
              <w:pStyle w:val="TableContents"/>
              <w:spacing w:before="0" w:after="0"/>
              <w:jc w:val="left"/>
              <w:rPr>
                <w:rFonts w:ascii="arial" w:hAnsi="arial"/>
                <w:sz w:val="20"/>
              </w:rPr>
            </w:pPr>
            <w:r>
              <w:rPr>
                <w:rFonts w:ascii="arial" w:hAnsi="arial"/>
                <w:sz w:val="20"/>
              </w:rPr>
              <w:t xml:space="preserve">In any other manner permitted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If you use your control number as a username to log into the meeting and you accept the terms and conditions, any vote that you cast at the meeting will revoke any proxy that you previously submitted. If you do not wish to revoke a previously submitted proxy, you should not vote during the meeting.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How can I contact Computershare Trust Company of Canada or Computershare Investor Services Inc. if I have questions? </w:t>
      </w:r>
    </w:p>
    <w:p>
      <w:pPr>
        <w:pStyle w:val="TextBody"/>
        <w:spacing w:before="40" w:after="0"/>
        <w:jc w:val="left"/>
        <w:rPr>
          <w:rFonts w:ascii="arial" w:hAnsi="arial"/>
          <w:sz w:val="20"/>
        </w:rPr>
      </w:pPr>
      <w:r>
        <w:rPr>
          <w:rFonts w:ascii="arial" w:hAnsi="arial"/>
          <w:sz w:val="20"/>
        </w:rPr>
        <w:t xml:space="preserve">You can contact Computershare Trust Company of Canada or Computershare Investor Services Inc. directly at the following numbers: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rPr/>
            </w:pPr>
            <w:r>
              <w:rPr/>
              <w:t>Canada and the United States</w:t>
            </w:r>
          </w:p>
        </w:tc>
        <w:tc>
          <w:tcPr>
            <w:tcW w:w="103"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1.800.564.6253</w:t>
            </w:r>
          </w:p>
        </w:tc>
      </w:tr>
      <w:tr>
        <w:trPr/>
        <w:tc>
          <w:tcPr>
            <w:tcW w:w="5153" w:type="dxa"/>
            <w:tcBorders/>
            <w:shd w:fill="auto" w:val="clear"/>
          </w:tcPr>
          <w:p>
            <w:pPr>
              <w:pStyle w:val="TableContents"/>
              <w:spacing w:before="0" w:after="283"/>
              <w:rPr/>
            </w:pPr>
            <w:r>
              <w:rPr/>
              <w:t>Other countries</w:t>
            </w:r>
          </w:p>
        </w:tc>
        <w:tc>
          <w:tcPr>
            <w:tcW w:w="103"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1.514.982.7555</w:t>
            </w:r>
          </w:p>
        </w:tc>
      </w:tr>
    </w:tbl>
    <w:p>
      <w:pPr>
        <w:pStyle w:val="TextBody"/>
        <w:spacing w:before="120" w:after="0"/>
        <w:jc w:val="left"/>
        <w:rPr>
          <w:rFonts w:ascii="arial" w:hAnsi="arial"/>
          <w:color w:val="B94831"/>
          <w:sz w:val="28"/>
        </w:rPr>
      </w:pPr>
      <w:r>
        <w:rPr>
          <w:rFonts w:ascii="arial" w:hAnsi="arial"/>
          <w:color w:val="B94831"/>
          <w:sz w:val="28"/>
        </w:rPr>
        <w:t xml:space="preserve">Who is soliciting my proxy and distributing proxy-related materials? </w:t>
      </w:r>
    </w:p>
    <w:p>
      <w:pPr>
        <w:pStyle w:val="TextBody"/>
        <w:spacing w:before="40" w:after="0"/>
        <w:jc w:val="left"/>
        <w:rPr>
          <w:rFonts w:ascii="arial" w:hAnsi="arial"/>
          <w:sz w:val="20"/>
        </w:rPr>
      </w:pPr>
      <w:r>
        <w:rPr>
          <w:rFonts w:ascii="arial" w:hAnsi="arial"/>
          <w:sz w:val="20"/>
        </w:rPr>
        <w:t xml:space="preserve">Thomson Reuters management and directors may solicit your proxy for use at the meeting and any adjourned or postponed meeting. Our management and directors may solicit proxies by mail and in person. We are paying all costs of solicitation. Intermediaries will distribute proxy-related materials directly to non-objecting beneficial owners on our behalf. We are paying for intermediaries to send proxy-related materials to both non-objecting beneficial owners and objecting beneficial owners. </w:t>
      </w:r>
    </w:p>
    <w:p>
      <w:pPr>
        <w:pStyle w:val="TextBody"/>
        <w:spacing w:before="120" w:after="0"/>
        <w:jc w:val="left"/>
        <w:rPr>
          <w:rFonts w:ascii="arial" w:hAnsi="arial"/>
          <w:color w:val="B94831"/>
          <w:sz w:val="28"/>
        </w:rPr>
      </w:pPr>
      <w:r>
        <w:rPr>
          <w:rFonts w:ascii="arial" w:hAnsi="arial"/>
          <w:color w:val="B94831"/>
          <w:sz w:val="28"/>
        </w:rPr>
        <w:t xml:space="preserve">Is my vote confidential? </w:t>
      </w:r>
    </w:p>
    <w:p>
      <w:pPr>
        <w:pStyle w:val="TextBody"/>
        <w:spacing w:before="40" w:after="0"/>
        <w:jc w:val="left"/>
        <w:rPr>
          <w:rFonts w:ascii="arial" w:hAnsi="arial"/>
          <w:sz w:val="20"/>
        </w:rPr>
      </w:pPr>
      <w:r>
        <w:rPr>
          <w:rFonts w:ascii="arial" w:hAnsi="arial"/>
          <w:sz w:val="20"/>
        </w:rPr>
        <w:t xml:space="preserve">Yes. Our registrar, Computershare Trust Company of Canada, independently counts and tabulates the proxies and votes cast at the meeting through the live webcast platform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 </w:t>
      </w:r>
    </w:p>
    <w:p>
      <w:pPr>
        <w:pStyle w:val="TextBody"/>
        <w:spacing w:before="120" w:after="0"/>
        <w:jc w:val="left"/>
        <w:rPr>
          <w:rFonts w:ascii="arial" w:hAnsi="arial"/>
          <w:color w:val="B94831"/>
          <w:sz w:val="28"/>
        </w:rPr>
      </w:pPr>
      <w:r>
        <w:rPr>
          <w:rFonts w:ascii="arial" w:hAnsi="arial"/>
          <w:color w:val="B94831"/>
          <w:sz w:val="28"/>
        </w:rPr>
        <w:t xml:space="preserve">Voting results </w:t>
      </w:r>
    </w:p>
    <w:p>
      <w:pPr>
        <w:pStyle w:val="TextBody"/>
        <w:spacing w:before="40" w:after="0"/>
        <w:jc w:val="left"/>
        <w:rPr>
          <w:rFonts w:ascii="arial" w:hAnsi="arial"/>
          <w:sz w:val="20"/>
        </w:rPr>
      </w:pPr>
      <w:r>
        <w:rPr>
          <w:rFonts w:ascii="arial" w:hAnsi="arial"/>
          <w:sz w:val="20"/>
        </w:rPr>
        <w:t xml:space="preserve">Following the meeting, we will post the voting results in the Investor Relations section of our website, </w:t>
      </w:r>
      <w:r>
        <w:rPr>
          <w:rFonts w:ascii="Arial" w:hAnsi="Arial"/>
          <w:b/>
          <w:color w:val="335367"/>
          <w:sz w:val="20"/>
        </w:rPr>
        <w:t>www.tr.com</w:t>
      </w:r>
      <w:r>
        <w:rPr>
          <w:rFonts w:ascii="arial" w:hAnsi="arial"/>
          <w:sz w:val="20"/>
        </w:rPr>
        <w:t xml:space="preserve">. We will also file a copy of the results with the Canadian securities regulatory authorities at </w:t>
      </w:r>
      <w:r>
        <w:rPr>
          <w:rFonts w:ascii="Arial" w:hAnsi="Arial"/>
          <w:b/>
          <w:color w:val="335367"/>
          <w:sz w:val="20"/>
        </w:rPr>
        <w:t>www.sedar.com</w:t>
      </w:r>
      <w:r>
        <w:rPr>
          <w:rFonts w:ascii="arial" w:hAnsi="arial"/>
          <w:sz w:val="20"/>
        </w:rPr>
        <w:t xml:space="preserve"> and the SEC at </w:t>
      </w:r>
      <w:r>
        <w:rPr>
          <w:rFonts w:ascii="Arial" w:hAnsi="Arial"/>
          <w:b/>
          <w:color w:val="335367"/>
          <w:sz w:val="20"/>
        </w:rPr>
        <w:t>www.sec.gov</w:t>
      </w:r>
      <w:r>
        <w:rPr>
          <w:rFonts w:ascii="arial" w:hAnsi="arial"/>
          <w:sz w:val="20"/>
        </w:rPr>
        <w:t xml:space="preserve">. For more information, see the Additional Information section of this circular.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102" w:type="dxa"/>
            <w:tcBorders>
              <w:top w:val="single" w:sz="2" w:space="0" w:color="000000"/>
              <w:left w:val="single" w:sz="2" w:space="0" w:color="000000"/>
              <w:right w:val="single" w:sz="2" w:space="0" w:color="000000"/>
            </w:tcBorders>
            <w:shd w:fill="F4E3E0" w:val="clear"/>
            <w:tcMar>
              <w:top w:w="28" w:type="dxa"/>
              <w:left w:w="160" w:type="dxa"/>
              <w:right w:w="28" w:type="dxa"/>
            </w:tcMar>
            <w:vAlign w:val="center"/>
          </w:tcPr>
          <w:p>
            <w:pPr>
              <w:pStyle w:val="TableContents"/>
              <w:spacing w:before="0" w:after="283"/>
              <w:rPr/>
            </w:pPr>
            <w:r>
              <w:rPr/>
              <w:t> </w:t>
            </w:r>
          </w:p>
        </w:tc>
      </w:tr>
      <w:tr>
        <w:trPr/>
        <w:tc>
          <w:tcPr>
            <w:tcW w:w="10102" w:type="dxa"/>
            <w:tcBorders>
              <w:left w:val="single" w:sz="2" w:space="0" w:color="000000"/>
              <w:bottom w:val="single" w:sz="2" w:space="0" w:color="000000"/>
              <w:right w:val="single" w:sz="2" w:space="0" w:color="000000"/>
            </w:tcBorders>
            <w:shd w:fill="F4E3E0" w:val="clear"/>
            <w:tcMar>
              <w:left w:w="160" w:type="dxa"/>
              <w:bottom w:w="80" w:type="dxa"/>
              <w:right w:w="40" w:type="dxa"/>
            </w:tcMar>
          </w:tcPr>
          <w:p>
            <w:pPr>
              <w:pStyle w:val="TableContents"/>
              <w:spacing w:before="0" w:after="0"/>
              <w:rPr>
                <w:rFonts w:ascii="arial" w:hAnsi="arial"/>
                <w:color w:val="B94831"/>
                <w:sz w:val="28"/>
              </w:rPr>
            </w:pPr>
            <w:r>
              <w:rPr>
                <w:rFonts w:ascii="arial" w:hAnsi="arial"/>
                <w:color w:val="B94831"/>
                <w:sz w:val="28"/>
              </w:rPr>
              <w:t>Who do I contact if I need technical assistance for the meeting?</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If you encounter any difficulties with the virtual platform on the day of the meeting, please go to </w:t>
            </w:r>
            <w:r>
              <w:rPr>
                <w:rFonts w:ascii="Arial" w:hAnsi="Arial"/>
                <w:b/>
                <w:color w:val="335367"/>
                <w:sz w:val="20"/>
              </w:rPr>
              <w:t>www.lumiglobal.com/faq</w:t>
            </w:r>
            <w:r>
              <w:rPr>
                <w:rFonts w:ascii="arial" w:hAnsi="arial"/>
                <w:sz w:val="20"/>
              </w:rPr>
              <w:t xml:space="preserve"> for frequently asked questions and click on the support button for assistance.</w:t>
            </w:r>
          </w:p>
          <w:p>
            <w:pPr>
              <w:pStyle w:val="TableContents"/>
              <w:spacing w:before="0" w:after="20"/>
              <w:rPr/>
            </w:pPr>
            <w:r>
              <w:rPr/>
              <w:t> </w:t>
            </w:r>
          </w:p>
        </w:tc>
      </w:tr>
    </w:tbl>
    <w:p>
      <w:pPr>
        <w:pStyle w:val="TextBody"/>
        <w:spacing w:before="120" w:after="0"/>
        <w:jc w:val="left"/>
        <w:rPr>
          <w:rFonts w:ascii="Arial" w:hAnsi="Arial"/>
          <w:b/>
          <w:sz w:val="28"/>
        </w:rPr>
      </w:pPr>
      <w:r>
        <w:rPr>
          <w:rFonts w:ascii="Arial" w:hAnsi="Arial"/>
          <w:b/>
          <w:sz w:val="28"/>
        </w:rPr>
        <w:t xml:space="preserve">Return of Capital Transaction </w:t>
      </w:r>
    </w:p>
    <w:p>
      <w:pPr>
        <w:pStyle w:val="TextBody"/>
        <w:spacing w:before="120" w:after="0"/>
        <w:jc w:val="left"/>
        <w:rPr>
          <w:rFonts w:ascii="arial" w:hAnsi="arial"/>
          <w:sz w:val="20"/>
        </w:rPr>
      </w:pPr>
      <w:r>
        <w:rPr>
          <w:rFonts w:ascii="arial" w:hAnsi="arial"/>
          <w:sz w:val="20"/>
        </w:rPr>
        <w:t xml:space="preserve">This summary is provided for convenience only and should be read in conjunction with, and is qualified in its entirety by, the more detailed information and provisions contained elsewhere in this circular. Certain terms used in this summary are defined in the Glossary of Terms. </w:t>
      </w:r>
    </w:p>
    <w:p>
      <w:pPr>
        <w:pStyle w:val="TextBody"/>
        <w:spacing w:before="120" w:after="0"/>
        <w:jc w:val="left"/>
        <w:rPr>
          <w:rFonts w:ascii="arial" w:hAnsi="arial"/>
          <w:color w:val="B94831"/>
          <w:sz w:val="28"/>
        </w:rPr>
      </w:pPr>
      <w:r>
        <w:rPr>
          <w:rFonts w:ascii="arial" w:hAnsi="arial"/>
          <w:color w:val="B94831"/>
          <w:sz w:val="28"/>
        </w:rPr>
        <w:t xml:space="preserve">What are the key dates for the Return of Capital Transaction? </w:t>
      </w:r>
    </w:p>
    <w:p>
      <w:pPr>
        <w:pStyle w:val="TextBody"/>
        <w:spacing w:before="40" w:after="0"/>
        <w:jc w:val="left"/>
        <w:rPr>
          <w:rFonts w:ascii="arial" w:hAnsi="arial"/>
          <w:sz w:val="20"/>
        </w:rPr>
      </w:pPr>
      <w:r>
        <w:rPr>
          <w:rFonts w:ascii="arial" w:hAnsi="arial"/>
          <w:sz w:val="20"/>
        </w:rPr>
        <w:t xml:space="preserve">We expect the following key events to occur on or about the dates and times set forth below. All times refer to Eastern Daylight Time.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3"/>
        <w:gridCol w:w="102"/>
        <w:gridCol w:w="4899"/>
        <w:gridCol w:w="102"/>
        <w:gridCol w:w="4899"/>
      </w:tblGrid>
      <w:tr>
        <w:trPr/>
        <w:tc>
          <w:tcPr>
            <w:tcW w:w="20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03" w:type="dxa"/>
            <w:tcBorders>
              <w:top w:val="single" w:sz="8" w:space="0" w:color="B94831"/>
            </w:tcBorders>
            <w:shd w:fill="BFBFBF" w:val="clear"/>
            <w:tcMar>
              <w:top w:w="28" w:type="dxa"/>
            </w:tcMar>
            <w:vAlign w:val="center"/>
          </w:tcPr>
          <w:p>
            <w:pPr>
              <w:pStyle w:val="TableContents"/>
              <w:spacing w:before="0" w:after="283"/>
              <w:rPr/>
            </w:pPr>
            <w:r>
              <w:rPr/>
              <w:t> </w:t>
            </w:r>
          </w:p>
        </w:tc>
        <w:tc>
          <w:tcPr>
            <w:tcW w:w="5001" w:type="dxa"/>
            <w:gridSpan w:val="2"/>
            <w:tcBorders>
              <w:top w:val="single" w:sz="8" w:space="0" w:color="B94831"/>
            </w:tcBorders>
            <w:shd w:fill="BFBFBF" w:val="clear"/>
            <w:tcMar>
              <w:top w:w="28" w:type="dxa"/>
            </w:tcMar>
            <w:vAlign w:val="center"/>
          </w:tcPr>
          <w:p>
            <w:pPr>
              <w:pStyle w:val="TableContents"/>
              <w:spacing w:before="0" w:after="283"/>
              <w:rPr/>
            </w:pPr>
            <w:r>
              <w:rPr/>
              <w:t> </w:t>
            </w:r>
          </w:p>
        </w:tc>
        <w:tc>
          <w:tcPr>
            <w:tcW w:w="5001" w:type="dxa"/>
            <w:gridSpan w:val="2"/>
            <w:tcBorders>
              <w:top w:val="single" w:sz="8" w:space="0" w:color="B94831"/>
            </w:tcBorders>
            <w:shd w:fill="BFBFBF" w:val="clear"/>
            <w:tcMar>
              <w:top w:w="28" w:type="dxa"/>
            </w:tcMar>
            <w:vAlign w:val="center"/>
          </w:tcPr>
          <w:p>
            <w:pPr>
              <w:pStyle w:val="TableContents"/>
              <w:spacing w:before="0" w:after="283"/>
              <w:rPr/>
            </w:pPr>
            <w:r>
              <w:rPr/>
              <w:t> </w:t>
            </w:r>
          </w:p>
        </w:tc>
      </w:tr>
      <w:tr>
        <w:trPr/>
        <w:tc>
          <w:tcPr>
            <w:tcW w:w="203" w:type="dxa"/>
            <w:tcBorders/>
            <w:shd w:fill="BFBFBF" w:val="clear"/>
          </w:tcPr>
          <w:p>
            <w:pPr>
              <w:pStyle w:val="TableContents"/>
              <w:spacing w:before="0" w:after="283"/>
              <w:rPr>
                <w:sz w:val="4"/>
                <w:szCs w:val="4"/>
              </w:rPr>
            </w:pPr>
            <w:r>
              <w:rPr>
                <w:sz w:val="4"/>
                <w:szCs w:val="4"/>
              </w:rPr>
            </w:r>
          </w:p>
        </w:tc>
        <w:tc>
          <w:tcPr>
            <w:tcW w:w="102" w:type="dxa"/>
            <w:tcBorders/>
            <w:shd w:fill="BFBFBF" w:val="clear"/>
            <w:vAlign w:val="bottom"/>
          </w:tcPr>
          <w:p>
            <w:pPr>
              <w:pStyle w:val="TableContents"/>
              <w:spacing w:before="0" w:after="283"/>
              <w:rPr/>
            </w:pPr>
            <w:r>
              <w:rPr/>
              <w:t> </w:t>
            </w:r>
          </w:p>
        </w:tc>
        <w:tc>
          <w:tcPr>
            <w:tcW w:w="4899" w:type="dxa"/>
            <w:tcBorders/>
            <w:shd w:fill="BFBFBF" w:val="clear"/>
          </w:tcPr>
          <w:p>
            <w:pPr>
              <w:pStyle w:val="TableContents"/>
              <w:spacing w:before="0" w:after="0"/>
              <w:rPr>
                <w:rFonts w:ascii="arial" w:hAnsi="arial"/>
                <w:sz w:val="20"/>
              </w:rPr>
            </w:pPr>
            <w:r>
              <w:rPr>
                <w:rFonts w:ascii="SYMBOL" w:hAnsi="SYMBOL"/>
                <w:color w:val="B94831"/>
                <w:sz w:val="12"/>
              </w:rPr>
              <w:t>·</w:t>
            </w:r>
            <w:r>
              <w:rPr>
                <w:rFonts w:ascii="arial" w:hAnsi="arial"/>
                <w:sz w:val="20"/>
              </w:rPr>
              <w:t>   Opt-out deadline (for registered shareholders)*</w:t>
            </w:r>
          </w:p>
        </w:tc>
        <w:tc>
          <w:tcPr>
            <w:tcW w:w="102" w:type="dxa"/>
            <w:tcBorders/>
            <w:shd w:fill="BFBFBF" w:val="clear"/>
            <w:vAlign w:val="bottom"/>
          </w:tcPr>
          <w:p>
            <w:pPr>
              <w:pStyle w:val="TableContents"/>
              <w:spacing w:before="0" w:after="283"/>
              <w:rPr/>
            </w:pPr>
            <w:r>
              <w:rPr/>
              <w:t> </w:t>
            </w:r>
          </w:p>
        </w:tc>
        <w:tc>
          <w:tcPr>
            <w:tcW w:w="4899" w:type="dxa"/>
            <w:tcBorders/>
            <w:shd w:fill="BFBFBF" w:val="clear"/>
            <w:vAlign w:val="bottom"/>
          </w:tcPr>
          <w:p>
            <w:pPr>
              <w:pStyle w:val="TableContents"/>
              <w:spacing w:before="0" w:after="283"/>
              <w:rPr/>
            </w:pPr>
            <w:r>
              <w:rPr/>
              <w:t>June 13, 2023 at 5:00 p.m.</w:t>
            </w:r>
          </w:p>
        </w:tc>
      </w:tr>
      <w:tr>
        <w:trPr>
          <w:trHeight w:val="120" w:hRule="atLeast"/>
        </w:trPr>
        <w:tc>
          <w:tcPr>
            <w:tcW w:w="203" w:type="dxa"/>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r>
      <w:tr>
        <w:trPr/>
        <w:tc>
          <w:tcPr>
            <w:tcW w:w="203" w:type="dxa"/>
            <w:tcBorders/>
            <w:shd w:fill="BFBFBF" w:val="clear"/>
          </w:tcPr>
          <w:p>
            <w:pPr>
              <w:pStyle w:val="TableContents"/>
              <w:spacing w:before="0" w:after="283"/>
              <w:rPr>
                <w:sz w:val="4"/>
                <w:szCs w:val="4"/>
              </w:rPr>
            </w:pPr>
            <w:r>
              <w:rPr>
                <w:sz w:val="4"/>
                <w:szCs w:val="4"/>
              </w:rPr>
            </w:r>
          </w:p>
        </w:tc>
        <w:tc>
          <w:tcPr>
            <w:tcW w:w="102" w:type="dxa"/>
            <w:tcBorders/>
            <w:shd w:fill="BFBFBF" w:val="clear"/>
            <w:vAlign w:val="bottom"/>
          </w:tcPr>
          <w:p>
            <w:pPr>
              <w:pStyle w:val="TableContents"/>
              <w:spacing w:before="0" w:after="283"/>
              <w:rPr/>
            </w:pPr>
            <w:r>
              <w:rPr/>
              <w:t> </w:t>
            </w:r>
          </w:p>
        </w:tc>
        <w:tc>
          <w:tcPr>
            <w:tcW w:w="4899" w:type="dxa"/>
            <w:tcBorders/>
            <w:shd w:fill="BFBFBF" w:val="clear"/>
          </w:tcPr>
          <w:p>
            <w:pPr>
              <w:pStyle w:val="TableContents"/>
              <w:spacing w:before="0" w:after="0"/>
              <w:rPr>
                <w:rFonts w:ascii="arial" w:hAnsi="arial"/>
                <w:sz w:val="20"/>
              </w:rPr>
            </w:pPr>
            <w:r>
              <w:rPr>
                <w:rFonts w:ascii="SYMBOL" w:hAnsi="SYMBOL"/>
                <w:color w:val="B94831"/>
                <w:sz w:val="12"/>
              </w:rPr>
              <w:t>·</w:t>
            </w:r>
            <w:r>
              <w:rPr>
                <w:rFonts w:ascii="arial" w:hAnsi="arial"/>
                <w:sz w:val="20"/>
              </w:rPr>
              <w:t>   Shareholder meeting</w:t>
            </w:r>
          </w:p>
        </w:tc>
        <w:tc>
          <w:tcPr>
            <w:tcW w:w="102" w:type="dxa"/>
            <w:tcBorders/>
            <w:shd w:fill="BFBFBF" w:val="clear"/>
            <w:vAlign w:val="bottom"/>
          </w:tcPr>
          <w:p>
            <w:pPr>
              <w:pStyle w:val="TableContents"/>
              <w:spacing w:before="0" w:after="283"/>
              <w:rPr/>
            </w:pPr>
            <w:r>
              <w:rPr/>
              <w:t> </w:t>
            </w:r>
          </w:p>
        </w:tc>
        <w:tc>
          <w:tcPr>
            <w:tcW w:w="4899" w:type="dxa"/>
            <w:tcBorders/>
            <w:shd w:fill="BFBFBF" w:val="clear"/>
            <w:vAlign w:val="bottom"/>
          </w:tcPr>
          <w:p>
            <w:pPr>
              <w:pStyle w:val="TableContents"/>
              <w:spacing w:before="0" w:after="283"/>
              <w:rPr/>
            </w:pPr>
            <w:r>
              <w:rPr/>
              <w:t>June 14, 2023 at 12:00 p.m.</w:t>
            </w:r>
          </w:p>
        </w:tc>
      </w:tr>
      <w:tr>
        <w:trPr>
          <w:trHeight w:val="120" w:hRule="atLeast"/>
        </w:trPr>
        <w:tc>
          <w:tcPr>
            <w:tcW w:w="203" w:type="dxa"/>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r>
      <w:tr>
        <w:trPr/>
        <w:tc>
          <w:tcPr>
            <w:tcW w:w="203" w:type="dxa"/>
            <w:tcBorders/>
            <w:shd w:fill="BFBFBF" w:val="clear"/>
          </w:tcPr>
          <w:p>
            <w:pPr>
              <w:pStyle w:val="TableContents"/>
              <w:spacing w:before="0" w:after="283"/>
              <w:rPr>
                <w:sz w:val="4"/>
                <w:szCs w:val="4"/>
              </w:rPr>
            </w:pPr>
            <w:r>
              <w:rPr>
                <w:sz w:val="4"/>
                <w:szCs w:val="4"/>
              </w:rPr>
            </w:r>
          </w:p>
        </w:tc>
        <w:tc>
          <w:tcPr>
            <w:tcW w:w="102" w:type="dxa"/>
            <w:tcBorders/>
            <w:shd w:fill="BFBFBF" w:val="clear"/>
            <w:vAlign w:val="bottom"/>
          </w:tcPr>
          <w:p>
            <w:pPr>
              <w:pStyle w:val="TableContents"/>
              <w:spacing w:before="0" w:after="283"/>
              <w:rPr/>
            </w:pPr>
            <w:r>
              <w:rPr/>
              <w:t> </w:t>
            </w:r>
          </w:p>
        </w:tc>
        <w:tc>
          <w:tcPr>
            <w:tcW w:w="4899" w:type="dxa"/>
            <w:tcBorders/>
            <w:shd w:fill="BFBFBF" w:val="clear"/>
          </w:tcPr>
          <w:p>
            <w:pPr>
              <w:pStyle w:val="TableContents"/>
              <w:spacing w:before="0" w:after="0"/>
              <w:rPr>
                <w:rFonts w:ascii="arial" w:hAnsi="arial"/>
                <w:sz w:val="20"/>
              </w:rPr>
            </w:pPr>
            <w:r>
              <w:rPr>
                <w:rFonts w:ascii="SYMBOL" w:hAnsi="SYMBOL"/>
                <w:color w:val="B94831"/>
                <w:sz w:val="12"/>
              </w:rPr>
              <w:t>·</w:t>
            </w:r>
            <w:r>
              <w:rPr>
                <w:rFonts w:ascii="arial" w:hAnsi="arial"/>
                <w:sz w:val="20"/>
              </w:rPr>
              <w:t>   Application for Final Order with the Court</w:t>
            </w:r>
          </w:p>
        </w:tc>
        <w:tc>
          <w:tcPr>
            <w:tcW w:w="102" w:type="dxa"/>
            <w:tcBorders/>
            <w:shd w:fill="BFBFBF" w:val="clear"/>
            <w:vAlign w:val="bottom"/>
          </w:tcPr>
          <w:p>
            <w:pPr>
              <w:pStyle w:val="TableContents"/>
              <w:spacing w:before="0" w:after="283"/>
              <w:rPr/>
            </w:pPr>
            <w:r>
              <w:rPr/>
              <w:t> </w:t>
            </w:r>
          </w:p>
        </w:tc>
        <w:tc>
          <w:tcPr>
            <w:tcW w:w="4899" w:type="dxa"/>
            <w:tcBorders/>
            <w:shd w:fill="BFBFBF" w:val="clear"/>
            <w:vAlign w:val="bottom"/>
          </w:tcPr>
          <w:p>
            <w:pPr>
              <w:pStyle w:val="TableContents"/>
              <w:spacing w:before="0" w:after="283"/>
              <w:rPr/>
            </w:pPr>
            <w:r>
              <w:rPr/>
              <w:t>June 16, 2023 at 10:00 a.m.</w:t>
            </w:r>
          </w:p>
        </w:tc>
      </w:tr>
      <w:tr>
        <w:trPr>
          <w:trHeight w:val="120" w:hRule="atLeast"/>
        </w:trPr>
        <w:tc>
          <w:tcPr>
            <w:tcW w:w="203" w:type="dxa"/>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r>
      <w:tr>
        <w:trPr/>
        <w:tc>
          <w:tcPr>
            <w:tcW w:w="203" w:type="dxa"/>
            <w:tcBorders/>
            <w:shd w:fill="BFBFBF" w:val="clear"/>
          </w:tcPr>
          <w:p>
            <w:pPr>
              <w:pStyle w:val="TableContents"/>
              <w:spacing w:before="0" w:after="283"/>
              <w:rPr>
                <w:sz w:val="4"/>
                <w:szCs w:val="4"/>
              </w:rPr>
            </w:pPr>
            <w:r>
              <w:rPr>
                <w:sz w:val="4"/>
                <w:szCs w:val="4"/>
              </w:rPr>
            </w:r>
          </w:p>
        </w:tc>
        <w:tc>
          <w:tcPr>
            <w:tcW w:w="102" w:type="dxa"/>
            <w:tcBorders/>
            <w:shd w:fill="BFBFBF" w:val="clear"/>
            <w:vAlign w:val="bottom"/>
          </w:tcPr>
          <w:p>
            <w:pPr>
              <w:pStyle w:val="TableContents"/>
              <w:spacing w:before="0" w:after="283"/>
              <w:rPr/>
            </w:pPr>
            <w:r>
              <w:rPr/>
              <w:t> </w:t>
            </w:r>
          </w:p>
        </w:tc>
        <w:tc>
          <w:tcPr>
            <w:tcW w:w="4899" w:type="dxa"/>
            <w:tcBorders/>
            <w:shd w:fill="BFBFBF" w:val="clear"/>
          </w:tcPr>
          <w:p>
            <w:pPr>
              <w:pStyle w:val="TableContents"/>
              <w:spacing w:before="0" w:after="0"/>
              <w:rPr>
                <w:rFonts w:ascii="arial" w:hAnsi="arial"/>
                <w:sz w:val="20"/>
              </w:rPr>
            </w:pPr>
            <w:r>
              <w:rPr>
                <w:rFonts w:ascii="SYMBOL" w:hAnsi="SYMBOL"/>
                <w:color w:val="B94831"/>
                <w:sz w:val="12"/>
              </w:rPr>
              <w:t>·</w:t>
            </w:r>
            <w:r>
              <w:rPr>
                <w:rFonts w:ascii="arial" w:hAnsi="arial"/>
                <w:sz w:val="20"/>
              </w:rPr>
              <w:t>   Determination of Share Consolidation Ratio</w:t>
            </w:r>
          </w:p>
        </w:tc>
        <w:tc>
          <w:tcPr>
            <w:tcW w:w="102" w:type="dxa"/>
            <w:tcBorders/>
            <w:shd w:fill="BFBFBF" w:val="clear"/>
            <w:vAlign w:val="bottom"/>
          </w:tcPr>
          <w:p>
            <w:pPr>
              <w:pStyle w:val="TableContents"/>
              <w:spacing w:before="0" w:after="283"/>
              <w:rPr/>
            </w:pPr>
            <w:r>
              <w:rPr/>
              <w:t> </w:t>
            </w:r>
          </w:p>
        </w:tc>
        <w:tc>
          <w:tcPr>
            <w:tcW w:w="4899" w:type="dxa"/>
            <w:tcBorders/>
            <w:shd w:fill="BFBFBF" w:val="clear"/>
            <w:vAlign w:val="bottom"/>
          </w:tcPr>
          <w:p>
            <w:pPr>
              <w:pStyle w:val="TableContents"/>
              <w:spacing w:before="0" w:after="283"/>
              <w:rPr/>
            </w:pPr>
            <w:r>
              <w:rPr/>
              <w:t>June 22, 2023 after 4:00 p.m.</w:t>
            </w:r>
          </w:p>
        </w:tc>
      </w:tr>
      <w:tr>
        <w:trPr>
          <w:trHeight w:val="120" w:hRule="atLeast"/>
        </w:trPr>
        <w:tc>
          <w:tcPr>
            <w:tcW w:w="203" w:type="dxa"/>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c>
          <w:tcPr>
            <w:tcW w:w="5001" w:type="dxa"/>
            <w:gridSpan w:val="2"/>
            <w:tcBorders/>
            <w:shd w:fill="BFBFBF" w:val="clear"/>
            <w:vAlign w:val="center"/>
          </w:tcPr>
          <w:p>
            <w:pPr>
              <w:pStyle w:val="TableContents"/>
              <w:spacing w:before="0" w:after="283"/>
              <w:rPr>
                <w:sz w:val="4"/>
                <w:szCs w:val="4"/>
              </w:rPr>
            </w:pPr>
            <w:r>
              <w:rPr>
                <w:sz w:val="4"/>
                <w:szCs w:val="4"/>
              </w:rPr>
            </w:r>
          </w:p>
        </w:tc>
      </w:tr>
      <w:tr>
        <w:trPr/>
        <w:tc>
          <w:tcPr>
            <w:tcW w:w="203" w:type="dxa"/>
            <w:tcBorders>
              <w:bottom w:val="single" w:sz="8" w:space="0" w:color="B94831"/>
            </w:tcBorders>
            <w:shd w:fill="BFBFBF" w:val="clear"/>
            <w:tcMar>
              <w:bottom w:w="28" w:type="dxa"/>
            </w:tcMar>
          </w:tcPr>
          <w:p>
            <w:pPr>
              <w:pStyle w:val="TableContents"/>
              <w:rPr/>
            </w:pPr>
            <w:r>
              <w:rPr/>
              <w:t> </w:t>
            </w:r>
          </w:p>
          <w:p>
            <w:pPr>
              <w:pStyle w:val="TableContents"/>
              <w:spacing w:before="0" w:after="0"/>
              <w:rPr/>
            </w:pPr>
            <w:r>
              <w:rPr/>
              <w:t> </w:t>
            </w:r>
          </w:p>
        </w:tc>
        <w:tc>
          <w:tcPr>
            <w:tcW w:w="102" w:type="dxa"/>
            <w:tcBorders>
              <w:bottom w:val="single" w:sz="8" w:space="0" w:color="B94831"/>
            </w:tcBorders>
            <w:shd w:fill="BFBFBF" w:val="clear"/>
            <w:tcMar>
              <w:bottom w:w="28" w:type="dxa"/>
            </w:tcMar>
            <w:vAlign w:val="bottom"/>
          </w:tcPr>
          <w:p>
            <w:pPr>
              <w:pStyle w:val="TableContents"/>
              <w:spacing w:before="0" w:after="283"/>
              <w:rPr/>
            </w:pPr>
            <w:r>
              <w:rPr/>
              <w:t> </w:t>
            </w:r>
          </w:p>
        </w:tc>
        <w:tc>
          <w:tcPr>
            <w:tcW w:w="4899" w:type="dxa"/>
            <w:tcBorders>
              <w:bottom w:val="single" w:sz="8" w:space="0" w:color="B94831"/>
            </w:tcBorders>
            <w:shd w:fill="BFBFBF" w:val="clear"/>
            <w:tcMar>
              <w:bottom w:w="28" w:type="dxa"/>
            </w:tcMar>
          </w:tcPr>
          <w:p>
            <w:pPr>
              <w:pStyle w:val="TableContents"/>
              <w:spacing w:before="0" w:after="0"/>
              <w:rPr>
                <w:rFonts w:ascii="arial" w:hAnsi="arial"/>
                <w:sz w:val="20"/>
              </w:rPr>
            </w:pPr>
            <w:r>
              <w:rPr>
                <w:rFonts w:ascii="SYMBOL" w:hAnsi="SYMBOL"/>
                <w:color w:val="B94831"/>
                <w:sz w:val="12"/>
              </w:rPr>
              <w:t>·</w:t>
            </w:r>
            <w:r>
              <w:rPr>
                <w:rFonts w:ascii="arial" w:hAnsi="arial"/>
                <w:sz w:val="20"/>
              </w:rPr>
              <w:t>   Effective Date and Time</w:t>
            </w:r>
          </w:p>
          <w:p>
            <w:pPr>
              <w:pStyle w:val="TableContents"/>
              <w:spacing w:before="0" w:after="20"/>
              <w:rPr/>
            </w:pPr>
            <w:r>
              <w:rPr/>
              <w:t> </w:t>
            </w:r>
          </w:p>
        </w:tc>
        <w:tc>
          <w:tcPr>
            <w:tcW w:w="102" w:type="dxa"/>
            <w:tcBorders>
              <w:bottom w:val="single" w:sz="8" w:space="0" w:color="B94831"/>
            </w:tcBorders>
            <w:shd w:fill="BFBFBF" w:val="clear"/>
            <w:tcMar>
              <w:bottom w:w="28" w:type="dxa"/>
            </w:tcMar>
            <w:vAlign w:val="bottom"/>
          </w:tcPr>
          <w:p>
            <w:pPr>
              <w:pStyle w:val="TableContents"/>
              <w:spacing w:before="0" w:after="283"/>
              <w:rPr/>
            </w:pPr>
            <w:r>
              <w:rPr/>
              <w:t> </w:t>
            </w:r>
          </w:p>
        </w:tc>
        <w:tc>
          <w:tcPr>
            <w:tcW w:w="4899" w:type="dxa"/>
            <w:tcBorders>
              <w:bottom w:val="single" w:sz="8" w:space="0" w:color="B94831"/>
            </w:tcBorders>
            <w:shd w:fill="BFBFBF" w:val="clear"/>
            <w:tcMar>
              <w:bottom w:w="28" w:type="dxa"/>
            </w:tcMar>
            <w:vAlign w:val="bottom"/>
          </w:tcPr>
          <w:p>
            <w:pPr>
              <w:pStyle w:val="TableContents"/>
              <w:spacing w:before="0" w:after="0"/>
              <w:rPr>
                <w:rFonts w:ascii="arial" w:hAnsi="arial"/>
                <w:sz w:val="20"/>
              </w:rPr>
            </w:pPr>
            <w:r>
              <w:rPr>
                <w:rFonts w:ascii="arial" w:hAnsi="arial"/>
                <w:sz w:val="20"/>
              </w:rPr>
              <w:t>June 23, 2023 at 3:01 a.m.</w:t>
            </w:r>
          </w:p>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16"/>
              </w:rPr>
            </w:pPr>
            <w:r>
              <w:rPr>
                <w:rFonts w:ascii="Arial" w:hAnsi="Arial"/>
                <w:b/>
                <w:sz w:val="16"/>
              </w:rPr>
              <w:t>The opt-out deadline for non-registered shareholders is expected to be earlier than this date and time, as specified by intermediaries to non-registered shareholders.</w:t>
            </w:r>
            <w:r>
              <w:rPr>
                <w:rFonts w:ascii="arial" w:hAnsi="arial"/>
                <w:sz w:val="16"/>
              </w:rPr>
              <w:t xml:space="preserve"> </w:t>
            </w:r>
          </w:p>
        </w:tc>
      </w:tr>
    </w:tbl>
    <w:p>
      <w:pPr>
        <w:pStyle w:val="TextBody"/>
        <w:spacing w:before="120" w:after="0"/>
        <w:jc w:val="left"/>
        <w:rPr>
          <w:rFonts w:ascii="arial" w:hAnsi="arial"/>
          <w:color w:val="B94831"/>
          <w:sz w:val="28"/>
        </w:rPr>
      </w:pPr>
      <w:r>
        <w:rPr>
          <w:rFonts w:ascii="arial" w:hAnsi="arial"/>
          <w:color w:val="B94831"/>
          <w:sz w:val="28"/>
        </w:rPr>
        <w:t xml:space="preserve">What special business will be conducted at the meeting? </w:t>
      </w:r>
    </w:p>
    <w:p>
      <w:pPr>
        <w:pStyle w:val="TextBody"/>
        <w:spacing w:before="40" w:after="0"/>
        <w:jc w:val="left"/>
        <w:rPr>
          <w:rFonts w:ascii="arial" w:hAnsi="arial"/>
          <w:sz w:val="20"/>
        </w:rPr>
      </w:pPr>
      <w:r>
        <w:rPr>
          <w:rFonts w:ascii="arial" w:hAnsi="arial"/>
          <w:sz w:val="20"/>
        </w:rPr>
        <w:t xml:space="preserve">In addition to the other items of business to be considered at the meeting, at the meeting shareholders will consider and vote on a special resolution (attached as Appendix B to this circular) to approve the Return of Capital Transaction that consists of a cash distribution of US$4.67 per common share and a consolidation of our outstanding common shares (or reverse stock split) on a basis that is proportional to the cash distribution.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Why are we proposing the Return of Capital Transaction? </w:t>
      </w:r>
    </w:p>
    <w:p>
      <w:pPr>
        <w:pStyle w:val="TextBody"/>
        <w:spacing w:before="40" w:after="0"/>
        <w:jc w:val="left"/>
        <w:rPr>
          <w:rFonts w:ascii="arial" w:hAnsi="arial"/>
          <w:sz w:val="20"/>
        </w:rPr>
      </w:pPr>
      <w:r>
        <w:rPr>
          <w:rFonts w:ascii="arial" w:hAnsi="arial"/>
          <w:sz w:val="20"/>
        </w:rPr>
        <w:t xml:space="preserve">In January 2021, we closed the LSEG Transaction. During negotiation of the LSEG Transaction and following its closing, management discussed potential uses of the proceeds from the eventual sale of LSEG shares with the board of directors at scheduled meetings. We committed to our shareholders that the proceeds would be used to pursue organic and inorganic opportunities in key growth segments and provide returns to shareholders. We are now proposing the Return of Capital Transaction to return US$2.2 billion of the gross proceeds derived from sales of LSEG shares to our shareholders. </w:t>
      </w:r>
    </w:p>
    <w:p>
      <w:pPr>
        <w:pStyle w:val="TextBody"/>
        <w:spacing w:before="120" w:after="0"/>
        <w:jc w:val="left"/>
        <w:rPr>
          <w:rFonts w:ascii="arial" w:hAnsi="arial"/>
          <w:color w:val="B94831"/>
          <w:sz w:val="28"/>
        </w:rPr>
      </w:pPr>
      <w:r>
        <w:rPr>
          <w:rFonts w:ascii="arial" w:hAnsi="arial"/>
          <w:color w:val="B94831"/>
          <w:sz w:val="28"/>
        </w:rPr>
        <w:t xml:space="preserve">What effect will the Return of Capital Transaction have on my shares? </w:t>
      </w:r>
    </w:p>
    <w:p>
      <w:pPr>
        <w:pStyle w:val="TextBody"/>
        <w:spacing w:before="40" w:after="0"/>
        <w:jc w:val="left"/>
        <w:rPr>
          <w:rFonts w:ascii="arial" w:hAnsi="arial"/>
          <w:sz w:val="20"/>
        </w:rPr>
      </w:pPr>
      <w:r>
        <w:rPr>
          <w:rFonts w:ascii="arial" w:hAnsi="arial"/>
          <w:sz w:val="20"/>
        </w:rPr>
        <w:t xml:space="preserve">You will receive a cash distribution of US$4.67 for each share that you hold and your shares will be consolidated on a basis that is proportional to the cash distribution. Eligible Opt-Out Shareholders may opt out of the transaction as described in this circular. Thomson Reuters Series II preference shares will not participate in the Return of Capital Transaction.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53390"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3390" cy="257175"/>
                    </a:xfrm>
                    <a:prstGeom prst="rect">
                      <a:avLst/>
                    </a:prstGeom>
                  </pic:spPr>
                </pic:pic>
              </a:graphicData>
            </a:graphic>
          </wp:inline>
        </w:drawing>
      </w:r>
      <w:r>
        <w:rPr/>
        <w:t xml:space="preserve"> </w:t>
      </w:r>
    </w:p>
    <w:p>
      <w:pPr>
        <w:pStyle w:val="TextBody"/>
        <w:spacing w:before="120" w:after="0"/>
        <w:jc w:val="left"/>
        <w:rPr>
          <w:rFonts w:ascii="arial" w:hAnsi="arial"/>
          <w:sz w:val="20"/>
        </w:rPr>
      </w:pPr>
      <w:r>
        <w:rPr>
          <w:rFonts w:ascii="arial" w:hAnsi="arial"/>
          <w:sz w:val="20"/>
        </w:rPr>
        <w:t xml:space="preserve">The cash distribution amount and any cash payable in respect of fractional share entitlements will be denominated in U.S. dollars. The Depositarys currency exchange services will be used to convert payment of these amounts based on the address of record of each registered participating shareholder. For more information, see the Terms of the Arrangement  Exchange Procedure  Currency section of this circular below. </w:t>
      </w:r>
    </w:p>
    <w:p>
      <w:pPr>
        <w:pStyle w:val="TextBody"/>
        <w:spacing w:before="120" w:after="0"/>
        <w:jc w:val="left"/>
        <w:rPr>
          <w:rFonts w:ascii="arial" w:hAnsi="arial"/>
          <w:color w:val="B94831"/>
          <w:sz w:val="28"/>
        </w:rPr>
      </w:pPr>
      <w:r>
        <w:rPr>
          <w:rFonts w:ascii="arial" w:hAnsi="arial"/>
          <w:color w:val="B94831"/>
          <w:sz w:val="28"/>
        </w:rPr>
        <w:t xml:space="preserve">How do I participate in the Return of Capital Transaction? </w:t>
      </w:r>
    </w:p>
    <w:p>
      <w:pPr>
        <w:pStyle w:val="TextBody"/>
        <w:spacing w:before="40" w:after="0"/>
        <w:jc w:val="left"/>
        <w:rPr>
          <w:rFonts w:ascii="arial" w:hAnsi="arial"/>
          <w:sz w:val="20"/>
        </w:rPr>
      </w:pPr>
      <w:r>
        <w:rPr>
          <w:rFonts w:ascii="arial" w:hAnsi="arial"/>
          <w:sz w:val="20"/>
        </w:rPr>
        <w:t xml:space="preserve">Participation will be mandatory for all shareholders except Eligible Opt-Out Shareholders will have the right to opt out. </w:t>
      </w:r>
    </w:p>
    <w:p>
      <w:pPr>
        <w:pStyle w:val="TextBody"/>
        <w:spacing w:before="120" w:after="0"/>
        <w:jc w:val="left"/>
        <w:rPr>
          <w:rFonts w:ascii="arial" w:hAnsi="arial"/>
          <w:sz w:val="20"/>
        </w:rPr>
      </w:pPr>
      <w:r>
        <w:rPr>
          <w:rFonts w:ascii="arial" w:hAnsi="arial"/>
          <w:sz w:val="20"/>
        </w:rPr>
        <w:t xml:space="preserve">If you are a </w:t>
      </w:r>
      <w:r>
        <w:rPr>
          <w:rFonts w:ascii="arial" w:hAnsi="arial"/>
          <w:i/>
          <w:sz w:val="20"/>
        </w:rPr>
        <w:t>registered participating shareholder</w:t>
      </w:r>
      <w:r>
        <w:rPr>
          <w:rFonts w:ascii="arial" w:hAnsi="arial"/>
          <w:sz w:val="20"/>
        </w:rPr>
        <w:t xml:space="preserve"> holding physical share certificate(s) in your own name, your share certificates will need to be updated to reflect the share consolidation. Unless indicated in your Letter of Transmittal, you will receive a new DRS statement instead of a new physical share certificate reflecting the share consolidation. To receive such DRS statement(s) or share certificate(s), you should deliver your current share certificate(s), together with a duly completed and executed Letter of Transmittal and such additional documents and instruments as may be required by the Depositary or our company, to Computershare Investor Services Inc. at the address set out under the question </w:t>
      </w:r>
      <w:r>
        <w:rPr>
          <w:rFonts w:ascii="arial" w:hAnsi="arial"/>
          <w:i/>
          <w:sz w:val="20"/>
        </w:rPr>
        <w:t>Who should I contact if I have any questions</w:t>
      </w:r>
      <w:r>
        <w:rPr>
          <w:rFonts w:ascii="arial" w:hAnsi="arial"/>
          <w:sz w:val="20"/>
        </w:rPr>
        <w:t xml:space="preserve">?. If you are a registered participating shareholder holding your shares in book-entry form through DRS, you are not required to submit a Letter of Transmittal. Our transfer agent, Computershare Trust Company of Canada, will update your DRS position to reflect the number of shares that you are entitled to receive after the share consolidation. </w:t>
      </w:r>
    </w:p>
    <w:p>
      <w:pPr>
        <w:pStyle w:val="TextBody"/>
        <w:spacing w:before="120" w:after="0"/>
        <w:jc w:val="left"/>
        <w:rPr>
          <w:rFonts w:ascii="arial" w:hAnsi="arial"/>
          <w:sz w:val="20"/>
        </w:rPr>
      </w:pPr>
      <w:r>
        <w:rPr>
          <w:rFonts w:ascii="arial" w:hAnsi="arial"/>
          <w:sz w:val="20"/>
        </w:rPr>
        <w:t xml:space="preserve">If you are a </w:t>
      </w:r>
      <w:r>
        <w:rPr>
          <w:rFonts w:ascii="arial" w:hAnsi="arial"/>
          <w:i/>
          <w:sz w:val="20"/>
        </w:rPr>
        <w:t>non-registered participating shareholder</w:t>
      </w:r>
      <w:r>
        <w:rPr>
          <w:rFonts w:ascii="arial" w:hAnsi="arial"/>
          <w:sz w:val="20"/>
        </w:rPr>
        <w:t xml:space="preserve"> holding shares indirectly and the shares are registered in the name of an intermediary (such as an investment dealer, stock broker, bank, trust company or other nominee or intermediary, or Computershare Company Nominees Limited as nominee and custodian), your intermediary will record the share consolidation in your account. You should contact your intermediary if you have any questions regarding this process. </w:t>
      </w:r>
    </w:p>
    <w:p>
      <w:pPr>
        <w:pStyle w:val="TextBody"/>
        <w:spacing w:before="120" w:after="0"/>
        <w:jc w:val="left"/>
        <w:rPr>
          <w:rFonts w:ascii="arial" w:hAnsi="arial"/>
          <w:sz w:val="20"/>
        </w:rPr>
      </w:pPr>
      <w:r>
        <w:rPr>
          <w:rFonts w:ascii="arial" w:hAnsi="arial"/>
          <w:sz w:val="20"/>
        </w:rPr>
        <w:t xml:space="preserve">If you are a </w:t>
      </w:r>
      <w:r>
        <w:rPr>
          <w:rFonts w:ascii="arial" w:hAnsi="arial"/>
          <w:i/>
          <w:sz w:val="20"/>
        </w:rPr>
        <w:t>registered or non-registered opting-out shareholder</w:t>
      </w:r>
      <w:r>
        <w:rPr>
          <w:rFonts w:ascii="arial" w:hAnsi="arial"/>
          <w:sz w:val="20"/>
        </w:rPr>
        <w:t>, see the questions below entitled </w:t>
      </w:r>
      <w:r>
        <w:rPr>
          <w:rFonts w:ascii="arial" w:hAnsi="arial"/>
          <w:i/>
          <w:sz w:val="20"/>
        </w:rPr>
        <w:t>Who can opt out of the Return of Capital Transaction and why</w:t>
      </w:r>
      <w:r>
        <w:rPr>
          <w:rFonts w:ascii="arial" w:hAnsi="arial"/>
          <w:sz w:val="20"/>
        </w:rPr>
        <w:t>?</w:t>
      </w:r>
      <w:r>
        <w:rPr>
          <w:rFonts w:ascii="arial" w:hAnsi="arial"/>
          <w:i/>
          <w:sz w:val="20"/>
        </w:rPr>
        <w:t xml:space="preserve"> and </w:t>
      </w:r>
      <w:r>
        <w:rPr>
          <w:rFonts w:ascii="arial" w:hAnsi="arial"/>
          <w:sz w:val="20"/>
        </w:rPr>
        <w:t></w:t>
      </w:r>
      <w:r>
        <w:rPr>
          <w:rFonts w:ascii="arial" w:hAnsi="arial"/>
          <w:i/>
          <w:sz w:val="20"/>
        </w:rPr>
        <w:t>If I am an Eligible Opt-Out Shareholder, how do I opt out of the Return of Capital Transaction</w:t>
      </w:r>
      <w:r>
        <w:rPr>
          <w:rFonts w:ascii="arial" w:hAnsi="arial"/>
          <w:sz w:val="20"/>
        </w:rPr>
        <w:t>?</w:t>
      </w:r>
      <w:r>
        <w:rPr>
          <w:rFonts w:ascii="arial" w:hAnsi="arial"/>
          <w:i/>
          <w:sz w:val="20"/>
        </w:rPr>
        <w:t>.</w:t>
      </w:r>
      <w:r>
        <w:rPr>
          <w:rFonts w:ascii="arial" w:hAnsi="arial"/>
          <w:sz w:val="20"/>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What are the income tax consequences of the Return of Capital Transaction? </w:t>
      </w:r>
    </w:p>
    <w:p>
      <w:pPr>
        <w:pStyle w:val="TextBody"/>
        <w:spacing w:before="40" w:after="0"/>
        <w:jc w:val="left"/>
        <w:rPr>
          <w:rFonts w:ascii="arial" w:hAnsi="arial"/>
          <w:sz w:val="20"/>
        </w:rPr>
      </w:pPr>
      <w:r>
        <w:rPr>
          <w:rFonts w:ascii="arial" w:hAnsi="arial"/>
          <w:sz w:val="20"/>
        </w:rPr>
        <w:t xml:space="preserve">For Canadian federal income tax purposes, the Return of Capital Transaction is not expected to give rise to a dividend on the common shares for any shareholder, whether a Canadian Resident Shareholder or a Non-Canadian Resident Shareholder. For Canadian federal income tax purposes, the Return of Capital Transaction will generally not give rise to a capital gain in respect of the common shares unless the amount of cash received by a participating shareholder exceeds the adjusted cost base of the common shares to the participating shareholder. In that case, a Non-Canadian Resident Shareholder would not be subject to Canadian federal income tax unless the common shares are taxable Canadian property to the Non-Canadian Resident Shareholder. Opting-out shareholders that do not participate in the Return of Capital Transaction will not incur any Canadian federal income tax liability solely as a result of the consummation of the Return of Capital Transaction. </w:t>
      </w:r>
    </w:p>
    <w:p>
      <w:pPr>
        <w:pStyle w:val="TextBody"/>
        <w:spacing w:before="120" w:after="0"/>
        <w:jc w:val="left"/>
        <w:rPr>
          <w:rFonts w:ascii="arial" w:hAnsi="arial"/>
          <w:sz w:val="20"/>
        </w:rPr>
      </w:pPr>
      <w:r>
        <w:rPr>
          <w:rFonts w:ascii="arial" w:hAnsi="arial"/>
          <w:sz w:val="20"/>
        </w:rPr>
        <w:t xml:space="preserve">For U.S. federal income tax purposes, the Return of Capital Transaction generally will be treated with respect to a participating U.S. Holder (as defined in the Income Tax Considerations  Certain U.S. Federal Income Tax Considerations section of this circular) either as (a) a sale or exchange eligible for capital gain or loss treatment or (b) a distribution in respect of common shares, depending on the circumstances. Subject to certain assumptions, opting-out shareholders that do not participate in the Return of Capital Transaction should not incur any U.S. federal income tax liability solely as a result of the consummation of the Return of Capital Transaction. </w:t>
      </w:r>
    </w:p>
    <w:p>
      <w:pPr>
        <w:pStyle w:val="TextBody"/>
        <w:spacing w:before="120" w:after="0"/>
        <w:jc w:val="left"/>
        <w:rPr>
          <w:rFonts w:ascii="arial" w:hAnsi="arial"/>
          <w:sz w:val="20"/>
        </w:rPr>
      </w:pPr>
      <w:r>
        <w:rPr>
          <w:rFonts w:ascii="arial" w:hAnsi="arial"/>
          <w:sz w:val="20"/>
        </w:rPr>
        <w:t xml:space="preserve">Certain Canadian federal income tax considerations and certain U.S. federal income tax considerations are described in general terms in the Income Tax Considerations section of this circular. Shareholders are urged to carefully consider the income tax consequences of participating in the Return of Capital Transaction and to consult their own tax advisors in this regard. </w:t>
      </w:r>
    </w:p>
    <w:p>
      <w:pPr>
        <w:pStyle w:val="TextBody"/>
        <w:spacing w:before="120" w:after="0"/>
        <w:jc w:val="left"/>
        <w:rPr>
          <w:rFonts w:ascii="arial" w:hAnsi="arial"/>
          <w:sz w:val="20"/>
        </w:rPr>
      </w:pPr>
      <w:r>
        <w:rPr>
          <w:rFonts w:ascii="arial" w:hAnsi="arial"/>
          <w:sz w:val="20"/>
        </w:rPr>
        <w:t xml:space="preserve">This document does not address tax consequences to shareholders subject to tax in jurisdictions other than Canada and the United States. We encourage such shareholders to seek their own tax advice on these transactions. </w:t>
      </w:r>
    </w:p>
    <w:p>
      <w:pPr>
        <w:pStyle w:val="TextBody"/>
        <w:spacing w:before="120" w:after="0"/>
        <w:jc w:val="left"/>
        <w:rPr>
          <w:rFonts w:ascii="arial" w:hAnsi="arial"/>
          <w:color w:val="B94831"/>
          <w:sz w:val="28"/>
        </w:rPr>
      </w:pPr>
      <w:r>
        <w:rPr>
          <w:rFonts w:ascii="arial" w:hAnsi="arial"/>
          <w:color w:val="B94831"/>
          <w:sz w:val="28"/>
        </w:rPr>
        <w:t xml:space="preserve">Who can opt out of the Return of Capital Transaction and why? </w:t>
      </w:r>
    </w:p>
    <w:p>
      <w:pPr>
        <w:pStyle w:val="TextBody"/>
        <w:spacing w:before="40" w:after="0"/>
        <w:jc w:val="left"/>
        <w:rPr>
          <w:rFonts w:ascii="arial" w:hAnsi="arial"/>
          <w:sz w:val="20"/>
        </w:rPr>
      </w:pPr>
      <w:r>
        <w:rPr>
          <w:rFonts w:ascii="arial" w:hAnsi="arial"/>
          <w:sz w:val="20"/>
        </w:rPr>
        <w:t xml:space="preserve">If you are an Eligible Opt-Out Shareholder, you may opt out of the Return of Capital Transaction. This right to opt out is being provided to those shareholders because in jurisdictions other than Canada the tax consequences of not participating in the Return of Capital Transaction may be preferable to those associated with participating in the Return of Capital Transaction. If you choose to opt out, you will not receive the cash distribution and will continue to hold the same number of shares that you currently hold. </w:t>
      </w:r>
    </w:p>
    <w:p>
      <w:pPr>
        <w:pStyle w:val="TextBody"/>
        <w:spacing w:before="120" w:after="0"/>
        <w:jc w:val="left"/>
        <w:rPr>
          <w:rFonts w:ascii="arial" w:hAnsi="arial"/>
          <w:sz w:val="20"/>
        </w:rPr>
      </w:pPr>
      <w:r>
        <w:rPr>
          <w:rFonts w:ascii="arial" w:hAnsi="arial"/>
          <w:sz w:val="20"/>
        </w:rPr>
        <w:t xml:space="preserve">None of Thomson Reuters, our board of directors, the Information Agent or the Depositary makes any recommendation to any shareholder as to whether to opt out of the Return of Capital Transaction. Shareholders are urged to evaluate carefully all information in this circular, the accompanying Letter of Transmittal and Opt-Out Election and Certification Form, and other materials related to the Return of Capital Transaction, consult their own financial, legal, investment and tax advisors and make their own decisions as to whether to exercise the opt-out right. </w:t>
      </w:r>
    </w:p>
    <w:p>
      <w:pPr>
        <w:pStyle w:val="TextBody"/>
        <w:spacing w:before="120" w:after="0"/>
        <w:jc w:val="left"/>
        <w:rPr>
          <w:rFonts w:ascii="arial" w:hAnsi="arial"/>
          <w:sz w:val="20"/>
        </w:rPr>
      </w:pPr>
      <w:r>
        <w:rPr>
          <w:rFonts w:ascii="arial" w:hAnsi="arial"/>
          <w:sz w:val="20"/>
        </w:rPr>
        <w:t xml:space="preserve">For more information on the opt-out right, see the Terms of the Arrangement  Opt-Out Right section of this circular. </w:t>
      </w:r>
    </w:p>
    <w:p>
      <w:pPr>
        <w:pStyle w:val="TextBody"/>
        <w:spacing w:before="120" w:after="0"/>
        <w:jc w:val="left"/>
        <w:rPr>
          <w:rFonts w:ascii="arial" w:hAnsi="arial"/>
          <w:color w:val="B94831"/>
          <w:sz w:val="28"/>
        </w:rPr>
      </w:pPr>
      <w:r>
        <w:rPr>
          <w:rFonts w:ascii="arial" w:hAnsi="arial"/>
          <w:color w:val="B94831"/>
          <w:sz w:val="28"/>
        </w:rPr>
        <w:t xml:space="preserve">If I am an Eligible Opt-Out Shareholder, how do I opt out of the Return of Capital Transaction? </w:t>
      </w:r>
    </w:p>
    <w:p>
      <w:pPr>
        <w:pStyle w:val="TextBody"/>
        <w:spacing w:before="40" w:after="0"/>
        <w:jc w:val="left"/>
        <w:rPr>
          <w:rFonts w:ascii="arial" w:hAnsi="arial"/>
          <w:sz w:val="20"/>
        </w:rPr>
      </w:pPr>
      <w:r>
        <w:rPr>
          <w:rFonts w:ascii="arial" w:hAnsi="arial"/>
          <w:sz w:val="20"/>
        </w:rPr>
        <w:t xml:space="preserve">If you are an </w:t>
      </w:r>
      <w:r>
        <w:rPr>
          <w:rFonts w:ascii="arial" w:hAnsi="arial"/>
          <w:i/>
          <w:sz w:val="20"/>
        </w:rPr>
        <w:t>eligible registered shareholder</w:t>
      </w:r>
      <w:r>
        <w:rPr>
          <w:rFonts w:ascii="arial" w:hAnsi="arial"/>
          <w:sz w:val="20"/>
        </w:rPr>
        <w:t xml:space="preserve"> and wish to opt out, you must deposit with the Depositary a duly completed Opt-Out Election and Certification Form indicating your election prior to 5:00 p.m. (Eastern Daylight Time) on June 13, 2023. If you are a registered shareholder holding our companys share certificate(s) in your own name, you will also need to complete a Letter of Transmittal and deliver it and any certificates representing your shares to the Depositary by this opt-out deadline. You will be entitled to receive new DRS statements (or share certificates) reflecting the new CUSIP number for the shares. </w:t>
      </w:r>
    </w:p>
    <w:p>
      <w:pPr>
        <w:pStyle w:val="TextBody"/>
        <w:spacing w:before="120" w:after="0"/>
        <w:jc w:val="left"/>
        <w:rPr>
          <w:rFonts w:ascii="arial" w:hAnsi="arial"/>
          <w:sz w:val="20"/>
        </w:rPr>
      </w:pPr>
      <w:r>
        <w:rPr>
          <w:rFonts w:ascii="arial" w:hAnsi="arial"/>
          <w:sz w:val="20"/>
        </w:rPr>
        <w:t xml:space="preserve">If you are a </w:t>
      </w:r>
      <w:r>
        <w:rPr>
          <w:rFonts w:ascii="arial" w:hAnsi="arial"/>
          <w:i/>
          <w:sz w:val="20"/>
        </w:rPr>
        <w:t>non-registered shareholder</w:t>
      </w:r>
      <w:r>
        <w:rPr>
          <w:rFonts w:ascii="arial" w:hAnsi="arial"/>
          <w:sz w:val="20"/>
        </w:rPr>
        <w:t xml:space="preserve">, you should contact your intermediary to exercise the opt-out right. The opt-out deadline for non-registered shareholders is expected to be earlier than the date and time for registered shareholders. The deadline for non-registered shareholders will be specified by intermediaries to such shareholders. Your account will be adjusted by your intermediary to reflect the new CUSIP number for the shares. </w:t>
      </w:r>
    </w:p>
    <w:p>
      <w:pPr>
        <w:pStyle w:val="TextBody"/>
        <w:spacing w:before="120" w:after="0"/>
        <w:jc w:val="left"/>
        <w:rPr>
          <w:rFonts w:ascii="arial" w:hAnsi="arial"/>
          <w:sz w:val="20"/>
        </w:rPr>
      </w:pPr>
      <w:r>
        <w:rPr>
          <w:rFonts w:ascii="arial" w:hAnsi="arial"/>
          <w:sz w:val="20"/>
        </w:rPr>
        <w:t xml:space="preserve">You may withdraw your Opt-Out Election and Certification Form prior to the opt-out deadline, but it is irrevocable thereafter. The deadline for non-registered shareholders will be specified by intermediaries to such shareholders. </w:t>
      </w:r>
    </w:p>
    <w:p>
      <w:pPr>
        <w:pStyle w:val="TextBody"/>
        <w:spacing w:before="120" w:after="0"/>
        <w:jc w:val="left"/>
        <w:rPr>
          <w:rFonts w:ascii="arial" w:hAnsi="arial"/>
          <w:sz w:val="20"/>
        </w:rPr>
      </w:pPr>
      <w:r>
        <w:rPr>
          <w:rFonts w:ascii="arial" w:hAnsi="arial"/>
          <w:sz w:val="20"/>
        </w:rPr>
        <w:t xml:space="preserve">Any shareholder who does not opt out prior to the opt-out deadline will automatically participate in the Return of Capital Transaction without further action, and will therefore receive the cash distribution and have their shares consolidated. </w:t>
      </w:r>
    </w:p>
    <w:p>
      <w:pPr>
        <w:pStyle w:val="TextBody"/>
        <w:spacing w:before="120" w:after="0"/>
        <w:jc w:val="left"/>
        <w:rPr>
          <w:rFonts w:ascii="arial" w:hAnsi="arial"/>
          <w:sz w:val="20"/>
        </w:rPr>
      </w:pPr>
      <w:r>
        <w:rPr>
          <w:rFonts w:ascii="arial" w:hAnsi="arial"/>
          <w:sz w:val="20"/>
        </w:rPr>
        <w:t xml:space="preserve">For more information on the opt-out right, see the Terms of the Arrangement  Opt-Out Right section of this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What happens if I wish to sell or transfer my shares after I have opted out? </w:t>
      </w:r>
    </w:p>
    <w:p>
      <w:pPr>
        <w:pStyle w:val="TextBody"/>
        <w:spacing w:before="40" w:after="0"/>
        <w:jc w:val="left"/>
        <w:rPr>
          <w:rFonts w:ascii="arial" w:hAnsi="arial"/>
          <w:sz w:val="20"/>
        </w:rPr>
      </w:pPr>
      <w:r>
        <w:rPr>
          <w:rFonts w:ascii="arial" w:hAnsi="arial"/>
          <w:sz w:val="20"/>
        </w:rPr>
        <w:t xml:space="preserve">If you are a registered holder and wish to sell or transfer your shares after you have opted out, you must provide written notice to the Depositary prior to the opt-out deadline revoking your election with respect to the shares that you wish to transfer and request the return of such shares to you. Registered shareholders should allow sufficient time for this process in order to transfer deposited shares. Otherwise, you will not be able to transfer your shares until after the Return of Capital Transaction is completed. If you are a non-registered shareholder, you must contact your intermediary to revoke your opt-out prior to effecting such transfer. </w:t>
      </w:r>
    </w:p>
    <w:p>
      <w:pPr>
        <w:pStyle w:val="TextBody"/>
        <w:spacing w:before="120" w:after="0"/>
        <w:jc w:val="left"/>
        <w:rPr>
          <w:rFonts w:ascii="arial" w:hAnsi="arial"/>
          <w:color w:val="B94831"/>
          <w:sz w:val="28"/>
        </w:rPr>
      </w:pPr>
      <w:r>
        <w:rPr>
          <w:rFonts w:ascii="arial" w:hAnsi="arial"/>
          <w:color w:val="B94831"/>
          <w:sz w:val="28"/>
        </w:rPr>
        <w:t xml:space="preserve">How many votes are required to approve the Return of Capital Transaction? </w:t>
      </w:r>
    </w:p>
    <w:p>
      <w:pPr>
        <w:pStyle w:val="TextBody"/>
        <w:spacing w:before="40" w:after="0"/>
        <w:jc w:val="left"/>
        <w:rPr>
          <w:rFonts w:ascii="arial" w:hAnsi="arial"/>
          <w:sz w:val="20"/>
        </w:rPr>
      </w:pPr>
      <w:r>
        <w:rPr>
          <w:rFonts w:ascii="arial" w:hAnsi="arial"/>
          <w:sz w:val="20"/>
        </w:rPr>
        <w:t xml:space="preserve">The special resolution must be passed by not less than two-thirds (more than 66.6%) of votes cast by shareholders, during the meeting online or by proxy. </w:t>
      </w:r>
    </w:p>
    <w:p>
      <w:pPr>
        <w:pStyle w:val="TextBody"/>
        <w:spacing w:before="120" w:after="0"/>
        <w:jc w:val="left"/>
        <w:rPr>
          <w:rFonts w:ascii="arial" w:hAnsi="arial"/>
          <w:sz w:val="20"/>
        </w:rPr>
      </w:pPr>
      <w:r>
        <w:rPr>
          <w:rFonts w:ascii="arial" w:hAnsi="arial"/>
          <w:sz w:val="20"/>
        </w:rPr>
        <w:t xml:space="preserve">Woodbridge, our principal and controlling shareholder, holds, directly and indirectly, approximately 69% of the shares and has advised us that it intends to vote all of its shares in favour of the Return of Capital Transaction. Accordingly, we expect the resolution will be approved. </w:t>
      </w:r>
    </w:p>
    <w:p>
      <w:pPr>
        <w:pStyle w:val="TextBody"/>
        <w:spacing w:before="120" w:after="0"/>
        <w:jc w:val="left"/>
        <w:rPr>
          <w:rFonts w:ascii="arial" w:hAnsi="arial"/>
          <w:color w:val="B94831"/>
          <w:sz w:val="28"/>
        </w:rPr>
      </w:pPr>
      <w:r>
        <w:rPr>
          <w:rFonts w:ascii="arial" w:hAnsi="arial"/>
          <w:color w:val="B94831"/>
          <w:sz w:val="28"/>
        </w:rPr>
        <w:t xml:space="preserve">Does the board of directors recommend that shareholders vote in favour of the Return of Capital Transaction? </w:t>
      </w:r>
    </w:p>
    <w:p>
      <w:pPr>
        <w:pStyle w:val="TextBody"/>
        <w:spacing w:before="40" w:after="0"/>
        <w:jc w:val="left"/>
        <w:rPr>
          <w:rFonts w:ascii="arial" w:hAnsi="arial"/>
          <w:sz w:val="20"/>
        </w:rPr>
      </w:pPr>
      <w:r>
        <w:rPr>
          <w:rFonts w:ascii="arial" w:hAnsi="arial"/>
          <w:sz w:val="20"/>
        </w:rPr>
        <w:t xml:space="preserve">Yes. The board of directors, upon careful consideration of a number of factors, has determined that the Return of Capital Transaction is in the best interests of our company and unanimously recommends that you vote to approve the Return of Capital Transaction. </w:t>
      </w:r>
    </w:p>
    <w:p>
      <w:pPr>
        <w:pStyle w:val="TextBody"/>
        <w:spacing w:before="120" w:after="0"/>
        <w:jc w:val="left"/>
        <w:rPr>
          <w:rFonts w:ascii="arial" w:hAnsi="arial"/>
          <w:color w:val="B94831"/>
          <w:sz w:val="28"/>
        </w:rPr>
      </w:pPr>
      <w:r>
        <w:rPr>
          <w:rFonts w:ascii="arial" w:hAnsi="arial"/>
          <w:color w:val="B94831"/>
          <w:sz w:val="28"/>
        </w:rPr>
        <w:t xml:space="preserve">What other approvals are required? </w:t>
      </w:r>
    </w:p>
    <w:p>
      <w:pPr>
        <w:pStyle w:val="TextBody"/>
        <w:spacing w:before="40" w:after="0"/>
        <w:jc w:val="left"/>
        <w:rPr>
          <w:rFonts w:ascii="arial" w:hAnsi="arial"/>
          <w:sz w:val="20"/>
        </w:rPr>
      </w:pPr>
      <w:r>
        <w:rPr>
          <w:rFonts w:ascii="arial" w:hAnsi="arial"/>
          <w:sz w:val="20"/>
        </w:rPr>
        <w:t xml:space="preserve">The Arrangement requires final approval of the Court. If shareholders pass the special resolution at the meeting, we expect to make an application for the Final Order from the Court approving the Arrangement on June 16, 2023 at 10:00 a.m. (Eastern Daylight Time), or as soon thereafter as is reasonably practicable. Completion of the Return of Capital Transaction is subject to fulfilling all of the requirements of the TSX and NYSE. </w:t>
      </w:r>
    </w:p>
    <w:p>
      <w:pPr>
        <w:pStyle w:val="TextBody"/>
        <w:spacing w:before="120" w:after="0"/>
        <w:jc w:val="left"/>
        <w:rPr>
          <w:rFonts w:ascii="arial" w:hAnsi="arial"/>
          <w:color w:val="B94831"/>
          <w:sz w:val="28"/>
        </w:rPr>
      </w:pPr>
      <w:r>
        <w:rPr>
          <w:rFonts w:ascii="arial" w:hAnsi="arial"/>
          <w:color w:val="B94831"/>
          <w:sz w:val="28"/>
        </w:rPr>
        <w:t xml:space="preserve">Will the Return of Capital Transaction affect future dividends? </w:t>
      </w:r>
    </w:p>
    <w:p>
      <w:pPr>
        <w:pStyle w:val="TextBody"/>
        <w:spacing w:before="40" w:after="0"/>
        <w:jc w:val="left"/>
        <w:rPr>
          <w:rFonts w:ascii="arial" w:hAnsi="arial"/>
          <w:sz w:val="20"/>
        </w:rPr>
      </w:pPr>
      <w:r>
        <w:rPr>
          <w:rFonts w:ascii="arial" w:hAnsi="arial"/>
          <w:sz w:val="20"/>
        </w:rPr>
        <w:t xml:space="preserve">We do not expect that the announcement or completion of the Return of Capital Transaction will affect the amount or timing of future dividends per share. If you hold shares on a dividend record date, you will continue to receive the applicable dividend to which such record date applies. Details about any future dividend, including its amount, record date and payment date, will be announced at the time that such dividend is formally declared by the Board. </w:t>
      </w:r>
    </w:p>
    <w:p>
      <w:pPr>
        <w:pStyle w:val="TextBody"/>
        <w:spacing w:before="120" w:after="0"/>
        <w:jc w:val="left"/>
        <w:rPr>
          <w:rFonts w:ascii="arial" w:hAnsi="arial"/>
          <w:color w:val="B94831"/>
          <w:sz w:val="28"/>
        </w:rPr>
      </w:pPr>
      <w:r>
        <w:rPr>
          <w:rFonts w:ascii="arial" w:hAnsi="arial"/>
          <w:color w:val="B94831"/>
          <w:sz w:val="28"/>
        </w:rPr>
        <w:t xml:space="preserve">Who should I contact if I have any questions? </w:t>
      </w:r>
    </w:p>
    <w:p>
      <w:pPr>
        <w:pStyle w:val="TextBody"/>
        <w:spacing w:before="40" w:after="0"/>
        <w:jc w:val="left"/>
        <w:rPr>
          <w:rFonts w:ascii="arial" w:hAnsi="arial"/>
          <w:sz w:val="20"/>
        </w:rPr>
      </w:pPr>
      <w:r>
        <w:rPr>
          <w:rFonts w:ascii="arial" w:hAnsi="arial"/>
          <w:sz w:val="20"/>
        </w:rPr>
        <w:t xml:space="preserve">For further information regarding the Return of Capital Transaction, a shareholder may contact the Information Agent, the Depositary or consult its own stock broker or other professional advisors. The telephone numbers and e-mail addresses of the Information Agent and the Depositary are set forth below: </w:t>
      </w:r>
    </w:p>
    <w:p>
      <w:pPr>
        <w:pStyle w:val="TextBody"/>
        <w:spacing w:before="120" w:after="0"/>
        <w:jc w:val="center"/>
        <w:rPr>
          <w:rFonts w:ascii="arial" w:hAnsi="arial"/>
          <w:sz w:val="20"/>
          <w:u w:val="single"/>
        </w:rPr>
      </w:pPr>
      <w:r>
        <w:rPr>
          <w:rFonts w:ascii="arial" w:hAnsi="arial"/>
          <w:sz w:val="20"/>
          <w:u w:val="single"/>
        </w:rPr>
        <w:t xml:space="preserve">All Shareholders </w:t>
      </w:r>
    </w:p>
    <w:p>
      <w:pPr>
        <w:pStyle w:val="TextBody"/>
        <w:spacing w:before="120" w:after="0"/>
        <w:jc w:val="center"/>
        <w:rPr>
          <w:rFonts w:ascii="arial" w:hAnsi="arial"/>
          <w:sz w:val="20"/>
        </w:rPr>
      </w:pPr>
      <w:r>
        <w:rPr>
          <w:rFonts w:ascii="arial" w:hAnsi="arial"/>
          <w:sz w:val="20"/>
        </w:rPr>
        <w:t xml:space="preserve">D.F. King &amp; Co., Inc. </w:t>
      </w:r>
    </w:p>
    <w:p>
      <w:pPr>
        <w:pStyle w:val="TextBody"/>
        <w:spacing w:before="120" w:after="0"/>
        <w:jc w:val="center"/>
        <w:rPr>
          <w:rFonts w:ascii="arial" w:hAnsi="arial"/>
          <w:sz w:val="20"/>
        </w:rPr>
      </w:pPr>
      <w:r>
        <w:rPr>
          <w:rFonts w:ascii="arial" w:hAnsi="arial"/>
          <w:sz w:val="20"/>
        </w:rPr>
        <w:t xml:space="preserve">Toll-Free in Canada and the U.S.: 1.866.864.4943 </w:t>
      </w:r>
    </w:p>
    <w:p>
      <w:pPr>
        <w:pStyle w:val="TextBody"/>
        <w:spacing w:before="120" w:after="0"/>
        <w:jc w:val="center"/>
        <w:rPr>
          <w:rFonts w:ascii="arial" w:hAnsi="arial"/>
          <w:sz w:val="20"/>
        </w:rPr>
      </w:pPr>
      <w:r>
        <w:rPr>
          <w:rFonts w:ascii="arial" w:hAnsi="arial"/>
          <w:sz w:val="20"/>
        </w:rPr>
        <w:t xml:space="preserve">Outside Canada and the U.S., Banks, Brokers and Collect Calls: 1.212.269.5550 </w:t>
      </w:r>
    </w:p>
    <w:p>
      <w:pPr>
        <w:pStyle w:val="TextBody"/>
        <w:spacing w:before="120" w:after="0"/>
        <w:jc w:val="center"/>
        <w:rPr>
          <w:rFonts w:ascii="arial" w:hAnsi="arial"/>
          <w:sz w:val="20"/>
        </w:rPr>
      </w:pPr>
      <w:r>
        <w:rPr>
          <w:rFonts w:ascii="arial" w:hAnsi="arial"/>
          <w:sz w:val="20"/>
        </w:rPr>
        <w:t xml:space="preserve">Email: tri@dfking.com </w:t>
      </w:r>
    </w:p>
    <w:p>
      <w:pPr>
        <w:pStyle w:val="TextBody"/>
        <w:spacing w:before="240" w:after="0"/>
        <w:jc w:val="center"/>
        <w:rPr>
          <w:rFonts w:ascii="arial" w:hAnsi="arial"/>
          <w:sz w:val="20"/>
          <w:u w:val="single"/>
        </w:rPr>
      </w:pPr>
      <w:r>
        <w:rPr>
          <w:rFonts w:ascii="arial" w:hAnsi="arial"/>
          <w:sz w:val="20"/>
          <w:u w:val="single"/>
        </w:rPr>
        <w:t xml:space="preserve">Registered Shareholders </w:t>
      </w:r>
    </w:p>
    <w:p>
      <w:pPr>
        <w:pStyle w:val="TextBody"/>
        <w:spacing w:before="120" w:after="0"/>
        <w:jc w:val="center"/>
        <w:rPr>
          <w:rFonts w:ascii="arial" w:hAnsi="arial"/>
          <w:sz w:val="20"/>
        </w:rPr>
      </w:pPr>
      <w:r>
        <w:rPr>
          <w:rFonts w:ascii="arial" w:hAnsi="arial"/>
          <w:sz w:val="20"/>
        </w:rPr>
        <w:t xml:space="preserve">Computershare Investor Services Inc. </w:t>
      </w:r>
    </w:p>
    <w:p>
      <w:pPr>
        <w:pStyle w:val="TextBody"/>
        <w:spacing w:before="120" w:after="0"/>
        <w:jc w:val="center"/>
        <w:rPr>
          <w:rFonts w:ascii="arial" w:hAnsi="arial"/>
          <w:sz w:val="20"/>
        </w:rPr>
      </w:pPr>
      <w:r>
        <w:rPr>
          <w:rFonts w:ascii="arial" w:hAnsi="arial"/>
          <w:sz w:val="20"/>
        </w:rPr>
        <w:t xml:space="preserve">Toll-Free in Canada and the U.S.: 1.800.564.6253 </w:t>
      </w:r>
    </w:p>
    <w:p>
      <w:pPr>
        <w:pStyle w:val="TextBody"/>
        <w:spacing w:before="120" w:after="0"/>
        <w:jc w:val="center"/>
        <w:rPr>
          <w:rFonts w:ascii="arial" w:hAnsi="arial"/>
          <w:sz w:val="20"/>
        </w:rPr>
      </w:pPr>
      <w:r>
        <w:rPr>
          <w:rFonts w:ascii="arial" w:hAnsi="arial"/>
          <w:sz w:val="20"/>
        </w:rPr>
        <w:t xml:space="preserve">Outside Canada and the U.S.: 1.514.982.7555 </w:t>
      </w:r>
    </w:p>
    <w:p>
      <w:pPr>
        <w:pStyle w:val="TextBody"/>
        <w:spacing w:before="120" w:after="0"/>
        <w:jc w:val="center"/>
        <w:rPr>
          <w:rFonts w:ascii="arial" w:hAnsi="arial"/>
          <w:sz w:val="20"/>
        </w:rPr>
      </w:pPr>
      <w:r>
        <w:rPr>
          <w:rFonts w:ascii="arial" w:hAnsi="arial"/>
          <w:sz w:val="20"/>
        </w:rPr>
        <w:t xml:space="preserve">E-mail address for inquiries from registered shareholders: corporateactions@computershare.com </w:t>
      </w:r>
    </w:p>
    <w:p>
      <w:pPr>
        <w:pStyle w:val="TextBody"/>
        <w:spacing w:before="120" w:after="0"/>
        <w:jc w:val="center"/>
        <w:rPr>
          <w:rFonts w:ascii="arial" w:hAnsi="arial"/>
          <w:sz w:val="20"/>
        </w:rPr>
      </w:pPr>
      <w:r>
        <w:rPr>
          <w:rFonts w:ascii="arial" w:hAnsi="arial"/>
          <w:sz w:val="20"/>
        </w:rPr>
        <w:t xml:space="preserve">E-mail address for registered shareholders to submit Opt-Out Election and Certification Forms: onlinedeposits@computershare.com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r>
        <w:rPr>
          <w:rFonts w:ascii="arial" w:hAnsi="arial"/>
          <w:color w:val="B94831"/>
          <w:sz w:val="52"/>
        </w:rPr>
        <w:t xml:space="preserve">Cautionary Note Concerning Factors That May Affect Future Results </w:t>
      </w:r>
    </w:p>
    <w:p>
      <w:pPr>
        <w:pStyle w:val="TextBody"/>
        <w:spacing w:before="480" w:after="0"/>
        <w:jc w:val="left"/>
        <w:rPr>
          <w:rFonts w:ascii="arial" w:hAnsi="arial"/>
          <w:i/>
          <w:sz w:val="20"/>
        </w:rPr>
      </w:pPr>
      <w:r>
        <w:rPr>
          <w:rFonts w:ascii="arial" w:hAnsi="arial"/>
          <w:i/>
          <w:sz w:val="20"/>
        </w:rPr>
        <w:t xml:space="preserve">Certain statements in this circular are forward-looking, including, but not limited to, timing for the approval and implementation of the Arrangement; the anticipated tax treatment for shareholders participating in the Return of Capital Transaction and those opting out; our company continuing to have sufficient financial resources and working capital to conduct our operations and continuing to have sufficient financial resources to pursue our foreseeable or planned opportunities including strategic acquisitions; our companys expectations regarding its dividend and trading liquidity following the Return of Capital Transaction; and future sales of additional LSEG shares. The words will, expect, believe, target estimate, could, should, intend, predict, project and similar expressions identify forward-looking statements. While we believe that we have a reasonable basis for making forward-looking statements in this circular,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In particular, the full extent of the impact of the macroeconomic and geopolitical environment on the Companys business, operations and financial results will depend on numerous evolving factors that we may not be able to accurately predict. </w:t>
      </w:r>
    </w:p>
    <w:p>
      <w:pPr>
        <w:pStyle w:val="TextBody"/>
        <w:spacing w:before="120" w:after="0"/>
        <w:jc w:val="left"/>
        <w:rPr>
          <w:rFonts w:ascii="arial" w:hAnsi="arial"/>
          <w:i/>
          <w:sz w:val="20"/>
        </w:rPr>
      </w:pPr>
      <w:r>
        <w:rPr>
          <w:rFonts w:ascii="arial" w:hAnsi="arial"/>
          <w:i/>
          <w:sz w:val="20"/>
        </w:rPr>
        <w:t xml:space="preserve">Some of the material risk factors that could cause actual results or events to differ materially from those expressed in or implied by forward-looking statements in this circular include, but are not limited to, failure to complete or realize the anticipated benefits of the Return of Capital Transaction; uncertainty, downturns and changes in the markets that the Company serves; actions of competitors; failure to keep pace with technological developments to provide new products, services, applications and functionalities to meet customers needs, attract new customers and retain existing ones, or expand into new geographic markets and identify areas of higher growth; failure to derive fully the anticipated benefits from existing or future acquisitions, dispositions or other strategic investments, including joint ventures and investments; failure to protect the brands and reputation of Thomson Reuters; fraudulent or unpermitted data access or other cyber-security or privacy breaches; failures or disruptions of data centers, network systems, telecommunications, or the Internet; failure to adapt to organizational changes and effectively implement strategic initiatives; failure to attract, motivate and retain high quality, talented and diverse management and key employees; failure to meet the challenges involved in operating globally; dependency on third parties for data, information and other services; changes to law and regulations related to privacy, data security, data protection and other areas; inadequate protection of intellectual property rights; tax matters, including changes to tax laws, regulations and treaties; threat of legal actions and claims; risk of antitrust/competition-related claims or investigations; failure to maintain a high renewal rate for recurring, subscription-based services; fluctuations in foreign currency exchange and interest rates; downgrading of credit ratings and adverse conditions in the credit markets; the effect of factors outside of the control of Thomson Reuters on funding obligations in respect of pension and post-retirement benefit arrangements; impairment of goodwill and other identifiable intangible assets; actions or potential actions that could be taken by the Companys principal shareholder, The Woodbridge Company Limited; and the ability of Thomson Reuters Founders Share Company to affect the Companys governance and management. </w:t>
      </w:r>
    </w:p>
    <w:p>
      <w:pPr>
        <w:pStyle w:val="TextBody"/>
        <w:spacing w:before="120" w:after="0"/>
        <w:jc w:val="left"/>
        <w:rPr>
          <w:rFonts w:ascii="arial" w:hAnsi="arial"/>
          <w:sz w:val="20"/>
        </w:rPr>
      </w:pPr>
      <w:r>
        <w:rPr>
          <w:rFonts w:ascii="arial" w:hAnsi="arial"/>
          <w:i/>
          <w:sz w:val="20"/>
        </w:rPr>
        <w:t>See the Risk Factors section of this circular for additional risk factors associated with the implementation of the Return of Capital Transaction. This is not an exhaustive list of the factors and risks that may affect any of our forward-looking statements. Some of these and other factors are discussed in more detail in our 2022 annual report. Investors and others should carefully consider these and other factors and not place undue reliance on the forward-looking statements. Further information regarding these and other risk factors is included in our public filings with federal, state or provincial securities regulatory authorities and can be found on EDGAR, which may be accessed at</w:t>
      </w:r>
      <w:r>
        <w:rPr>
          <w:rFonts w:ascii="arial" w:hAnsi="arial"/>
          <w:sz w:val="20"/>
        </w:rPr>
        <w:t xml:space="preserve"> </w:t>
      </w:r>
      <w:r>
        <w:rPr>
          <w:rFonts w:ascii="Arial" w:hAnsi="Arial"/>
          <w:b/>
          <w:color w:val="335367"/>
          <w:sz w:val="20"/>
        </w:rPr>
        <w:t>www.sec.gov</w:t>
      </w:r>
      <w:r>
        <w:rPr>
          <w:rFonts w:ascii="Arial" w:hAnsi="Arial"/>
          <w:b/>
          <w:sz w:val="20"/>
        </w:rPr>
        <w:t>,</w:t>
      </w:r>
      <w:r>
        <w:rPr>
          <w:rFonts w:ascii="arial" w:hAnsi="arial"/>
          <w:sz w:val="20"/>
        </w:rPr>
        <w:t xml:space="preserve"> </w:t>
      </w:r>
      <w:r>
        <w:rPr>
          <w:rFonts w:ascii="arial" w:hAnsi="arial"/>
          <w:i/>
          <w:sz w:val="20"/>
        </w:rPr>
        <w:t>or SEDARs website at</w:t>
      </w:r>
      <w:r>
        <w:rPr>
          <w:rFonts w:ascii="arial" w:hAnsi="arial"/>
          <w:color w:val="335367"/>
          <w:sz w:val="20"/>
        </w:rPr>
        <w:t xml:space="preserve"> </w:t>
      </w:r>
      <w:r>
        <w:rPr>
          <w:rFonts w:ascii="Arial" w:hAnsi="Arial"/>
          <w:b/>
          <w:color w:val="335367"/>
          <w:sz w:val="20"/>
        </w:rPr>
        <w:t>www.sedar.com</w:t>
      </w:r>
      <w:r>
        <w:rPr>
          <w:rFonts w:ascii="arial" w:hAnsi="arial"/>
          <w:i/>
          <w:sz w:val="20"/>
        </w:rPr>
        <w:t xml:space="preserve">. The forward-looking statements contained in this circular represent our views only as of the date hereof. </w:t>
      </w:r>
    </w:p>
    <w:p>
      <w:pPr>
        <w:pStyle w:val="TextBody"/>
        <w:spacing w:before="120" w:after="0"/>
        <w:jc w:val="left"/>
        <w:rPr>
          <w:rFonts w:ascii="arial" w:hAnsi="arial"/>
          <w:i/>
          <w:sz w:val="20"/>
        </w:rPr>
      </w:pPr>
      <w:r>
        <w:rPr>
          <w:rFonts w:ascii="arial" w:hAnsi="arial"/>
          <w:i/>
          <w:sz w:val="20"/>
        </w:rPr>
        <w:t xml:space="preserve">Forward-looking statements contained in this circular are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w:t>
      </w:r>
    </w:p>
    <w:p>
      <w:pPr>
        <w:pStyle w:val="TextBody"/>
        <w:spacing w:before="120" w:after="0"/>
        <w:jc w:val="left"/>
        <w:rPr>
          <w:rFonts w:ascii="arial" w:hAnsi="arial"/>
          <w:i/>
          <w:sz w:val="20"/>
        </w:rPr>
      </w:pPr>
      <w:r>
        <w:rPr>
          <w:rFonts w:ascii="arial" w:hAnsi="arial"/>
          <w:i/>
          <w:sz w:val="20"/>
        </w:rPr>
        <w:t xml:space="preserve">You are cautioned not to place undue reliance on forward-looking statements which reflect expectations only as of the date of this circular. </w:t>
      </w:r>
    </w:p>
    <w:p>
      <w:pPr>
        <w:pStyle w:val="TextBody"/>
        <w:spacing w:before="120" w:after="0"/>
        <w:jc w:val="left"/>
        <w:rPr>
          <w:rFonts w:ascii="arial" w:hAnsi="arial"/>
          <w:i/>
          <w:sz w:val="20"/>
        </w:rPr>
      </w:pPr>
      <w:r>
        <w:rPr>
          <w:rFonts w:ascii="arial" w:hAnsi="arial"/>
          <w:i/>
          <w:sz w:val="20"/>
        </w:rPr>
        <w:t xml:space="preserve">Except as may be required by applicable law, Thomson Reuters disclaims any obligation to update or revise any forward-looking statements.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9" w:name="tx494196_15"/>
      <w:bookmarkEnd w:id="9"/>
      <w:r>
        <w:rPr>
          <w:rFonts w:ascii="arial" w:hAnsi="arial"/>
          <w:color w:val="B94831"/>
          <w:sz w:val="52"/>
        </w:rPr>
        <w:t xml:space="preserve">Annual and Quarterly Financial Statements and Related MD&amp;A </w:t>
      </w:r>
    </w:p>
    <w:p>
      <w:pPr>
        <w:pStyle w:val="TextBody"/>
        <w:spacing w:before="480" w:after="0"/>
        <w:jc w:val="left"/>
        <w:rPr>
          <w:rFonts w:ascii="arial" w:hAnsi="arial"/>
          <w:sz w:val="20"/>
        </w:rPr>
      </w:pPr>
      <w:r>
        <w:rPr>
          <w:rFonts w:ascii="arial" w:hAnsi="arial"/>
          <w:sz w:val="20"/>
        </w:rPr>
        <w:t xml:space="preserve">Our annual and quarterly reports and earnings releases are available in the Investor Relations section of our website, </w:t>
      </w:r>
      <w:r>
        <w:rPr>
          <w:rFonts w:ascii="Arial" w:hAnsi="Arial"/>
          <w:b/>
          <w:color w:val="335367"/>
          <w:sz w:val="20"/>
        </w:rPr>
        <w:t>www.tr.com</w:t>
      </w:r>
      <w:r>
        <w:rPr>
          <w:rFonts w:ascii="arial" w:hAnsi="arial"/>
          <w:sz w:val="20"/>
        </w:rPr>
        <w:t xml:space="preserve">. Please also see the Electronic Delivery of Shareholder Communications section below for information about electronic delivery of these reports and other shareholder communications. </w:t>
      </w:r>
    </w:p>
    <w:p>
      <w:pPr>
        <w:pStyle w:val="TextBody"/>
        <w:spacing w:before="480" w:after="0"/>
        <w:jc w:val="left"/>
        <w:rPr>
          <w:rFonts w:ascii="arial" w:hAnsi="arial"/>
          <w:color w:val="B94831"/>
          <w:sz w:val="52"/>
        </w:rPr>
      </w:pPr>
      <w:bookmarkStart w:id="10" w:name="tx494196_16"/>
      <w:bookmarkEnd w:id="10"/>
      <w:r>
        <w:rPr>
          <w:rFonts w:ascii="arial" w:hAnsi="arial"/>
          <w:color w:val="B94831"/>
          <w:sz w:val="52"/>
        </w:rPr>
        <w:t xml:space="preserve">Notice-and-Access </w:t>
      </w:r>
    </w:p>
    <w:p>
      <w:pPr>
        <w:pStyle w:val="TextBody"/>
        <w:spacing w:before="480" w:after="0"/>
        <w:jc w:val="left"/>
        <w:rPr>
          <w:rFonts w:ascii="arial" w:hAnsi="arial"/>
          <w:color w:val="B94831"/>
          <w:sz w:val="28"/>
        </w:rPr>
      </w:pPr>
      <w:r>
        <w:rPr>
          <w:rFonts w:ascii="arial" w:hAnsi="arial"/>
          <w:color w:val="B94831"/>
          <w:sz w:val="28"/>
        </w:rPr>
        <w:t xml:space="preserve">Why did I receive a notice in the mail regarding the website availability of this circular and proxy materials? </w:t>
      </w:r>
    </w:p>
    <w:p>
      <w:pPr>
        <w:pStyle w:val="TextBody"/>
        <w:spacing w:before="40" w:after="0"/>
        <w:jc w:val="left"/>
        <w:rPr>
          <w:rFonts w:ascii="arial" w:hAnsi="arial"/>
          <w:sz w:val="20"/>
        </w:rPr>
      </w:pPr>
      <w:r>
        <w:rPr>
          <w:rFonts w:ascii="arial" w:hAnsi="arial"/>
          <w:sz w:val="20"/>
        </w:rPr>
        <w:t xml:space="preserve">We are using the notice-and-access system for the delivery of our proxy materials through our website,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 </w:t>
      </w:r>
    </w:p>
    <w:p>
      <w:pPr>
        <w:pStyle w:val="TextBody"/>
        <w:spacing w:before="120" w:after="0"/>
        <w:jc w:val="left"/>
        <w:rPr>
          <w:rFonts w:ascii="arial" w:hAnsi="arial"/>
          <w:sz w:val="20"/>
        </w:rPr>
      </w:pPr>
      <w:r>
        <w:rPr>
          <w:rFonts w:ascii="arial" w:hAnsi="arial"/>
          <w:sz w:val="20"/>
        </w:rPr>
        <w:t xml:space="preserve">Electronic delivery reduces the cost and environmental impact of producing and distributing paper copies of documents in very large quantities. It also provides shareholders with faster access to information about Thomson Reuters. </w:t>
      </w:r>
    </w:p>
    <w:p>
      <w:pPr>
        <w:pStyle w:val="TextBody"/>
        <w:spacing w:before="120" w:after="0"/>
        <w:jc w:val="left"/>
        <w:rPr>
          <w:rFonts w:ascii="arial" w:hAnsi="arial"/>
          <w:color w:val="B94831"/>
          <w:sz w:val="28"/>
        </w:rPr>
      </w:pPr>
      <w:r>
        <w:rPr>
          <w:rFonts w:ascii="arial" w:hAnsi="arial"/>
          <w:color w:val="B94831"/>
          <w:sz w:val="28"/>
        </w:rPr>
        <w:t xml:space="preserve">Why didnt I receive a printed notice in the mail about the website availability of the proxy materials? </w:t>
      </w:r>
    </w:p>
    <w:p>
      <w:pPr>
        <w:pStyle w:val="TextBody"/>
        <w:spacing w:before="40" w:after="0"/>
        <w:jc w:val="left"/>
        <w:rPr>
          <w:rFonts w:ascii="arial" w:hAnsi="arial"/>
          <w:sz w:val="20"/>
        </w:rPr>
      </w:pPr>
      <w:r>
        <w:rPr>
          <w:rFonts w:ascii="arial" w:hAnsi="arial"/>
          <w:sz w:val="20"/>
        </w:rPr>
        <w:t xml:space="preserve">Shareholders who previously signed up for electronic delivery of our proxy materials will continue to receive them by e-mail and will not receive a printed notice in the mail. </w:t>
      </w:r>
    </w:p>
    <w:p>
      <w:pPr>
        <w:pStyle w:val="TextBody"/>
        <w:spacing w:before="120" w:after="0"/>
        <w:jc w:val="left"/>
        <w:rPr>
          <w:rFonts w:ascii="arial" w:hAnsi="arial"/>
          <w:color w:val="B94831"/>
          <w:sz w:val="28"/>
        </w:rPr>
      </w:pPr>
      <w:r>
        <w:rPr>
          <w:rFonts w:ascii="arial" w:hAnsi="arial"/>
          <w:color w:val="B94831"/>
          <w:sz w:val="28"/>
        </w:rPr>
        <w:t xml:space="preserve">How do I vote under the notice-and-access system? </w:t>
      </w:r>
    </w:p>
    <w:p>
      <w:pPr>
        <w:pStyle w:val="TextBody"/>
        <w:spacing w:before="40" w:after="0"/>
        <w:jc w:val="left"/>
        <w:rPr>
          <w:rFonts w:ascii="arial" w:hAnsi="arial"/>
          <w:sz w:val="20"/>
        </w:rPr>
      </w:pPr>
      <w:r>
        <w:rPr>
          <w:rFonts w:ascii="arial" w:hAnsi="arial"/>
          <w:sz w:val="20"/>
        </w:rPr>
        <w:t xml:space="preserve">The voting process is the same as described in the Voting Information and How to Attend section of this circular. You have two choices  you can vote by proxy, or you can attend the meeting and vote during the meeting by online ballot through the live webcast platform. </w:t>
      </w:r>
    </w:p>
    <w:p>
      <w:pPr>
        <w:pStyle w:val="TextBody"/>
        <w:spacing w:before="480" w:after="0"/>
        <w:jc w:val="left"/>
        <w:rPr>
          <w:rFonts w:ascii="arial" w:hAnsi="arial"/>
          <w:color w:val="B94831"/>
          <w:sz w:val="52"/>
        </w:rPr>
      </w:pPr>
      <w:bookmarkStart w:id="11" w:name="tx494196_17"/>
      <w:bookmarkEnd w:id="11"/>
      <w:r>
        <w:rPr>
          <w:rFonts w:ascii="arial" w:hAnsi="arial"/>
          <w:color w:val="B94831"/>
          <w:sz w:val="52"/>
        </w:rPr>
        <w:t xml:space="preserve">Electronic Delivery of Shareholder Communications </w:t>
      </w:r>
    </w:p>
    <w:p>
      <w:pPr>
        <w:pStyle w:val="TextBody"/>
        <w:spacing w:before="480" w:after="0"/>
        <w:jc w:val="left"/>
        <w:rPr>
          <w:rFonts w:ascii="arial" w:hAnsi="arial"/>
          <w:color w:val="B94831"/>
          <w:sz w:val="28"/>
        </w:rPr>
      </w:pPr>
      <w:r>
        <w:rPr>
          <w:rFonts w:ascii="arial" w:hAnsi="arial"/>
          <w:color w:val="B94831"/>
          <w:sz w:val="28"/>
        </w:rPr>
        <w:t xml:space="preserve">Does Thomson Reuters provide electronic delivery of shareholder communications? </w:t>
      </w:r>
    </w:p>
    <w:p>
      <w:pPr>
        <w:pStyle w:val="TextBody"/>
        <w:spacing w:before="40" w:after="0"/>
        <w:jc w:val="left"/>
        <w:rPr>
          <w:rFonts w:ascii="arial" w:hAnsi="arial"/>
          <w:sz w:val="20"/>
        </w:rPr>
      </w:pPr>
      <w:r>
        <w:rPr>
          <w:rFonts w:ascii="arial" w:hAnsi="arial"/>
          <w:sz w:val="20"/>
        </w:rPr>
        <w:t xml:space="preserve">Yes. Electronic delivery is a voluntary program for our shareholders. Under this program, an e-mail notification (with links to the documents posted on our website) is sent to you. </w:t>
      </w:r>
    </w:p>
    <w:p>
      <w:pPr>
        <w:pStyle w:val="TextBody"/>
        <w:spacing w:before="120" w:after="0"/>
        <w:jc w:val="left"/>
        <w:rPr>
          <w:rFonts w:ascii="arial" w:hAnsi="arial"/>
          <w:sz w:val="20"/>
        </w:rPr>
      </w:pPr>
      <w:r>
        <w:rPr>
          <w:rFonts w:ascii="arial" w:hAnsi="arial"/>
          <w:sz w:val="20"/>
        </w:rPr>
        <w:t xml:space="preserve">Electronic delivery reduces the cost and environmental impact of producing and distributing paper copies of documents in very large quantities. It also provides shareholders with faster access to information about Thomson Reuters.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102" w:type="dxa"/>
            <w:tcBorders>
              <w:top w:val="single" w:sz="2" w:space="0" w:color="000000"/>
              <w:left w:val="single" w:sz="2" w:space="0" w:color="000000"/>
              <w:right w:val="single" w:sz="2" w:space="0" w:color="000000"/>
            </w:tcBorders>
            <w:shd w:fill="F4E3E0" w:val="clear"/>
            <w:tcMar>
              <w:top w:w="28" w:type="dxa"/>
              <w:left w:w="160" w:type="dxa"/>
              <w:right w:w="28" w:type="dxa"/>
            </w:tcMar>
            <w:vAlign w:val="center"/>
          </w:tcPr>
          <w:p>
            <w:pPr>
              <w:pStyle w:val="TableContents"/>
              <w:spacing w:before="0" w:after="283"/>
              <w:rPr/>
            </w:pPr>
            <w:r>
              <w:rPr/>
              <w:t> </w:t>
            </w:r>
          </w:p>
        </w:tc>
      </w:tr>
      <w:tr>
        <w:trPr/>
        <w:tc>
          <w:tcPr>
            <w:tcW w:w="10102" w:type="dxa"/>
            <w:tcBorders>
              <w:left w:val="single" w:sz="2" w:space="0" w:color="000000"/>
              <w:bottom w:val="single" w:sz="2" w:space="0" w:color="000000"/>
              <w:right w:val="single" w:sz="2" w:space="0" w:color="000000"/>
            </w:tcBorders>
            <w:shd w:fill="F4E3E0" w:val="clear"/>
            <w:tcMar>
              <w:left w:w="160" w:type="dxa"/>
              <w:bottom w:w="28" w:type="dxa"/>
              <w:right w:w="40" w:type="dxa"/>
            </w:tcMar>
          </w:tcPr>
          <w:p>
            <w:pPr>
              <w:pStyle w:val="TableContents"/>
              <w:spacing w:before="0" w:after="0"/>
              <w:rPr>
                <w:rFonts w:ascii="arial" w:hAnsi="arial"/>
                <w:sz w:val="24"/>
              </w:rPr>
            </w:pPr>
            <w:r>
              <w:rPr>
                <w:rFonts w:ascii="arial" w:hAnsi="arial"/>
                <w:sz w:val="24"/>
              </w:rPr>
              <w:t>How can I enroll for electronic delivery of shareholder communications?</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For most non-registered shareholders (other than holders of our Depositary Interests), please go to </w:t>
            </w:r>
            <w:r>
              <w:rPr>
                <w:rFonts w:ascii="Arial" w:hAnsi="Arial"/>
                <w:b/>
                <w:color w:val="335367"/>
                <w:sz w:val="20"/>
              </w:rPr>
              <w:t>www.proxyvote.com</w:t>
            </w:r>
            <w:r>
              <w:rPr>
                <w:rFonts w:ascii="arial" w:hAnsi="arial"/>
                <w:sz w:val="20"/>
              </w:rPr>
              <w:t xml:space="preserve"> for more instructions and to register. You will need your Enrollment Number/Control Number. You can find this number on your voting instruction form/proxy form.</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If you are a registered shareholder, please go to </w:t>
            </w:r>
            <w:r>
              <w:rPr>
                <w:rFonts w:ascii="Arial" w:hAnsi="Arial"/>
                <w:b/>
                <w:color w:val="335367"/>
                <w:sz w:val="20"/>
              </w:rPr>
              <w:t>www.investorcentre.com</w:t>
            </w:r>
            <w:r>
              <w:rPr>
                <w:rFonts w:ascii="arial" w:hAnsi="arial"/>
                <w:sz w:val="20"/>
              </w:rPr>
              <w:t xml:space="preserve"> (country  Canada) and click on Sign up for eDelivery at the bottom of the page. You will need information from your proxy form to register.</w:t>
            </w:r>
          </w:p>
          <w:p>
            <w:pPr>
              <w:pStyle w:val="TableContents"/>
              <w:spacing w:before="0" w:after="20"/>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2" w:name="tx494196_18"/>
      <w:bookmarkEnd w:id="12"/>
      <w:r>
        <w:rPr>
          <w:rFonts w:ascii="arial" w:hAnsi="arial"/>
          <w:color w:val="B94831"/>
          <w:sz w:val="52"/>
        </w:rPr>
        <w:t xml:space="preserve">Principal Shareholder and Share Capital </w:t>
      </w:r>
    </w:p>
    <w:p>
      <w:pPr>
        <w:pStyle w:val="TextBody"/>
        <w:spacing w:before="480" w:after="0"/>
        <w:jc w:val="left"/>
        <w:rPr>
          <w:rFonts w:ascii="arial" w:hAnsi="arial"/>
          <w:sz w:val="20"/>
        </w:rPr>
      </w:pPr>
      <w:r>
        <w:rPr>
          <w:rFonts w:ascii="arial" w:hAnsi="arial"/>
          <w:sz w:val="20"/>
        </w:rPr>
        <w:t xml:space="preserve">As of April 21, 2023, Woodbridge beneficially owned 324,912,822 of our common shares, or approximately 69% of our outstanding common shares. Woodbridge is the principal and controlling shareholder of Thomson Reuters. </w:t>
      </w:r>
    </w:p>
    <w:p>
      <w:pPr>
        <w:pStyle w:val="TextBody"/>
        <w:spacing w:before="120" w:after="0"/>
        <w:jc w:val="left"/>
        <w:rPr>
          <w:rFonts w:ascii="arial" w:hAnsi="arial"/>
          <w:sz w:val="20"/>
        </w:rPr>
      </w:pPr>
      <w:r>
        <w:rPr>
          <w:rFonts w:ascii="arial" w:hAnsi="arial"/>
          <w:sz w:val="20"/>
        </w:rPr>
        <w:t xml:space="preserve">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 </w:t>
      </w:r>
    </w:p>
    <w:p>
      <w:pPr>
        <w:pStyle w:val="TextBody"/>
        <w:spacing w:before="120" w:after="0"/>
        <w:jc w:val="left"/>
        <w:rPr>
          <w:rFonts w:ascii="arial" w:hAnsi="arial"/>
          <w:sz w:val="20"/>
        </w:rPr>
      </w:pPr>
      <w:r>
        <w:rPr>
          <w:rFonts w:ascii="arial" w:hAnsi="arial"/>
          <w:sz w:val="20"/>
        </w:rPr>
        <w:t xml:space="preserve">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 </w:t>
      </w:r>
    </w:p>
    <w:p>
      <w:pPr>
        <w:pStyle w:val="TextBody"/>
        <w:spacing w:before="120" w:after="0"/>
        <w:jc w:val="left"/>
        <w:rPr>
          <w:rFonts w:ascii="arial" w:hAnsi="arial"/>
          <w:sz w:val="20"/>
        </w:rPr>
      </w:pPr>
      <w:r>
        <w:rPr>
          <w:rFonts w:ascii="arial" w:hAnsi="arial"/>
          <w:sz w:val="20"/>
        </w:rPr>
        <w:t xml:space="preserve">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 </w:t>
      </w:r>
    </w:p>
    <w:p>
      <w:pPr>
        <w:pStyle w:val="TextBody"/>
        <w:spacing w:before="120" w:after="0"/>
        <w:jc w:val="left"/>
        <w:rPr>
          <w:rFonts w:ascii="arial" w:hAnsi="arial"/>
          <w:sz w:val="20"/>
        </w:rPr>
      </w:pPr>
      <w:r>
        <w:rPr>
          <w:rFonts w:ascii="arial" w:hAnsi="arial"/>
          <w:sz w:val="20"/>
        </w:rPr>
        <w:t xml:space="preserve">From time to time, in the normal course of business, Thomson Reuters enters into transactions with Woodbridge and certain of its affiliates. In 2022, these transactions involved providing and receiving product and service offerings and were not material to our results of operations or financial condition either individually or in the aggregate. </w:t>
      </w:r>
    </w:p>
    <w:p>
      <w:pPr>
        <w:pStyle w:val="TextBody"/>
        <w:spacing w:before="120" w:after="0"/>
        <w:jc w:val="left"/>
        <w:rPr>
          <w:rFonts w:ascii="arial" w:hAnsi="arial"/>
          <w:sz w:val="20"/>
        </w:rPr>
      </w:pPr>
      <w:r>
        <w:rPr>
          <w:rFonts w:ascii="arial" w:hAnsi="arial"/>
          <w:sz w:val="20"/>
        </w:rPr>
        <w:t xml:space="preserve">To our knowledge, no other person beneficially owns, directly or indirectly, 10% or more of our common shares.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3" w:name="tx494196_19"/>
      <w:bookmarkEnd w:id="13"/>
      <w:r>
        <w:rPr>
          <w:rFonts w:ascii="arial" w:hAnsi="arial"/>
          <w:color w:val="B94831"/>
          <w:sz w:val="52"/>
        </w:rPr>
        <w:t xml:space="preserve">About Our Directors </w:t>
      </w:r>
    </w:p>
    <w:p>
      <w:pPr>
        <w:pStyle w:val="TextBody"/>
        <w:spacing w:before="480" w:after="0"/>
        <w:jc w:val="left"/>
        <w:rPr>
          <w:rFonts w:ascii="arial" w:hAnsi="arial"/>
          <w:sz w:val="20"/>
        </w:rPr>
      </w:pPr>
      <w:r>
        <w:rPr>
          <w:rFonts w:ascii="arial" w:hAnsi="arial"/>
          <w:sz w:val="20"/>
        </w:rPr>
        <w:t xml:space="preserve">This section includes the following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Profiles for each director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Compensation that we paid to our directors in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Our corporate governance structure and practices.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30"/>
        </w:rPr>
      </w:pPr>
      <w:r>
        <w:rPr>
          <w:rFonts w:ascii="arial" w:hAnsi="arial"/>
          <w:color w:val="B94831"/>
          <w:sz w:val="30"/>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30"/>
              </w:rPr>
            </w:pPr>
            <w:r>
              <w:rPr>
                <w:rFonts w:ascii="arial" w:hAnsi="arial"/>
                <w:sz w:val="30"/>
              </w:rPr>
              <w:t xml:space="preserve">The Corporate Governance Committee believes that the director nominees have the qualifications, skills and experience necessary for the Board to fulfill its mandate;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A majority of our directors are independent and only one director (our CEO) is a member of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36% of the director nominees are women and two have self-identified as racially or ethnically diverse;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30"/>
              </w:rPr>
            </w:pPr>
            <w:r>
              <w:rPr>
                <w:rFonts w:ascii="arial" w:hAnsi="arial"/>
                <w:sz w:val="30"/>
              </w:rPr>
              <w:t xml:space="preserve">The roles and responsibilities of the Chairman and the CEO are separate;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All 14 nominees are currently directors of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A majority of the director nominees have been on the Board for less than five years;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At last years annual meeting, our director nominees who are standing for re-election received an average of 98% for votes.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28"/>
        </w:rPr>
      </w:pPr>
      <w:r>
        <w:rPr>
          <w:rFonts w:ascii="arial" w:hAnsi="arial"/>
          <w:color w:val="B94831"/>
          <w:sz w:val="28"/>
        </w:rPr>
        <w:t xml:space="preserve">Board Changes in 2022 </w:t>
      </w:r>
    </w:p>
    <w:p>
      <w:pPr>
        <w:pStyle w:val="TextBody"/>
        <w:spacing w:before="40" w:after="0"/>
        <w:jc w:val="left"/>
        <w:rPr>
          <w:rFonts w:ascii="arial" w:hAnsi="arial"/>
          <w:sz w:val="20"/>
        </w:rPr>
      </w:pPr>
      <w:r>
        <w:rPr>
          <w:rFonts w:ascii="arial" w:hAnsi="arial"/>
          <w:sz w:val="20"/>
        </w:rPr>
        <w:t xml:space="preserve">We welcomed and successfully onboarded two new directors in 2022, which has brought new perspectives and experiences to the boardroom. LaVerne Council joined the Board in January, and was later elected by shareholders in June, and Beth Wilson was elected by shareholders in June. Two of our former directors, Vance Opperman and Wulf von Schimmelmann, decided not to stand for re-election at last years meeting in June. </w:t>
      </w:r>
    </w:p>
    <w:p>
      <w:pPr>
        <w:pStyle w:val="TextBody"/>
        <w:spacing w:before="120" w:after="0"/>
        <w:jc w:val="left"/>
        <w:rPr>
          <w:rFonts w:ascii="arial" w:hAnsi="arial"/>
          <w:color w:val="B94831"/>
          <w:sz w:val="28"/>
        </w:rPr>
      </w:pPr>
      <w:r>
        <w:rPr>
          <w:rFonts w:ascii="arial" w:hAnsi="arial"/>
          <w:color w:val="B94831"/>
          <w:sz w:val="28"/>
        </w:rPr>
        <w:t xml:space="preserve">Voting </w:t>
      </w:r>
    </w:p>
    <w:p>
      <w:pPr>
        <w:pStyle w:val="TextBody"/>
        <w:spacing w:before="40" w:after="0"/>
        <w:jc w:val="left"/>
        <w:rPr>
          <w:rFonts w:ascii="arial" w:hAnsi="arial"/>
          <w:sz w:val="20"/>
        </w:rPr>
      </w:pPr>
      <w:r>
        <w:rPr>
          <w:rFonts w:ascii="arial" w:hAnsi="arial"/>
          <w:sz w:val="20"/>
        </w:rPr>
        <w:t xml:space="preserve">You will be asked to vote for each director on an individual basis. Each of the 14 nominees is proposed to be elected for a term ending at our 2024 annual meeting of shareholders. All 14 nominees are currently directors of our company and were elected at our 2022 annual meeting of shareholders. Profiles for each nominee are provided on the following pages. </w:t>
      </w:r>
    </w:p>
    <w:p>
      <w:pPr>
        <w:pStyle w:val="TextBody"/>
        <w:spacing w:before="120" w:after="0"/>
        <w:jc w:val="left"/>
        <w:rPr>
          <w:rFonts w:ascii="Arial" w:hAnsi="Arial"/>
          <w:b/>
          <w:sz w:val="20"/>
        </w:rPr>
      </w:pPr>
      <w:r>
        <w:rPr>
          <w:rFonts w:ascii="Arial" w:hAnsi="Arial"/>
          <w:b/>
          <w:sz w:val="20"/>
        </w:rPr>
        <w:t xml:space="preserve">The Board unanimously recommends that you vote FOR the election of the following 14 nominees to the Thomson Reuters Board of Directors: David Thomson, Steve Hasker, Kirk E. Arnold, David W. Binet, W. Edmund Clark, C.M., LaVerne Council, Michael E. Daniels, Kirk Koenigsbauer, Deanna Oppenheimer, Simon Paris, Kim M. Rivera, Barry Salzberg, Peter J. Thomson and Beth Wilson. </w:t>
      </w:r>
    </w:p>
    <w:p>
      <w:pPr>
        <w:pStyle w:val="TextBody"/>
        <w:spacing w:before="120" w:after="0"/>
        <w:jc w:val="left"/>
        <w:rPr>
          <w:rFonts w:ascii="arial" w:hAnsi="arial"/>
          <w:sz w:val="20"/>
        </w:rPr>
      </w:pPr>
      <w:r>
        <w:rPr>
          <w:rFonts w:ascii="arial" w:hAnsi="arial"/>
          <w:sz w:val="20"/>
        </w:rPr>
        <w:t xml:space="preserve">Management does not believe that any of the nominees will be unable to serve as a director but, if this should occur for any reason prior to the meeting, the persons named in the enclosed proxy form may vote for another nominee at their discretion. </w:t>
      </w:r>
    </w:p>
    <w:p>
      <w:pPr>
        <w:pStyle w:val="TextBody"/>
        <w:spacing w:before="120" w:after="0"/>
        <w:jc w:val="left"/>
        <w:rPr>
          <w:rFonts w:ascii="arial" w:hAnsi="arial"/>
          <w:sz w:val="20"/>
        </w:rPr>
      </w:pPr>
      <w:r>
        <w:rPr>
          <w:rFonts w:ascii="arial" w:hAnsi="arial"/>
          <w:sz w:val="20"/>
        </w:rPr>
        <w:t xml:space="preserve">Following the meeting, we will issue a press release that includes the number of votes cast for and withheld from each individual director. As noted above, at last years annual meeting, our director nominees who are standing for re-election received an average of 98% for votes. Additional information is provided in each nominees profile on the following pages.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Director qualifications, skills and experiences </w:t>
      </w:r>
    </w:p>
    <w:p>
      <w:pPr>
        <w:pStyle w:val="TextBody"/>
        <w:spacing w:before="40" w:after="0"/>
        <w:jc w:val="left"/>
        <w:rPr>
          <w:rFonts w:ascii="arial" w:hAnsi="arial"/>
          <w:sz w:val="20"/>
        </w:rPr>
      </w:pPr>
      <w:r>
        <w:rPr>
          <w:rFonts w:ascii="arial" w:hAnsi="arial"/>
          <w:sz w:val="20"/>
        </w:rPr>
        <w:t xml:space="preserve">We believe that all of the director nominees possess character, integrity, judgment, business experience, a record of achievement and other skills and talents which enhance the Board and the overall management of the business and affairs of Thomson Reuters. Each director nominee understands our companys principal operational and financial objectives, plans and strategies, financial position and performance and the performance of Thomson Reuters relative to our principal competitors. The Corporate Governance Committee considered these qualifications in determining to recommend the director nominees for election. </w:t>
      </w:r>
    </w:p>
    <w:p>
      <w:pPr>
        <w:pStyle w:val="TextBody"/>
        <w:spacing w:before="120" w:after="0"/>
        <w:jc w:val="left"/>
        <w:rPr>
          <w:rFonts w:ascii="arial" w:hAnsi="arial"/>
          <w:sz w:val="20"/>
        </w:rPr>
      </w:pPr>
      <w:r>
        <w:rPr>
          <w:rFonts w:ascii="arial" w:hAnsi="arial"/>
          <w:sz w:val="20"/>
        </w:rPr>
        <w:t xml:space="preserve">The following table, or skills matrix, summarizes the skills and areas of experience indicated by each director nominee. Our Board believes that these skills and experiences are necessary for it to carry out its mandate. The skills matrix is reviewed and updated annually.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68"/>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8"/>
        <w:gridCol w:w="230"/>
        <w:gridCol w:w="97"/>
        <w:gridCol w:w="230"/>
        <w:gridCol w:w="98"/>
        <w:gridCol w:w="230"/>
        <w:gridCol w:w="98"/>
        <w:gridCol w:w="236"/>
      </w:tblGrid>
      <w:tr>
        <w:trPr/>
        <w:tc>
          <w:tcPr>
            <w:tcW w:w="396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968" w:type="dxa"/>
            <w:tcBorders/>
            <w:shd w:fill="auto" w:val="cle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6139" w:type="dxa"/>
            <w:gridSpan w:val="37"/>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Skills</w:t>
            </w:r>
          </w:p>
        </w:tc>
      </w:tr>
      <w:tr>
        <w:trPr/>
        <w:tc>
          <w:tcPr>
            <w:tcW w:w="396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14605" cy="774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05" cy="7747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22860" cy="100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860" cy="10033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590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605" cy="5905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22860" cy="114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860" cy="11430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8953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05" cy="8953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342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605" cy="3429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946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605" cy="9461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14605" cy="1250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605" cy="12509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22860" cy="12255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860" cy="12255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977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605" cy="9779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2476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605" cy="2476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22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605" cy="2222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9461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605" cy="9461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4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605" cy="4889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79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605" cy="79375"/>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8953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605" cy="89535"/>
                          </a:xfrm>
                          <a:prstGeom prst="rect">
                            <a:avLst/>
                          </a:prstGeom>
                        </pic:spPr>
                      </pic:pic>
                    </a:graphicData>
                  </a:graphic>
                </wp:inline>
              </w:drawing>
            </w:r>
            <w:r>
              <w:rPr/>
              <w:t xml:space="preserve"> </w:t>
            </w:r>
          </w:p>
        </w:tc>
        <w:tc>
          <w:tcPr>
            <w:tcW w:w="9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3683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605" cy="3683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center"/>
              <w:rPr/>
            </w:pPr>
            <w:r>
              <w:rPr/>
              <w:drawing>
                <wp:inline distT="0" distB="0" distL="0" distR="0">
                  <wp:extent cx="14605" cy="165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605" cy="16510"/>
                          </a:xfrm>
                          <a:prstGeom prst="rect">
                            <a:avLst/>
                          </a:prstGeom>
                        </pic:spPr>
                      </pic:pic>
                    </a:graphicData>
                  </a:graphic>
                </wp:inline>
              </w:drawing>
            </w:r>
            <w:r>
              <w:rPr/>
              <w:t xml:space="preserve"> </w:t>
            </w:r>
          </w:p>
        </w:tc>
        <w:tc>
          <w:tcPr>
            <w:tcW w:w="9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center"/>
              <w:rPr/>
            </w:pPr>
            <w:r>
              <w:rPr/>
              <w:drawing>
                <wp:inline distT="0" distB="0" distL="0" distR="0">
                  <wp:extent cx="14605" cy="50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605" cy="50800"/>
                          </a:xfrm>
                          <a:prstGeom prst="rect">
                            <a:avLst/>
                          </a:prstGeom>
                        </pic:spPr>
                      </pic:pic>
                    </a:graphicData>
                  </a:graphic>
                </wp:inline>
              </w:drawing>
            </w:r>
            <w:r>
              <w:rPr/>
              <w:t xml:space="preserve"> </w:t>
            </w:r>
          </w:p>
        </w:tc>
      </w:tr>
      <w:tr>
        <w:trPr>
          <w:trHeight w:val="120" w:hRule="atLeast"/>
        </w:trPr>
        <w:tc>
          <w:tcPr>
            <w:tcW w:w="3968" w:type="dxa"/>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7"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28" w:type="dxa"/>
            <w:gridSpan w:val="2"/>
            <w:tcBorders>
              <w:top w:val="single" w:sz="8" w:space="0" w:color="B94831"/>
            </w:tcBorders>
            <w:shd w:fill="auto" w:val="clear"/>
            <w:tcMar>
              <w:top w:w="28" w:type="dxa"/>
            </w:tcMar>
            <w:vAlign w:val="center"/>
          </w:tcPr>
          <w:p>
            <w:pPr>
              <w:pStyle w:val="TableContents"/>
              <w:spacing w:before="0" w:after="283"/>
              <w:rPr/>
            </w:pPr>
            <w:r>
              <w:rPr/>
              <w:t> </w:t>
            </w:r>
          </w:p>
        </w:tc>
        <w:tc>
          <w:tcPr>
            <w:tcW w:w="334" w:type="dxa"/>
            <w:gridSpan w:val="2"/>
            <w:tcBorders>
              <w:top w:val="single" w:sz="8" w:space="0" w:color="B94831"/>
            </w:tcBorders>
            <w:shd w:fill="auto" w:val="clear"/>
            <w:tcMar>
              <w:top w:w="28" w:type="dxa"/>
            </w:tcMar>
            <w:vAlign w:val="center"/>
          </w:tcPr>
          <w:p>
            <w:pPr>
              <w:pStyle w:val="TableContents"/>
              <w:spacing w:before="0" w:after="283"/>
              <w:rPr/>
            </w:pPr>
            <w:r>
              <w:rPr/>
              <w:t> </w:t>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David Thomson</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rPr/>
            </w:pPr>
            <w:r>
              <w:rPr/>
              <w:t> </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Steve Hasker</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Kirk Arnold</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David Binet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rPr/>
            </w:pPr>
            <w:r>
              <w:rPr/>
              <w:t> </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Ed Clark</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rPr/>
            </w:pPr>
            <w:r>
              <w:rPr/>
              <w:t> </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LaVerne Council</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Mike Daniels</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Kirk Koenigsbauer</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Deanna Oppenheimer</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Simon Paris</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Kim Rivera</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Barry Salzberg</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Peter Thomson</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7"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0" w:type="dxa"/>
            <w:tcBorders>
              <w:bottom w:val="single" w:sz="2" w:space="0" w:color="AFAFAF"/>
            </w:tcBorders>
            <w:shd w:fill="auto" w:val="clear"/>
            <w:tcMar>
              <w:bottom w:w="28" w:type="dxa"/>
            </w:tcMar>
            <w:vAlign w:val="bottom"/>
          </w:tcPr>
          <w:p>
            <w:pPr>
              <w:pStyle w:val="TableContents"/>
              <w:spacing w:before="0" w:after="283"/>
              <w:rPr/>
            </w:pPr>
            <w:r>
              <w:rPr/>
              <w:t> </w:t>
            </w:r>
          </w:p>
        </w:tc>
        <w:tc>
          <w:tcPr>
            <w:tcW w:w="98"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rHeight w:val="120" w:hRule="atLeast"/>
        </w:trPr>
        <w:tc>
          <w:tcPr>
            <w:tcW w:w="3968" w:type="dxa"/>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27" w:type="dxa"/>
            <w:gridSpan w:val="2"/>
            <w:tcBorders/>
            <w:shd w:fill="auto" w:val="clear"/>
            <w:vAlign w:val="center"/>
          </w:tcPr>
          <w:p>
            <w:pPr>
              <w:pStyle w:val="TableContents"/>
              <w:spacing w:before="0" w:after="283"/>
              <w:rPr>
                <w:sz w:val="4"/>
                <w:szCs w:val="4"/>
              </w:rPr>
            </w:pPr>
            <w:r>
              <w:rPr>
                <w:sz w:val="4"/>
                <w:szCs w:val="4"/>
              </w:rPr>
            </w:r>
          </w:p>
        </w:tc>
        <w:tc>
          <w:tcPr>
            <w:tcW w:w="328" w:type="dxa"/>
            <w:gridSpan w:val="2"/>
            <w:tcBorders/>
            <w:shd w:fill="auto" w:val="clear"/>
            <w:vAlign w:val="center"/>
          </w:tcPr>
          <w:p>
            <w:pPr>
              <w:pStyle w:val="TableContents"/>
              <w:spacing w:before="0" w:after="283"/>
              <w:rPr>
                <w:sz w:val="4"/>
                <w:szCs w:val="4"/>
              </w:rPr>
            </w:pPr>
            <w:r>
              <w:rPr>
                <w:sz w:val="4"/>
                <w:szCs w:val="4"/>
              </w:rPr>
            </w:r>
          </w:p>
        </w:tc>
        <w:tc>
          <w:tcPr>
            <w:tcW w:w="334" w:type="dxa"/>
            <w:gridSpan w:val="2"/>
            <w:tcBorders/>
            <w:shd w:fill="auto" w:val="clear"/>
            <w:vAlign w:val="center"/>
          </w:tcPr>
          <w:p>
            <w:pPr>
              <w:pStyle w:val="TableContents"/>
              <w:spacing w:before="0" w:after="283"/>
              <w:rPr>
                <w:sz w:val="4"/>
                <w:szCs w:val="4"/>
              </w:rPr>
            </w:pPr>
            <w:r>
              <w:rPr>
                <w:sz w:val="4"/>
                <w:szCs w:val="4"/>
              </w:rPr>
            </w:r>
          </w:p>
        </w:tc>
      </w:tr>
      <w:tr>
        <w:trPr/>
        <w:tc>
          <w:tcPr>
            <w:tcW w:w="3968"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Beth Wilson</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7"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0" w:type="dxa"/>
            <w:tcBorders>
              <w:bottom w:val="single" w:sz="8" w:space="0" w:color="B94831"/>
            </w:tcBorders>
            <w:shd w:fill="auto" w:val="clear"/>
            <w:tcMar>
              <w:bottom w:w="28" w:type="dxa"/>
            </w:tcMar>
            <w:vAlign w:val="bottom"/>
          </w:tcPr>
          <w:p>
            <w:pPr>
              <w:pStyle w:val="TableContents"/>
              <w:spacing w:before="0" w:after="283"/>
              <w:rPr/>
            </w:pPr>
            <w:r>
              <w:rPr/>
              <w:t> </w:t>
            </w:r>
          </w:p>
        </w:tc>
        <w:tc>
          <w:tcPr>
            <w:tcW w:w="98" w:type="dxa"/>
            <w:tcBorders>
              <w:bottom w:val="single" w:sz="8" w:space="0" w:color="B94831"/>
            </w:tcBorders>
            <w:shd w:fill="auto" w:val="clear"/>
            <w:tcMar>
              <w:bottom w:w="28" w:type="dxa"/>
            </w:tcMar>
            <w:vAlign w:val="bottom"/>
          </w:tcPr>
          <w:p>
            <w:pPr>
              <w:pStyle w:val="TableContents"/>
              <w:spacing w:before="0" w:after="283"/>
              <w:rPr/>
            </w:pPr>
            <w:r>
              <w:rPr/>
              <w:t> </w:t>
            </w:r>
          </w:p>
        </w:tc>
        <w:tc>
          <w:tcPr>
            <w:tcW w:w="236"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Board Diversity </w:t>
      </w:r>
    </w:p>
    <w:p>
      <w:pPr>
        <w:pStyle w:val="TextBody"/>
        <w:spacing w:before="40" w:after="0"/>
        <w:jc w:val="left"/>
        <w:rPr>
          <w:rFonts w:ascii="arial" w:hAnsi="arial"/>
          <w:sz w:val="20"/>
        </w:rPr>
      </w:pPr>
      <w:r>
        <w:rPr>
          <w:rFonts w:ascii="arial" w:hAnsi="arial"/>
          <w:sz w:val="20"/>
        </w:rPr>
        <w:t xml:space="preserve">The Board also values the benefits that diversity can bring to the boardroom and throughout Thomson Reuters. Diversity promotes the inclusion of different perspectives and ideas, mitigates against group think and improves oversight, decision-making and governance. </w:t>
      </w:r>
    </w:p>
    <w:p>
      <w:pPr>
        <w:pStyle w:val="TextBody"/>
        <w:spacing w:before="120" w:after="0"/>
        <w:jc w:val="left"/>
        <w:rPr>
          <w:rFonts w:ascii="arial" w:hAnsi="arial"/>
          <w:sz w:val="20"/>
        </w:rPr>
      </w:pPr>
      <w:r>
        <w:rPr>
          <w:rFonts w:ascii="arial" w:hAnsi="arial"/>
          <w:sz w:val="20"/>
        </w:rPr>
        <w:t xml:space="preserve">While the Corporate Governance Committee of the Board focuses on finding the best qualified candidates for the Board, a nominees diversity may be considered favorably in his or her assessment. Our Corporate Governance Guidelines provide that diversity includes business experience, thought, style, culture, gender, geographic background, race, visible minorities, national origin, Indigenous persons, religion, gender identity and expression, sexual orientation, disability, age and other personal characteristics. </w:t>
      </w:r>
    </w:p>
    <w:p>
      <w:pPr>
        <w:pStyle w:val="TextBody"/>
        <w:spacing w:before="120" w:after="0"/>
        <w:jc w:val="left"/>
        <w:rPr>
          <w:rFonts w:ascii="arial" w:hAnsi="arial"/>
          <w:sz w:val="20"/>
        </w:rPr>
      </w:pPr>
      <w:r>
        <w:rPr>
          <w:rFonts w:ascii="arial" w:hAnsi="arial"/>
          <w:sz w:val="20"/>
        </w:rPr>
        <w:t xml:space="preserve">In April 2022, the Board formalized an objective that at least 30% of its members should be women. This was a goal that the Board had been working towards in previous years. The Board met this goal at last years annual general meeting on June 8, 2022. Five of the 14 director nominees proposed for election at the meeting (36%) are women. Two of our director nominees have self-identified as racially or ethnically diverse.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294005" cy="15494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4005" cy="154940"/>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Independence </w:t>
      </w:r>
    </w:p>
    <w:p>
      <w:pPr>
        <w:pStyle w:val="TextBody"/>
        <w:spacing w:before="40" w:after="0"/>
        <w:jc w:val="left"/>
        <w:rPr>
          <w:rFonts w:ascii="arial" w:hAnsi="arial"/>
          <w:sz w:val="20"/>
        </w:rPr>
      </w:pPr>
      <w:r>
        <w:rPr>
          <w:rFonts w:ascii="arial" w:hAnsi="arial"/>
          <w:sz w:val="20"/>
        </w:rPr>
        <w:t xml:space="preserve">A majority of the Board is independent. 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2023, the Board conducted its annual assessment of the independence of its members and determined that nine of the 14 current directors (approximately 64%) serving on the Board were independent. The Board also determined that if all of the director nominees are elected, then nine of the 14 directors (approximately 64%) will be independent following the meeting. </w:t>
      </w:r>
    </w:p>
    <w:p>
      <w:pPr>
        <w:pStyle w:val="TextBody"/>
        <w:spacing w:before="120" w:after="0"/>
        <w:jc w:val="left"/>
        <w:rPr>
          <w:rFonts w:ascii="arial" w:hAnsi="arial"/>
          <w:sz w:val="20"/>
        </w:rPr>
      </w:pPr>
      <w:r>
        <w:rPr>
          <w:rFonts w:ascii="arial" w:hAnsi="arial"/>
          <w:sz w:val="20"/>
        </w:rPr>
        <w:t xml:space="preserve">In determining independence, the Board examined and relied on the applicable definitions of independent in the NYSE listing standards and Canadian Securities Administrators National Instrument 58-101. The Boards determination of independence was also based on responses to questionnaires completed by directors. </w:t>
      </w:r>
    </w:p>
    <w:p>
      <w:pPr>
        <w:pStyle w:val="TextBody"/>
        <w:spacing w:before="120" w:after="0"/>
        <w:jc w:val="left"/>
        <w:rPr>
          <w:rFonts w:ascii="arial" w:hAnsi="arial"/>
          <w:sz w:val="20"/>
        </w:rPr>
      </w:pPr>
      <w:r>
        <w:rPr>
          <w:rFonts w:ascii="arial" w:hAnsi="arial"/>
          <w:sz w:val="20"/>
        </w:rPr>
        <w:t xml:space="preserve">For the Board to function independently from management: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roles and responsibilities of the Chairman (David Thomson) and the CEO (Steve Hasker) are separate;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We have a Lead Independent Director (Michael E. Daniels);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Audit Committee is comprised entirely of independent directors (as required by applicable law) and the Corporate Governance Committee, HR Committee and Risk Committee each have a majority of independent directors.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table below indicates which of our directors are independent and not independent.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93"/>
        <w:gridCol w:w="65"/>
        <w:gridCol w:w="1514"/>
        <w:gridCol w:w="65"/>
        <w:gridCol w:w="1486"/>
        <w:gridCol w:w="65"/>
        <w:gridCol w:w="1925"/>
        <w:gridCol w:w="121"/>
        <w:gridCol w:w="3671"/>
      </w:tblGrid>
      <w:tr>
        <w:trPr/>
        <w:tc>
          <w:tcPr>
            <w:tcW w:w="129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293" w:type="dxa"/>
            <w:tcBorders/>
            <w:shd w:fill="auto" w:val="clear"/>
            <w:vAlign w:val="center"/>
          </w:tcPr>
          <w:p>
            <w:pPr>
              <w:pStyle w:val="TableContents"/>
              <w:spacing w:before="0" w:after="283"/>
              <w:rPr>
                <w:sz w:val="4"/>
                <w:szCs w:val="4"/>
              </w:rPr>
            </w:pPr>
            <w:r>
              <w:rPr>
                <w:sz w:val="4"/>
                <w:szCs w:val="4"/>
              </w:rPr>
            </w:r>
          </w:p>
        </w:tc>
        <w:tc>
          <w:tcPr>
            <w:tcW w:w="8912" w:type="dxa"/>
            <w:gridSpan w:val="8"/>
            <w:tcBorders/>
            <w:shd w:fill="BFBFBF" w:val="clear"/>
            <w:vAlign w:val="center"/>
          </w:tcPr>
          <w:p>
            <w:pPr>
              <w:pStyle w:val="TableContents"/>
              <w:spacing w:before="0" w:after="283"/>
              <w:rPr>
                <w:sz w:val="4"/>
                <w:szCs w:val="4"/>
              </w:rPr>
            </w:pPr>
            <w:r>
              <w:rPr>
                <w:sz w:val="4"/>
                <w:szCs w:val="4"/>
              </w:rPr>
            </w:r>
          </w:p>
        </w:tc>
      </w:tr>
      <w:tr>
        <w:trPr/>
        <w:tc>
          <w:tcPr>
            <w:tcW w:w="1293" w:type="dxa"/>
            <w:tcBorders/>
            <w:shd w:fill="auto" w:val="clear"/>
            <w:vAlign w:val="bottom"/>
          </w:tcPr>
          <w:p>
            <w:pPr>
              <w:pStyle w:val="TableContents"/>
              <w:spacing w:before="0" w:after="283"/>
              <w:rPr/>
            </w:pPr>
            <w:r>
              <w:rPr/>
              <w:t> </w:t>
            </w:r>
          </w:p>
        </w:tc>
        <w:tc>
          <w:tcPr>
            <w:tcW w:w="65" w:type="dxa"/>
            <w:tcBorders/>
            <w:shd w:fill="BFBFBF" w:val="clear"/>
            <w:vAlign w:val="bottom"/>
          </w:tcPr>
          <w:p>
            <w:pPr>
              <w:pStyle w:val="TableContents"/>
              <w:spacing w:before="0" w:after="283"/>
              <w:rPr/>
            </w:pPr>
            <w:r>
              <w:rPr/>
              <w:t> </w:t>
            </w:r>
          </w:p>
        </w:tc>
        <w:tc>
          <w:tcPr>
            <w:tcW w:w="8847" w:type="dxa"/>
            <w:gridSpan w:val="7"/>
            <w:tcBorders/>
            <w:shd w:fill="BFBFBF" w:val="clear"/>
            <w:vAlign w:val="bottom"/>
          </w:tcPr>
          <w:p>
            <w:pPr>
              <w:pStyle w:val="TableContents"/>
              <w:spacing w:lineRule="atLeast" w:line="280" w:before="0" w:after="0"/>
              <w:jc w:val="center"/>
              <w:rPr>
                <w:rFonts w:ascii="Arial" w:hAnsi="Arial"/>
                <w:b/>
                <w:sz w:val="17"/>
              </w:rPr>
            </w:pPr>
            <w:r>
              <w:rPr>
                <w:rFonts w:ascii="Arial" w:hAnsi="Arial"/>
                <w:b/>
                <w:sz w:val="17"/>
              </w:rPr>
              <w:t>Director Independence</w:t>
            </w:r>
          </w:p>
        </w:tc>
      </w:tr>
      <w:tr>
        <w:trPr>
          <w:trHeight w:val="150" w:hRule="atLeast"/>
        </w:trPr>
        <w:tc>
          <w:tcPr>
            <w:tcW w:w="1293" w:type="dxa"/>
            <w:tcBorders/>
            <w:shd w:fill="262626" w:val="clear"/>
            <w:vAlign w:val="center"/>
          </w:tcPr>
          <w:p>
            <w:pPr>
              <w:pStyle w:val="TableContents"/>
              <w:spacing w:before="0" w:after="283"/>
              <w:rPr>
                <w:sz w:val="4"/>
                <w:szCs w:val="4"/>
              </w:rPr>
            </w:pPr>
            <w:r>
              <w:rPr>
                <w:sz w:val="4"/>
                <w:szCs w:val="4"/>
              </w:rPr>
            </w:r>
          </w:p>
        </w:tc>
        <w:tc>
          <w:tcPr>
            <w:tcW w:w="1579"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551"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990"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3792"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293" w:type="dxa"/>
            <w:tcBorders>
              <w:bottom w:val="single" w:sz="8" w:space="0" w:color="B94831"/>
            </w:tcBorders>
            <w:shd w:fill="262626" w:val="clear"/>
            <w:tcMar>
              <w:bottom w:w="100" w:type="dxa"/>
            </w:tcMar>
            <w:vAlign w:val="bottom"/>
          </w:tcPr>
          <w:p>
            <w:pPr>
              <w:pStyle w:val="TableContents"/>
              <w:spacing w:before="0" w:after="283"/>
              <w:rPr>
                <w:rFonts w:ascii="Arial" w:hAnsi="Arial"/>
                <w:b/>
                <w:color w:val="FFFFFF"/>
              </w:rPr>
            </w:pPr>
            <w:r>
              <w:rPr>
                <w:rFonts w:ascii="Arial" w:hAnsi="Arial"/>
                <w:b/>
                <w:color w:val="FFFFFF"/>
              </w:rPr>
              <w:t>Name of Director</w:t>
            </w:r>
          </w:p>
        </w:tc>
        <w:tc>
          <w:tcPr>
            <w:tcW w:w="65"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514"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Management</w:t>
            </w:r>
          </w:p>
        </w:tc>
        <w:tc>
          <w:tcPr>
            <w:tcW w:w="65"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486"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Independent</w:t>
            </w:r>
          </w:p>
        </w:tc>
        <w:tc>
          <w:tcPr>
            <w:tcW w:w="65"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925" w:type="dxa"/>
            <w:tcBorders>
              <w:bottom w:val="single" w:sz="8" w:space="0" w:color="B94831"/>
            </w:tcBorders>
            <w:shd w:fill="262626" w:val="clear"/>
            <w:tcMar>
              <w:bottom w:w="100" w:type="dxa"/>
            </w:tcMar>
            <w:vAlign w:val="bottom"/>
          </w:tcPr>
          <w:p>
            <w:pPr>
              <w:pStyle w:val="TableContents"/>
              <w:spacing w:before="0" w:after="283"/>
              <w:jc w:val="center"/>
              <w:rPr>
                <w:rFonts w:ascii="Arial" w:hAnsi="Arial"/>
                <w:b/>
                <w:color w:val="FFFFFF"/>
              </w:rPr>
            </w:pPr>
            <w:r>
              <w:rPr>
                <w:rFonts w:ascii="Arial" w:hAnsi="Arial"/>
                <w:b/>
                <w:color w:val="FFFFFF"/>
              </w:rPr>
              <w:t>Not Independent</w:t>
            </w:r>
          </w:p>
        </w:tc>
        <w:tc>
          <w:tcPr>
            <w:tcW w:w="121"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3671" w:type="dxa"/>
            <w:tcBorders>
              <w:bottom w:val="single" w:sz="8" w:space="0" w:color="B94831"/>
            </w:tcBorders>
            <w:shd w:fill="262626" w:val="clear"/>
            <w:tcMar>
              <w:bottom w:w="100" w:type="dxa"/>
            </w:tcMar>
            <w:vAlign w:val="bottom"/>
          </w:tcPr>
          <w:p>
            <w:pPr>
              <w:pStyle w:val="TableContents"/>
              <w:spacing w:before="0" w:after="283"/>
              <w:rPr>
                <w:rFonts w:ascii="Arial" w:hAnsi="Arial"/>
                <w:b/>
                <w:color w:val="FFFFFF"/>
              </w:rPr>
            </w:pPr>
            <w:r>
              <w:rPr>
                <w:rFonts w:ascii="Arial" w:hAnsi="Arial"/>
                <w:b/>
                <w:color w:val="FFFFFF"/>
              </w:rPr>
              <w:t>Reason for Non-Independence</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Current directors</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David Thomson</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jc w:val="center"/>
              <w:rPr/>
            </w:pPr>
            <w:r>
              <w:rPr/>
              <w: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A Chairman of Woodbridge</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Steve Hasker</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jc w:val="center"/>
              <w:rPr/>
            </w:pPr>
            <w:r>
              <w:rPr/>
              <w: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President &amp; Chief Executive Officer of Thomson Reuters</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Kirk E. Arnold</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David W. Binet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jc w:val="center"/>
              <w:rPr/>
            </w:pPr>
            <w:r>
              <w:rPr/>
              <w: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President of Woodbridge</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W. Edmund Clark, C.M.</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jc w:val="center"/>
              <w:rPr/>
            </w:pPr>
            <w:r>
              <w:rPr/>
              <w: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Advisor to the trustee of the 2003 TIL Settlement and Woodbridge</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LaVerne Council</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Michael E. Daniels</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Kirk Koenigsbauer</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Deanna Oppenheimer</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Simon Paris</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Kim M. Rivera</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Barry Salzberg</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jc w:val="center"/>
              <w:rPr/>
            </w:pPr>
            <w:r>
              <w:rPr/>
              <w:t>✓</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rPr/>
            </w:pPr>
            <w:r>
              <w:rPr/>
              <w:t> </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 </w:t>
            </w:r>
          </w:p>
        </w:tc>
      </w:tr>
      <w:tr>
        <w:trPr/>
        <w:tc>
          <w:tcPr>
            <w:tcW w:w="129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Peter J. Thomson</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514"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486" w:type="dxa"/>
            <w:tcBorders>
              <w:bottom w:val="single" w:sz="2" w:space="0" w:color="AFAFAF"/>
            </w:tcBorders>
            <w:shd w:fill="auto" w:val="clear"/>
            <w:tcMar>
              <w:bottom w:w="28" w:type="dxa"/>
            </w:tcMar>
          </w:tcPr>
          <w:p>
            <w:pPr>
              <w:pStyle w:val="TableContents"/>
              <w:spacing w:before="0" w:after="283"/>
              <w:rPr/>
            </w:pPr>
            <w:r>
              <w:rPr/>
              <w:t> </w:t>
            </w:r>
          </w:p>
        </w:tc>
        <w:tc>
          <w:tcPr>
            <w:tcW w:w="65"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28" w:type="dxa"/>
            </w:tcMar>
          </w:tcPr>
          <w:p>
            <w:pPr>
              <w:pStyle w:val="TableContents"/>
              <w:spacing w:before="0" w:after="283"/>
              <w:jc w:val="center"/>
              <w:rPr/>
            </w:pPr>
            <w:r>
              <w:rPr/>
              <w: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3671" w:type="dxa"/>
            <w:tcBorders>
              <w:bottom w:val="single" w:sz="2" w:space="0" w:color="AFAFAF"/>
            </w:tcBorders>
            <w:shd w:fill="auto" w:val="clear"/>
            <w:tcMar>
              <w:bottom w:w="28" w:type="dxa"/>
            </w:tcMar>
          </w:tcPr>
          <w:p>
            <w:pPr>
              <w:pStyle w:val="TableContents"/>
              <w:spacing w:before="0" w:after="283"/>
              <w:rPr/>
            </w:pPr>
            <w:r>
              <w:rPr/>
              <w:t>A Chairman of Woodbridge</w:t>
            </w:r>
          </w:p>
        </w:tc>
      </w:tr>
      <w:tr>
        <w:trPr/>
        <w:tc>
          <w:tcPr>
            <w:tcW w:w="129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Beth Wilson</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514" w:type="dxa"/>
            <w:tcBorders>
              <w:bottom w:val="single" w:sz="8" w:space="0" w:color="B94831"/>
            </w:tcBorders>
            <w:shd w:fill="auto" w:val="clear"/>
            <w:tcMar>
              <w:bottom w:w="28" w:type="dxa"/>
            </w:tcMar>
          </w:tcPr>
          <w:p>
            <w:pPr>
              <w:pStyle w:val="TableContents"/>
              <w:spacing w:before="0" w:after="283"/>
              <w:rPr/>
            </w:pPr>
            <w:r>
              <w:rPr/>
              <w:t> </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486" w:type="dxa"/>
            <w:tcBorders>
              <w:bottom w:val="single" w:sz="8" w:space="0" w:color="B94831"/>
            </w:tcBorders>
            <w:shd w:fill="auto" w:val="clear"/>
            <w:tcMar>
              <w:bottom w:w="28" w:type="dxa"/>
            </w:tcMar>
          </w:tcPr>
          <w:p>
            <w:pPr>
              <w:pStyle w:val="TableContents"/>
              <w:spacing w:before="0" w:after="283"/>
              <w:jc w:val="center"/>
              <w:rPr/>
            </w:pPr>
            <w:r>
              <w:rPr/>
              <w:t>✓</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925" w:type="dxa"/>
            <w:tcBorders>
              <w:bottom w:val="single" w:sz="8" w:space="0" w:color="B94831"/>
            </w:tcBorders>
            <w:shd w:fill="auto" w:val="clear"/>
            <w:tcMar>
              <w:bottom w:w="28" w:type="dxa"/>
            </w:tcMar>
          </w:tcPr>
          <w:p>
            <w:pPr>
              <w:pStyle w:val="TableContents"/>
              <w:spacing w:before="0" w:after="283"/>
              <w:rPr/>
            </w:pPr>
            <w:r>
              <w:rPr/>
              <w:t> </w:t>
            </w:r>
          </w:p>
        </w:tc>
        <w:tc>
          <w:tcPr>
            <w:tcW w:w="121" w:type="dxa"/>
            <w:tcBorders>
              <w:bottom w:val="single" w:sz="8" w:space="0" w:color="B94831"/>
            </w:tcBorders>
            <w:shd w:fill="auto" w:val="clear"/>
            <w:tcMar>
              <w:bottom w:w="28" w:type="dxa"/>
            </w:tcMar>
            <w:vAlign w:val="bottom"/>
          </w:tcPr>
          <w:p>
            <w:pPr>
              <w:pStyle w:val="TableContents"/>
              <w:spacing w:before="0" w:after="283"/>
              <w:rPr/>
            </w:pPr>
            <w:r>
              <w:rPr/>
              <w:t>  </w:t>
            </w:r>
          </w:p>
        </w:tc>
        <w:tc>
          <w:tcPr>
            <w:tcW w:w="3671" w:type="dxa"/>
            <w:tcBorders>
              <w:bottom w:val="single" w:sz="8" w:space="0" w:color="B94831"/>
            </w:tcBorders>
            <w:shd w:fill="auto" w:val="clear"/>
            <w:tcMar>
              <w:bottom w:w="28" w:type="dxa"/>
            </w:tcMar>
          </w:tcPr>
          <w:p>
            <w:pPr>
              <w:pStyle w:val="TableContents"/>
              <w:spacing w:before="0" w:after="283"/>
              <w:rPr/>
            </w:pPr>
            <w:r>
              <w:rPr/>
              <w:t> </w:t>
            </w:r>
          </w:p>
        </w:tc>
      </w:tr>
      <w:tr>
        <w:trPr/>
        <w:tc>
          <w:tcPr>
            <w:tcW w:w="129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514"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1</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486"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9</w:t>
            </w:r>
          </w:p>
        </w:tc>
        <w:tc>
          <w:tcPr>
            <w:tcW w:w="65" w:type="dxa"/>
            <w:tcBorders>
              <w:bottom w:val="single" w:sz="8" w:space="0" w:color="B94831"/>
            </w:tcBorders>
            <w:shd w:fill="auto" w:val="clear"/>
            <w:tcMar>
              <w:bottom w:w="28" w:type="dxa"/>
            </w:tcMar>
            <w:vAlign w:val="bottom"/>
          </w:tcPr>
          <w:p>
            <w:pPr>
              <w:pStyle w:val="TableContents"/>
              <w:spacing w:before="0" w:after="283"/>
              <w:rPr/>
            </w:pPr>
            <w:r>
              <w:rPr/>
              <w:t> </w:t>
            </w:r>
          </w:p>
        </w:tc>
        <w:tc>
          <w:tcPr>
            <w:tcW w:w="1925"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5</w:t>
            </w:r>
          </w:p>
        </w:tc>
        <w:tc>
          <w:tcPr>
            <w:tcW w:w="121" w:type="dxa"/>
            <w:tcBorders>
              <w:bottom w:val="single" w:sz="8" w:space="0" w:color="B94831"/>
            </w:tcBorders>
            <w:shd w:fill="auto" w:val="clear"/>
            <w:tcMar>
              <w:bottom w:w="28" w:type="dxa"/>
            </w:tcMar>
            <w:vAlign w:val="bottom"/>
          </w:tcPr>
          <w:p>
            <w:pPr>
              <w:pStyle w:val="TableContents"/>
              <w:spacing w:before="0" w:after="283"/>
              <w:rPr/>
            </w:pPr>
            <w:r>
              <w:rPr/>
              <w:t>  </w:t>
            </w:r>
          </w:p>
        </w:tc>
        <w:tc>
          <w:tcPr>
            <w:tcW w:w="3671"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David Thomson, David Binet, Ed Clark and Peter Thomson are not members of Thomson Reuters executive management team. With its substantial equity investment in Thomson Reuters, Woodbridge considers that its interests as a shareholder are aligned with those of all other shareholders. </w:t>
      </w:r>
    </w:p>
    <w:p>
      <w:pPr>
        <w:pStyle w:val="TextBody"/>
        <w:spacing w:before="120" w:after="0"/>
        <w:jc w:val="left"/>
        <w:rPr>
          <w:rFonts w:ascii="arial" w:hAnsi="arial"/>
          <w:sz w:val="20"/>
        </w:rPr>
      </w:pPr>
      <w:r>
        <w:rPr>
          <w:rFonts w:ascii="arial" w:hAnsi="arial"/>
          <w:sz w:val="20"/>
        </w:rPr>
        <w:t xml:space="preserve">In determining the independence of directors, the Board also considers that in the normal course of business, we provide services to, and receive services from, companies with which some of the independent directors are affiliated. Based on the specific facts and circumstances, the Board determined in March 2023 that these relationships were immaterial. </w:t>
      </w:r>
    </w:p>
    <w:p>
      <w:pPr>
        <w:pStyle w:val="TextBody"/>
        <w:spacing w:before="120" w:after="0"/>
        <w:jc w:val="left"/>
        <w:rPr>
          <w:rFonts w:ascii="arial" w:hAnsi="arial"/>
          <w:color w:val="B94831"/>
          <w:sz w:val="28"/>
        </w:rPr>
      </w:pPr>
      <w:r>
        <w:rPr>
          <w:rFonts w:ascii="arial" w:hAnsi="arial"/>
          <w:color w:val="B94831"/>
          <w:sz w:val="28"/>
        </w:rPr>
        <w:t xml:space="preserve">Tenure </w:t>
      </w:r>
    </w:p>
    <w:p>
      <w:pPr>
        <w:pStyle w:val="TextBody"/>
        <w:spacing w:before="40" w:after="0"/>
        <w:jc w:val="left"/>
        <w:rPr>
          <w:rFonts w:ascii="arial" w:hAnsi="arial"/>
          <w:sz w:val="20"/>
        </w:rPr>
      </w:pPr>
      <w:r>
        <w:rPr>
          <w:rFonts w:ascii="arial" w:hAnsi="arial"/>
          <w:sz w:val="20"/>
        </w:rPr>
        <w:t xml:space="preserve">Our Board has not adopted a mandatory retirement age or term limits for individual directors. We believe that individuals can continue to remain effective directors beyond a mandated retirement age or maximum period of service. Without having a mandatory retirement age or term limits, we have experienced turnover on our Board that has brought directors with new perspectives and approaches. This has complemented the depth of knowledge and insight about our company and business operations that some of our more long-standing directors have developed over time. </w:t>
      </w:r>
    </w:p>
    <w:p>
      <w:pPr>
        <w:pStyle w:val="TextBody"/>
        <w:spacing w:before="120" w:after="0"/>
        <w:jc w:val="left"/>
        <w:rPr>
          <w:rFonts w:ascii="arial" w:hAnsi="arial"/>
          <w:sz w:val="20"/>
        </w:rPr>
      </w:pPr>
      <w:r>
        <w:rPr>
          <w:rFonts w:ascii="arial" w:hAnsi="arial"/>
          <w:sz w:val="20"/>
        </w:rPr>
        <w:t xml:space="preserve">The following shows the tenure of our director nominees. As reflected below, a majority of the director nominees have served for less than five years.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281305" cy="1358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81305" cy="135890"/>
                    </a:xfrm>
                    <a:prstGeom prst="rect">
                      <a:avLst/>
                    </a:prstGeom>
                  </pic:spPr>
                </pic:pic>
              </a:graphicData>
            </a:graphic>
          </wp:inline>
        </w:drawing>
      </w:r>
      <w:r>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The average tenure of director nominees who are considered independent is </w:t>
      </w:r>
      <w:r>
        <w:rPr>
          <w:rFonts w:ascii="Arial" w:hAnsi="Arial"/>
          <w:b/>
          <w:color w:val="B94831"/>
          <w:sz w:val="30"/>
        </w:rPr>
        <w:t xml:space="preserve">3.7 years </w:t>
      </w:r>
      <w:r>
        <w:rPr>
          <w:rFonts w:ascii="arial" w:hAnsi="arial"/>
          <w:sz w:val="30"/>
        </w:rPr>
        <w:t xml:space="preserve">and the average tenure of all director nominees (which includes directors affiliated with our principal shareholder) is </w:t>
      </w:r>
      <w:r>
        <w:rPr>
          <w:rFonts w:ascii="Arial" w:hAnsi="Arial"/>
          <w:b/>
          <w:color w:val="B94831"/>
          <w:sz w:val="30"/>
        </w:rPr>
        <w:t>9.8 years</w:t>
      </w:r>
      <w:r>
        <w:rPr>
          <w:rFonts w:ascii="arial" w:hAnsi="arial"/>
          <w:sz w:val="30"/>
        </w:rPr>
        <w:t xml:space="preserv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three director nominees who have been members of the Board for more than 10 years (David Thomson, Peter Thomson and David Binet) are affiliated with our companys principal shareholder, Woodbridge. </w:t>
      </w:r>
    </w:p>
    <w:p>
      <w:pPr>
        <w:pStyle w:val="TextBody"/>
        <w:spacing w:before="120" w:after="0"/>
        <w:jc w:val="left"/>
        <w:rPr>
          <w:rFonts w:ascii="arial" w:hAnsi="arial"/>
          <w:color w:val="B94831"/>
          <w:sz w:val="28"/>
        </w:rPr>
      </w:pPr>
      <w:r>
        <w:rPr>
          <w:rFonts w:ascii="arial" w:hAnsi="arial"/>
          <w:color w:val="B94831"/>
          <w:sz w:val="28"/>
        </w:rPr>
        <w:t xml:space="preserve">Age </w:t>
      </w:r>
    </w:p>
    <w:p>
      <w:pPr>
        <w:pStyle w:val="TextBody"/>
        <w:spacing w:before="40" w:after="0"/>
        <w:jc w:val="left"/>
        <w:rPr>
          <w:rFonts w:ascii="arial" w:hAnsi="arial"/>
          <w:sz w:val="20"/>
        </w:rPr>
      </w:pPr>
      <w:r>
        <w:rPr>
          <w:rFonts w:ascii="arial" w:hAnsi="arial"/>
          <w:sz w:val="20"/>
        </w:rPr>
        <w:t xml:space="preserve">The following shows the age ranges of our director nominees. The average age of our director nominees is 61.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261620" cy="1377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61620" cy="13779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Countries of Residence </w:t>
      </w:r>
    </w:p>
    <w:p>
      <w:pPr>
        <w:pStyle w:val="TextBody"/>
        <w:spacing w:before="40" w:after="0"/>
        <w:jc w:val="left"/>
        <w:rPr>
          <w:rFonts w:ascii="arial" w:hAnsi="arial"/>
          <w:sz w:val="20"/>
        </w:rPr>
      </w:pPr>
      <w:r>
        <w:rPr>
          <w:rFonts w:ascii="arial" w:hAnsi="arial"/>
          <w:sz w:val="20"/>
        </w:rPr>
        <w:t xml:space="preserve">The following shows the countries where our director nominees ordinarily reside. </w:t>
      </w:r>
    </w:p>
    <w:p>
      <w:pPr>
        <w:pStyle w:val="TextBody"/>
        <w:spacing w:before="0" w:after="0"/>
        <w:jc w:val="left"/>
        <w:rPr/>
      </w:pPr>
      <w:r>
        <w:rPr/>
        <w:t> </w:t>
      </w:r>
    </w:p>
    <w:p>
      <w:pPr>
        <w:pStyle w:val="TextBody"/>
        <w:spacing w:before="0" w:after="0"/>
        <w:jc w:val="left"/>
        <w:rPr/>
      </w:pPr>
      <w:r>
        <w:rPr/>
        <w:drawing>
          <wp:inline distT="0" distB="0" distL="0" distR="0">
            <wp:extent cx="300990" cy="1365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00990" cy="13652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Interlocking Directorships </w:t>
      </w:r>
    </w:p>
    <w:p>
      <w:pPr>
        <w:pStyle w:val="TextBody"/>
        <w:spacing w:before="40" w:after="0"/>
        <w:jc w:val="left"/>
        <w:rPr>
          <w:rFonts w:ascii="arial" w:hAnsi="arial"/>
          <w:sz w:val="20"/>
        </w:rPr>
      </w:pPr>
      <w:r>
        <w:rPr>
          <w:rFonts w:ascii="arial" w:hAnsi="arial"/>
          <w:sz w:val="20"/>
        </w:rPr>
        <w:t xml:space="preserve">We do not have any director nominees who serve together on boards of other public companies. The Board has adopted a policy that no more than two of our directors may serve together on the boards of other public companies without the consent of the Corporate Governance Committee. </w:t>
      </w:r>
    </w:p>
    <w:p>
      <w:pPr>
        <w:pStyle w:val="TextBody"/>
        <w:spacing w:before="120" w:after="0"/>
        <w:jc w:val="left"/>
        <w:rPr>
          <w:rFonts w:ascii="arial" w:hAnsi="arial"/>
          <w:color w:val="B94831"/>
          <w:sz w:val="28"/>
        </w:rPr>
      </w:pPr>
      <w:r>
        <w:rPr>
          <w:rFonts w:ascii="arial" w:hAnsi="arial"/>
          <w:color w:val="B94831"/>
          <w:sz w:val="28"/>
        </w:rPr>
        <w:t xml:space="preserve">Service on Other Boards </w:t>
      </w:r>
    </w:p>
    <w:p>
      <w:pPr>
        <w:pStyle w:val="TextBody"/>
        <w:spacing w:before="40" w:after="0"/>
        <w:jc w:val="left"/>
        <w:rPr>
          <w:rFonts w:ascii="arial" w:hAnsi="arial"/>
          <w:sz w:val="20"/>
        </w:rPr>
      </w:pPr>
      <w:r>
        <w:rPr>
          <w:rFonts w:ascii="arial" w:hAnsi="arial"/>
          <w:sz w:val="20"/>
        </w:rPr>
        <w:t xml:space="preserve">Our directors are not restricted from serving on the boards of other public or private companies so long as their commitments do not materially interfere with or are not incompatible with, their ability to fulfill their duties as a member of our companys Board. Directors must, however, receive approval from the Chair of the Corporate Governance Committee before accepting an invitation to serve on the board of another public company and must notify the Chair of the Corporate Governance Committee in connection with accepting an invitation to serve on the board of a for-profit private company that is not a family business. The Corporate Governance Committee monitors the outside boards that our directors sit on to determine if there are circumstances that would impact a directors ability to exercise independent judgment and to ensure that a director has sufficient time to fulfill his or her commitments to Thomson Reuters.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14" w:name="tx494196_20"/>
      <w:bookmarkEnd w:id="14"/>
      <w:r>
        <w:rPr>
          <w:rFonts w:ascii="Arial" w:hAnsi="Arial"/>
          <w:b/>
          <w:sz w:val="28"/>
        </w:rPr>
        <w:t xml:space="preserve">Nominee Information </w:t>
      </w:r>
    </w:p>
    <w:p>
      <w:pPr>
        <w:pStyle w:val="TextBody"/>
        <w:spacing w:before="40" w:after="0"/>
        <w:jc w:val="left"/>
        <w:rPr>
          <w:rFonts w:ascii="arial" w:hAnsi="arial"/>
          <w:sz w:val="20"/>
        </w:rPr>
      </w:pPr>
      <w:r>
        <w:rPr>
          <w:rFonts w:ascii="arial" w:hAnsi="arial"/>
          <w:sz w:val="20"/>
        </w:rPr>
        <w:t xml:space="preserve">The following provides information regarding the 14 director nominees who are proposed to be elected at the meeting, including a brief biography, city and country of residence, the year that they were appointed to our Board, independence status, primary areas of expertise, committee membership, attendance at Board and committee meetings in 2022 and ownership of Thomson Reuters securities. This information also reflects the percentage of for votes received by each director nominee at our 2022 annual meeting of shareholders. </w:t>
      </w:r>
    </w:p>
    <w:p>
      <w:pPr>
        <w:pStyle w:val="TextBody"/>
        <w:spacing w:before="120" w:after="0"/>
        <w:jc w:val="left"/>
        <w:rPr>
          <w:rFonts w:ascii="arial" w:hAnsi="arial"/>
          <w:sz w:val="20"/>
        </w:rPr>
      </w:pPr>
      <w:r>
        <w:rPr>
          <w:rFonts w:ascii="arial" w:hAnsi="arial"/>
          <w:sz w:val="20"/>
        </w:rPr>
        <w:t xml:space="preserve">In the director nominee profiles, securities held by a director nominee includes common shares over which a director nominee exercised control or direction, and the number of deferred share units (DSUs), restricted share units (RSUs) and options held by, or credited to, each individual as of April 21, 2023. Information regarding common shares beneficially owned does not include shares that may be obtained through the exercise or vesting of DSUs, RSUs or options. Our CEO Steve Hasker is the only director who holds RSUs or options. Each director nominee provided us with information about how many common shares he or she beneficially owns. </w:t>
      </w:r>
    </w:p>
    <w:p>
      <w:pPr>
        <w:pStyle w:val="TextBody"/>
        <w:spacing w:before="120" w:after="0"/>
        <w:jc w:val="left"/>
        <w:rPr>
          <w:rFonts w:ascii="arial" w:hAnsi="arial"/>
          <w:sz w:val="20"/>
        </w:rPr>
      </w:pPr>
      <w:r>
        <w:rPr>
          <w:rFonts w:ascii="arial" w:hAnsi="arial"/>
          <w:sz w:val="20"/>
        </w:rPr>
        <w:t xml:space="preserve">The market value of shares beneficially owned is based on the closing price of our common shares on the NYSE on April 21, 2023, which was $132.75. The market value of DSUs is also based on the closing price of our common shares on the NYSE on that date. We have also included information about each director nominees ownership of Thomson Reuters common shares and DSUs as of April 21, 2023 as a multiple of their annual retainer. Additional information about director share ownership guidelines is provided later in this section.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41"/>
        <w:gridCol w:w="67"/>
        <w:gridCol w:w="67"/>
        <w:gridCol w:w="60"/>
        <w:gridCol w:w="1340"/>
        <w:gridCol w:w="123"/>
        <w:gridCol w:w="495"/>
        <w:gridCol w:w="123"/>
        <w:gridCol w:w="1220"/>
        <w:gridCol w:w="123"/>
        <w:gridCol w:w="620"/>
        <w:gridCol w:w="67"/>
        <w:gridCol w:w="1022"/>
        <w:gridCol w:w="67"/>
        <w:gridCol w:w="1120"/>
        <w:gridCol w:w="123"/>
        <w:gridCol w:w="1627"/>
      </w:tblGrid>
      <w:tr>
        <w:trPr/>
        <w:tc>
          <w:tcPr>
            <w:tcW w:w="194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r>
      <w:tr>
        <w:trPr/>
        <w:tc>
          <w:tcPr>
            <w:tcW w:w="1941"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220" cy="10922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9220" cy="10922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David Thomson1</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65</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1988</w:t>
            </w:r>
          </w:p>
          <w:p>
            <w:pPr>
              <w:pStyle w:val="TableContents"/>
              <w:spacing w:before="0" w:after="0"/>
              <w:rPr/>
            </w:pPr>
            <w:r>
              <w:rPr/>
              <w:t> </w:t>
            </w:r>
          </w:p>
          <w:p>
            <w:pPr>
              <w:pStyle w:val="TableContents"/>
              <w:spacing w:before="0" w:after="0"/>
              <w:rPr>
                <w:rFonts w:ascii="arial" w:hAnsi="arial"/>
                <w:sz w:val="15"/>
              </w:rPr>
            </w:pPr>
            <w:r>
              <w:rPr>
                <w:rFonts w:ascii="arial" w:hAnsi="arial"/>
                <w:sz w:val="15"/>
              </w:rPr>
              <w:t>Non-independent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investment management, retail, media/publishing</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98.84%</w:t>
            </w:r>
          </w:p>
        </w:tc>
        <w:tc>
          <w:tcPr>
            <w:tcW w:w="67" w:type="dxa"/>
            <w:tcBorders>
              <w:top w:val="single" w:sz="8" w:space="0" w:color="B94831"/>
            </w:tcBorders>
            <w:shd w:fill="auto" w:val="clear"/>
            <w:tcMar>
              <w:top w:w="28" w:type="dxa"/>
            </w:tcMar>
            <w:vAlign w:val="bottom"/>
          </w:tcPr>
          <w:p>
            <w:pPr>
              <w:pStyle w:val="TableContents"/>
              <w:spacing w:before="0" w:after="283"/>
              <w:rPr/>
            </w:pPr>
            <w:r>
              <w:rPr/>
              <w:t> </w:t>
            </w:r>
          </w:p>
        </w:tc>
        <w:tc>
          <w:tcPr>
            <w:tcW w:w="67"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07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David Thomson</w:t>
            </w:r>
          </w:p>
          <w:p>
            <w:pPr>
              <w:pStyle w:val="TableContents"/>
              <w:spacing w:before="0" w:after="0"/>
              <w:rPr/>
            </w:pPr>
            <w:r>
              <w:rPr/>
              <w:t> </w:t>
            </w:r>
          </w:p>
          <w:p>
            <w:pPr>
              <w:pStyle w:val="TableContents"/>
              <w:spacing w:before="0" w:after="0"/>
              <w:rPr>
                <w:rFonts w:ascii="arial" w:hAnsi="arial"/>
                <w:sz w:val="16"/>
              </w:rPr>
            </w:pPr>
            <w:r>
              <w:rPr>
                <w:rFonts w:ascii="arial" w:hAnsi="arial"/>
                <w:sz w:val="16"/>
              </w:rPr>
              <w:t>David Thomson is Chairman of Thomson Reuters. He is also a Chairman of Woodbridge, the Thomson family investment company, and Chairman of The Globe and Mail Inc., a Canadian media company. David is an active private investor with a focus on real estate and serves on the boards of several private companies. David has an MA from Cambridge.</w:t>
            </w:r>
          </w:p>
          <w:p>
            <w:pPr>
              <w:pStyle w:val="TableContents"/>
              <w:spacing w:before="0" w:after="20"/>
              <w:rPr/>
            </w:pPr>
            <w:r>
              <w:rPr/>
              <w:t> </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4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838"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4646"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rPr/>
            </w:pPr>
            <w:r>
              <w:rPr/>
              <w:t>Board</w:t>
            </w:r>
          </w:p>
        </w:tc>
        <w:tc>
          <w:tcPr>
            <w:tcW w:w="123"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7 of 7</w:t>
            </w:r>
          </w:p>
        </w:tc>
        <w:tc>
          <w:tcPr>
            <w:tcW w:w="123"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100%</w:t>
            </w:r>
          </w:p>
        </w:tc>
        <w:tc>
          <w:tcPr>
            <w:tcW w:w="123"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center"/>
              <w:rPr/>
            </w:pPr>
            <w:r>
              <w:rPr/>
              <w:t></w:t>
            </w:r>
          </w:p>
        </w:tc>
        <w:tc>
          <w:tcPr>
            <w:tcW w:w="67"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627" w:type="dxa"/>
            <w:tcBorders/>
            <w:shd w:fill="auto" w:val="clear"/>
            <w:vAlign w:val="bottom"/>
          </w:tcPr>
          <w:p>
            <w:pPr>
              <w:pStyle w:val="TableContents"/>
              <w:spacing w:before="0" w:after="283"/>
              <w:rPr>
                <w:sz w:val="4"/>
                <w:szCs w:val="4"/>
              </w:rPr>
            </w:pPr>
            <w:r>
              <w:rPr>
                <w:sz w:val="4"/>
                <w:szCs w:val="4"/>
              </w:rPr>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34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Total</w:t>
            </w:r>
          </w:p>
        </w:tc>
        <w:tc>
          <w:tcPr>
            <w:tcW w:w="123"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495"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7 of 7</w:t>
            </w:r>
          </w:p>
        </w:tc>
        <w:tc>
          <w:tcPr>
            <w:tcW w:w="123"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2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100%</w:t>
            </w:r>
          </w:p>
        </w:tc>
        <w:tc>
          <w:tcPr>
            <w:tcW w:w="123"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7"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0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7"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3"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627"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4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 (number and value)2</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495" w:type="dxa"/>
            <w:tcBorders>
              <w:bottom w:val="single" w:sz="2" w:space="0" w:color="AFAFAF"/>
            </w:tcBorders>
            <w:shd w:fill="auto" w:val="clear"/>
            <w:tcMar>
              <w:bottom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220" w:type="dxa"/>
            <w:tcBorders>
              <w:bottom w:val="single" w:sz="2" w:space="0" w:color="AFAFAF"/>
            </w:tcBorders>
            <w:shd w:fill="auto" w:val="clear"/>
            <w:tcMar>
              <w:bottom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620" w:type="dxa"/>
            <w:tcBorders>
              <w:bottom w:val="single" w:sz="2" w:space="0" w:color="AFAFAF"/>
            </w:tcBorders>
            <w:shd w:fill="auto" w:val="clear"/>
            <w:tcMar>
              <w:bottom w:w="28" w:type="dxa"/>
            </w:tcMar>
            <w:vAlign w:val="bottom"/>
          </w:tcPr>
          <w:p>
            <w:pPr>
              <w:pStyle w:val="TableContents"/>
              <w:spacing w:before="0" w:after="283"/>
              <w:rPr/>
            </w:pPr>
            <w:r>
              <w:rPr/>
              <w:t> </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022"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DSUs3</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12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4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rFonts w:ascii="arial" w:hAnsi="arial"/>
                <w:sz w:val="16"/>
              </w:rPr>
            </w:pPr>
            <w:r>
              <w:rPr>
                <w:rFonts w:ascii="arial" w:hAnsi="arial"/>
                <w:sz w:val="16"/>
              </w:rPr>
              <w:t>50,000</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495"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22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118,071</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62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022" w:type="dxa"/>
            <w:tcBorders>
              <w:bottom w:val="single" w:sz="2" w:space="0" w:color="AFAFAF"/>
            </w:tcBorders>
            <w:shd w:fill="auto" w:val="clear"/>
            <w:tcMar>
              <w:bottom w:w="80" w:type="dxa"/>
            </w:tcMar>
            <w:vAlign w:val="bottom"/>
          </w:tcPr>
          <w:p>
            <w:pPr>
              <w:pStyle w:val="TableContents"/>
              <w:spacing w:before="0" w:after="283"/>
              <w:rPr/>
            </w:pPr>
            <w:r>
              <w:rPr/>
              <w:t>168,071</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40" w:type="dxa"/>
            <w:tcBorders>
              <w:bottom w:val="single" w:sz="2" w:space="0" w:color="AFAFAF"/>
            </w:tcBorders>
            <w:shd w:fill="auto" w:val="clear"/>
            <w:tcMar>
              <w:bottom w:w="80" w:type="dxa"/>
            </w:tcMar>
            <w:vAlign w:val="bottom"/>
          </w:tcPr>
          <w:p>
            <w:pPr>
              <w:pStyle w:val="TableContents"/>
              <w:spacing w:before="0" w:after="283"/>
              <w:rPr/>
            </w:pPr>
            <w:r>
              <w:rPr/>
              <w:t>$</w:t>
            </w:r>
            <w:r>
              <w:rPr>
                <w:i/>
              </w:rPr>
              <w:t>6,637,500</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495" w:type="dxa"/>
            <w:tcBorders>
              <w:bottom w:val="single" w:sz="2" w:space="0" w:color="AFAFAF"/>
            </w:tcBorders>
            <w:shd w:fill="auto" w:val="clear"/>
            <w:tcMar>
              <w:bottom w:w="80" w:type="dxa"/>
            </w:tcMar>
            <w:vAlign w:val="bottom"/>
          </w:tcPr>
          <w:p>
            <w:pPr>
              <w:pStyle w:val="TableContents"/>
              <w:spacing w:before="0" w:after="0"/>
              <w:jc w:val="center"/>
              <w:rPr>
                <w:rFonts w:ascii="arial" w:hAnsi="arial"/>
                <w:sz w:val="16"/>
              </w:rPr>
            </w:pPr>
            <w:r>
              <w:rPr>
                <w:rFonts w:ascii="arial" w:hAnsi="arial"/>
                <w:sz w:val="16"/>
              </w:rPr>
              <w:t></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220" w:type="dxa"/>
            <w:tcBorders>
              <w:bottom w:val="single" w:sz="2" w:space="0" w:color="AFAFAF"/>
            </w:tcBorders>
            <w:shd w:fill="auto" w:val="clear"/>
            <w:tcMar>
              <w:bottom w:w="80" w:type="dxa"/>
            </w:tcMar>
            <w:vAlign w:val="bottom"/>
          </w:tcPr>
          <w:p>
            <w:pPr>
              <w:pStyle w:val="TableContents"/>
              <w:spacing w:before="0" w:after="283"/>
              <w:rPr>
                <w:i/>
              </w:rPr>
            </w:pPr>
            <w:r>
              <w:rPr>
                <w:i/>
              </w:rPr>
              <w:t>$15,673,925</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620" w:type="dxa"/>
            <w:tcBorders>
              <w:bottom w:val="single" w:sz="2" w:space="0" w:color="AFAFAF"/>
            </w:tcBorders>
            <w:shd w:fill="auto" w:val="clear"/>
            <w:tcMar>
              <w:bottom w:w="80" w:type="dxa"/>
            </w:tcMar>
            <w:vAlign w:val="bottom"/>
          </w:tcPr>
          <w:p>
            <w:pPr>
              <w:pStyle w:val="TableContents"/>
              <w:spacing w:before="0" w:after="283"/>
              <w:jc w:val="center"/>
              <w:rPr/>
            </w:pPr>
            <w:r>
              <w:rPr/>
              <w:t></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022" w:type="dxa"/>
            <w:tcBorders>
              <w:bottom w:val="single" w:sz="2" w:space="0" w:color="AFAFAF"/>
            </w:tcBorders>
            <w:shd w:fill="auto" w:val="clear"/>
            <w:tcMar>
              <w:bottom w:w="28" w:type="dxa"/>
            </w:tcMar>
            <w:vAlign w:val="bottom"/>
          </w:tcPr>
          <w:p>
            <w:pPr>
              <w:pStyle w:val="TableContents"/>
              <w:spacing w:before="0" w:after="283"/>
              <w:rPr/>
            </w:pPr>
            <w:r>
              <w:rPr/>
              <w:t> </w:t>
            </w:r>
          </w:p>
        </w:tc>
        <w:tc>
          <w:tcPr>
            <w:tcW w:w="67" w:type="dxa"/>
            <w:tcBorders>
              <w:bottom w:val="single" w:sz="2" w:space="0" w:color="AFAFAF"/>
            </w:tcBorders>
            <w:shd w:fill="auto" w:val="clear"/>
            <w:tcMar>
              <w:bottom w:w="28" w:type="dxa"/>
            </w:tcMar>
            <w:vAlign w:val="bottom"/>
          </w:tcPr>
          <w:p>
            <w:pPr>
              <w:pStyle w:val="TableContents"/>
              <w:spacing w:before="0" w:after="283"/>
              <w:rPr/>
            </w:pPr>
            <w:r>
              <w:rPr/>
              <w:t> </w:t>
            </w:r>
          </w:p>
        </w:tc>
        <w:tc>
          <w:tcPr>
            <w:tcW w:w="1120" w:type="dxa"/>
            <w:tcBorders>
              <w:bottom w:val="single" w:sz="2" w:space="0" w:color="AFAFAF"/>
            </w:tcBorders>
            <w:shd w:fill="auto" w:val="clear"/>
            <w:tcMar>
              <w:bottom w:w="80" w:type="dxa"/>
            </w:tcMar>
            <w:vAlign w:val="bottom"/>
          </w:tcPr>
          <w:p>
            <w:pPr>
              <w:pStyle w:val="TableContents"/>
              <w:spacing w:before="0" w:after="283"/>
              <w:jc w:val="center"/>
              <w:rPr/>
            </w:pPr>
            <w:r>
              <w:rPr/>
              <w:t>$</w:t>
            </w:r>
            <w:r>
              <w:rPr>
                <w:i/>
              </w:rPr>
              <w:t>22,311,425</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80" w:type="dxa"/>
            </w:tcMar>
            <w:vAlign w:val="bottom"/>
          </w:tcPr>
          <w:p>
            <w:pPr>
              <w:pStyle w:val="TableContents"/>
              <w:spacing w:before="0" w:after="283"/>
              <w:jc w:val="center"/>
              <w:rPr/>
            </w:pPr>
            <w:r>
              <w:rPr/>
              <w:t></w:t>
            </w:r>
          </w:p>
        </w:tc>
      </w:tr>
      <w:tr>
        <w:trPr/>
        <w:tc>
          <w:tcPr>
            <w:tcW w:w="194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7" w:type="dxa"/>
            <w:tcBorders>
              <w:bottom w:val="single" w:sz="8" w:space="0" w:color="B94831"/>
            </w:tcBorders>
            <w:shd w:fill="auto" w:val="clear"/>
            <w:tcMar>
              <w:bottom w:w="28" w:type="dxa"/>
            </w:tcMar>
            <w:vAlign w:val="bottom"/>
          </w:tcPr>
          <w:p>
            <w:pPr>
              <w:pStyle w:val="TableContents"/>
              <w:spacing w:before="0" w:after="283"/>
              <w:rPr/>
            </w:pPr>
            <w:r>
              <w:rPr/>
              <w:t> </w:t>
            </w:r>
          </w:p>
        </w:tc>
        <w:tc>
          <w:tcPr>
            <w:tcW w:w="67"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8070" w:type="dxa"/>
            <w:gridSpan w:val="13"/>
            <w:tcBorders>
              <w:bottom w:val="single" w:sz="8" w:space="0" w:color="B94831"/>
            </w:tcBorders>
            <w:shd w:fill="auto" w:val="clear"/>
            <w:tcMar>
              <w:bottom w:w="28" w:type="dxa"/>
            </w:tcMar>
            <w:vAlign w:val="bottom"/>
          </w:tcPr>
          <w:p>
            <w:pPr>
              <w:pStyle w:val="TableContents"/>
              <w:spacing w:before="0" w:after="0"/>
              <w:rPr>
                <w:rFonts w:ascii="arial" w:hAnsi="arial"/>
                <w:sz w:val="15"/>
              </w:rPr>
            </w:pPr>
            <w:r>
              <w:rPr>
                <w:rFonts w:ascii="arial" w:hAnsi="arial"/>
                <w:sz w:val="15"/>
              </w:rPr>
              <w:t>1  David Thomson and Peter Thomson, both of whom are nominees, are brothers.</w:t>
            </w:r>
          </w:p>
          <w:p>
            <w:pPr>
              <w:pStyle w:val="TableContents"/>
              <w:spacing w:before="0" w:after="0"/>
              <w:rPr>
                <w:rFonts w:ascii="arial" w:hAnsi="arial"/>
                <w:sz w:val="15"/>
              </w:rPr>
            </w:pPr>
            <w:r>
              <w:rPr>
                <w:rFonts w:ascii="arial" w:hAnsi="arial"/>
                <w:sz w:val="15"/>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pStyle w:val="TableContents"/>
              <w:spacing w:before="0" w:after="20"/>
              <w:rPr>
                <w:rFonts w:ascii="arial" w:hAnsi="arial"/>
                <w:sz w:val="15"/>
              </w:rPr>
            </w:pPr>
            <w:r>
              <w:rPr>
                <w:rFonts w:ascii="arial" w:hAnsi="arial"/>
                <w:sz w:val="15"/>
              </w:rPr>
              <w:t>3  An additional 1,400 shares are held by an immediate family member of David Thomson.</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2005" w:type="dxa"/>
        <w:jc w:val="center"/>
        <w:tblInd w:w="0" w:type="dxa"/>
        <w:tblCellMar>
          <w:top w:w="0" w:type="dxa"/>
          <w:left w:w="0" w:type="dxa"/>
          <w:bottom w:w="0" w:type="dxa"/>
          <w:right w:w="0" w:type="dxa"/>
        </w:tblCellMar>
      </w:tblPr>
      <w:tblGrid>
        <w:gridCol w:w="1805"/>
        <w:gridCol w:w="60"/>
        <w:gridCol w:w="60"/>
        <w:gridCol w:w="60"/>
        <w:gridCol w:w="2180"/>
        <w:gridCol w:w="120"/>
        <w:gridCol w:w="735"/>
        <w:gridCol w:w="60"/>
        <w:gridCol w:w="1100"/>
        <w:gridCol w:w="120"/>
        <w:gridCol w:w="605"/>
        <w:gridCol w:w="120"/>
        <w:gridCol w:w="1430"/>
        <w:gridCol w:w="120"/>
        <w:gridCol w:w="1100"/>
        <w:gridCol w:w="120"/>
        <w:gridCol w:w="2210"/>
      </w:tblGrid>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80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Steve Hasker</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53</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2020</w:t>
            </w:r>
          </w:p>
          <w:p>
            <w:pPr>
              <w:pStyle w:val="TableContents"/>
              <w:spacing w:before="0" w:after="0"/>
              <w:rPr/>
            </w:pPr>
            <w:r>
              <w:rPr/>
              <w:t> </w:t>
            </w:r>
          </w:p>
          <w:p>
            <w:pPr>
              <w:pStyle w:val="TableContents"/>
              <w:spacing w:before="0" w:after="0"/>
              <w:rPr>
                <w:rFonts w:ascii="arial" w:hAnsi="arial"/>
                <w:sz w:val="15"/>
              </w:rPr>
            </w:pPr>
            <w:r>
              <w:rPr>
                <w:rFonts w:ascii="arial" w:hAnsi="arial"/>
                <w:sz w:val="15"/>
              </w:rPr>
              <w:t>Non-independent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operations, international business, strategy and technology</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99.50%</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1002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Steve Hasker</w:t>
            </w:r>
          </w:p>
          <w:p>
            <w:pPr>
              <w:pStyle w:val="TableContents"/>
              <w:spacing w:before="0" w:after="0"/>
              <w:rPr/>
            </w:pPr>
            <w:r>
              <w:rPr/>
              <w:t> </w:t>
            </w:r>
          </w:p>
          <w:p>
            <w:pPr>
              <w:pStyle w:val="TableContents"/>
              <w:spacing w:before="0" w:after="0"/>
              <w:rPr>
                <w:rFonts w:ascii="arial" w:hAnsi="arial"/>
                <w:sz w:val="16"/>
              </w:rPr>
            </w:pPr>
            <w:r>
              <w:rPr>
                <w:rFonts w:ascii="arial" w:hAnsi="arial"/>
                <w:sz w:val="16"/>
              </w:rPr>
              <w:t>Steve Hasker has been President and Chief Executive Officer and a director of Thomson Reuters since March 2020. Prior to joining Thomson Reuters in February 2020, he was Senior Advisor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He is a member of the Australia and New Zealand Institute of Chartered Accountants. Steve has an undergraduate economics degree from the University of Melbourne and received an MBA and masters in international affairs from Columbia University.</w:t>
            </w:r>
          </w:p>
          <w:p>
            <w:pPr>
              <w:pStyle w:val="TableContents"/>
              <w:spacing w:before="0" w:after="20"/>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89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705"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75" w:type="dxa"/>
            <w:gridSpan w:val="5"/>
            <w:tcBorders/>
            <w:shd w:fill="auto" w:val="clear"/>
            <w:vAlign w:val="bottom"/>
          </w:tcPr>
          <w:p>
            <w:pPr>
              <w:pStyle w:val="TableContents"/>
              <w:spacing w:before="0" w:after="283"/>
              <w:rPr/>
            </w:pPr>
            <w:r>
              <w:rPr/>
              <w:t>Appen Limited</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18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Total</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735"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7 of 7</w:t>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100%</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05"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43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21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 (number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5"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base salary2</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80" w:type="dxa"/>
            </w:tcMar>
            <w:vAlign w:val="bottom"/>
          </w:tcPr>
          <w:p>
            <w:pPr>
              <w:pStyle w:val="TableContents"/>
              <w:spacing w:before="0" w:after="20"/>
              <w:rPr>
                <w:rFonts w:ascii="arial" w:hAnsi="arial"/>
                <w:sz w:val="16"/>
              </w:rPr>
            </w:pPr>
            <w:r>
              <w:rPr>
                <w:rFonts w:ascii="arial" w:hAnsi="arial"/>
                <w:sz w:val="16"/>
              </w:rPr>
              <w:t>Common shares 29,622</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80" w:type="dxa"/>
            </w:tcMar>
            <w:vAlign w:val="bottom"/>
          </w:tcPr>
          <w:p>
            <w:pPr>
              <w:pStyle w:val="TableContents"/>
              <w:spacing w:before="0" w:after="20"/>
              <w:jc w:val="center"/>
              <w:rPr>
                <w:rFonts w:ascii="arial" w:hAnsi="arial"/>
                <w:sz w:val="16"/>
              </w:rPr>
            </w:pPr>
            <w:r>
              <w:rPr>
                <w:rFonts w:ascii="arial" w:hAnsi="arial"/>
                <w:sz w:val="16"/>
              </w:rPr>
              <w:t>RSUs 146,152</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80" w:type="dxa"/>
            </w:tcMar>
            <w:vAlign w:val="bottom"/>
          </w:tcPr>
          <w:p>
            <w:pPr>
              <w:pStyle w:val="TableContents"/>
              <w:spacing w:before="0" w:after="0"/>
              <w:jc w:val="center"/>
              <w:rPr>
                <w:rFonts w:ascii="arial" w:hAnsi="arial"/>
                <w:sz w:val="16"/>
              </w:rPr>
            </w:pPr>
            <w:r>
              <w:rPr>
                <w:rFonts w:ascii="arial" w:hAnsi="arial"/>
                <w:sz w:val="16"/>
              </w:rPr>
              <w:t>DSUs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5" w:type="dxa"/>
            <w:tcBorders>
              <w:bottom w:val="single" w:sz="2" w:space="0" w:color="AFAFAF"/>
            </w:tcBorders>
            <w:shd w:fill="auto" w:val="clear"/>
            <w:tcMar>
              <w:bottom w:w="80" w:type="dxa"/>
            </w:tcMar>
            <w:vAlign w:val="bottom"/>
          </w:tcPr>
          <w:p>
            <w:pPr>
              <w:pStyle w:val="TableContents"/>
              <w:spacing w:before="0" w:after="20"/>
              <w:jc w:val="center"/>
              <w:rPr>
                <w:rFonts w:ascii="arial" w:hAnsi="arial"/>
                <w:sz w:val="16"/>
              </w:rPr>
            </w:pPr>
            <w:r>
              <w:rPr>
                <w:rFonts w:ascii="arial" w:hAnsi="arial"/>
                <w:sz w:val="16"/>
              </w:rPr>
              <w:t>Options 544,318</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80" w:type="dxa"/>
            </w:tcMar>
            <w:vAlign w:val="bottom"/>
          </w:tcPr>
          <w:p>
            <w:pPr>
              <w:pStyle w:val="TableContents"/>
              <w:spacing w:before="0" w:after="283"/>
              <w:jc w:val="center"/>
              <w:rPr/>
            </w:pPr>
            <w:r>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80" w:type="dxa"/>
            </w:tcMar>
            <w:vAlign w:val="bottom"/>
          </w:tcPr>
          <w:p>
            <w:pPr>
              <w:pStyle w:val="TableContents"/>
              <w:spacing w:before="0" w:after="20"/>
              <w:rPr>
                <w:rFonts w:ascii="arial" w:hAnsi="arial"/>
                <w:i/>
                <w:sz w:val="16"/>
              </w:rPr>
            </w:pPr>
            <w:r>
              <w:rPr>
                <w:rFonts w:ascii="arial" w:hAnsi="arial"/>
                <w:i/>
                <w:sz w:val="16"/>
              </w:rPr>
              <w:t>$3,932,321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80" w:type="dxa"/>
            </w:tcMar>
            <w:vAlign w:val="bottom"/>
          </w:tcPr>
          <w:p>
            <w:pPr>
              <w:pStyle w:val="TableContents"/>
              <w:spacing w:before="0" w:after="0"/>
              <w:jc w:val="center"/>
              <w:rPr>
                <w:rFonts w:ascii="arial" w:hAnsi="arial"/>
                <w:sz w:val="16"/>
              </w:rPr>
            </w:pPr>
            <w:r>
              <w:rPr>
                <w:rFonts w:ascii="arial" w:hAnsi="arial"/>
                <w:sz w:val="16"/>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80" w:type="dxa"/>
            </w:tcMar>
            <w:vAlign w:val="bottom"/>
          </w:tcPr>
          <w:p>
            <w:pPr>
              <w:pStyle w:val="TableContents"/>
              <w:spacing w:before="0" w:after="283"/>
              <w:jc w:val="center"/>
              <w:rPr/>
            </w:pPr>
            <w:r>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5" w:type="dxa"/>
            <w:tcBorders>
              <w:bottom w:val="single" w:sz="2" w:space="0" w:color="AFAFAF"/>
            </w:tcBorders>
            <w:shd w:fill="auto" w:val="clear"/>
            <w:tcMar>
              <w:bottom w:w="80" w:type="dxa"/>
            </w:tcMar>
            <w:vAlign w:val="bottom"/>
          </w:tcPr>
          <w:p>
            <w:pPr>
              <w:pStyle w:val="TableContents"/>
              <w:spacing w:before="0" w:after="283"/>
              <w:jc w:val="center"/>
              <w:rPr/>
            </w:pPr>
            <w:r>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80" w:type="dxa"/>
            </w:tcMar>
            <w:vAlign w:val="bottom"/>
          </w:tcPr>
          <w:p>
            <w:pPr>
              <w:pStyle w:val="TableContents"/>
              <w:spacing w:before="0" w:after="283"/>
              <w:jc w:val="center"/>
              <w:rPr/>
            </w:pPr>
            <w:r>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80" w:type="dxa"/>
            </w:tcMar>
            <w:vAlign w:val="bottom"/>
          </w:tcPr>
          <w:p>
            <w:pPr>
              <w:pStyle w:val="TableContents"/>
              <w:spacing w:before="0" w:after="283"/>
              <w:rPr>
                <w:i/>
              </w:rPr>
            </w:pPr>
            <w:r>
              <w:rPr>
                <w:i/>
              </w:rPr>
              <w:t>3.4x</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020" w:type="dxa"/>
            <w:gridSpan w:val="13"/>
            <w:tcBorders>
              <w:bottom w:val="single" w:sz="8" w:space="0" w:color="B94831"/>
            </w:tcBorders>
            <w:shd w:fill="auto" w:val="clear"/>
            <w:tcMar>
              <w:bottom w:w="28" w:type="dxa"/>
            </w:tcMar>
            <w:vAlign w:val="bottom"/>
          </w:tcPr>
          <w:p>
            <w:pPr>
              <w:pStyle w:val="TableContents"/>
              <w:spacing w:before="0" w:after="0"/>
              <w:rPr>
                <w:rFonts w:ascii="arial" w:hAnsi="arial"/>
                <w:sz w:val="15"/>
              </w:rPr>
            </w:pPr>
            <w:r>
              <w:rPr>
                <w:rFonts w:ascii="arial" w:hAnsi="arial"/>
                <w:sz w:val="15"/>
              </w:rPr>
              <w:t>1  48,717 of Steves 146,152 RSUs are time-based restricted share units (TRSUs). As of April 21, 2023, the value of Steves TRSUs was $6,467,182.</w:t>
            </w:r>
          </w:p>
          <w:p>
            <w:pPr>
              <w:pStyle w:val="TableContents"/>
              <w:spacing w:before="0" w:after="20"/>
              <w:rPr>
                <w:rFonts w:ascii="arial" w:hAnsi="arial"/>
                <w:sz w:val="15"/>
              </w:rPr>
            </w:pPr>
            <w:r>
              <w:rPr>
                <w:rFonts w:ascii="arial" w:hAnsi="arial"/>
                <w:sz w:val="15"/>
              </w:rPr>
              <w:t>2  Reflects Steves ratio under his executive ownership guidelines, which is based on a multiple of his salary.</w:t>
            </w:r>
          </w:p>
        </w:tc>
      </w:tr>
      <w:tr>
        <w:trPr/>
        <w:tc>
          <w:tcPr>
            <w:tcW w:w="18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20" w:type="dxa"/>
            <w:gridSpan w:val="13"/>
            <w:tcBorders/>
            <w:shd w:fill="auto" w:val="clear"/>
            <w:vAlign w:val="bottom"/>
          </w:tcPr>
          <w:p>
            <w:pPr>
              <w:pStyle w:val="TableContents"/>
              <w:spacing w:before="0" w:after="283"/>
              <w:rPr>
                <w:sz w:val="4"/>
                <w:szCs w:val="4"/>
              </w:rPr>
            </w:pPr>
            <w:r>
              <w:rPr>
                <w:sz w:val="4"/>
                <w:szCs w:val="4"/>
              </w:rPr>
            </w:r>
          </w:p>
        </w:tc>
      </w:tr>
      <w:tr>
        <w:trPr/>
        <w:tc>
          <w:tcPr>
            <w:tcW w:w="180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Kirk E. Arnold</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63</w:t>
            </w:r>
          </w:p>
          <w:p>
            <w:pPr>
              <w:pStyle w:val="TableContents"/>
              <w:spacing w:before="0" w:after="0"/>
              <w:rPr/>
            </w:pPr>
            <w:r>
              <w:rPr/>
              <w:t> </w:t>
            </w:r>
          </w:p>
          <w:p>
            <w:pPr>
              <w:pStyle w:val="TableContents"/>
              <w:spacing w:before="0" w:after="0"/>
              <w:rPr>
                <w:rFonts w:ascii="arial" w:hAnsi="arial"/>
                <w:sz w:val="15"/>
              </w:rPr>
            </w:pPr>
            <w:r>
              <w:rPr>
                <w:rFonts w:ascii="arial" w:hAnsi="arial"/>
                <w:sz w:val="15"/>
              </w:rPr>
              <w:t>Kennebunk, Maine,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2020</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technology, strategy, sales &amp; marketing, human capital management</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99.49%</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1002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Kirk E. Arnold</w:t>
            </w:r>
          </w:p>
          <w:p>
            <w:pPr>
              <w:pStyle w:val="TableContents"/>
              <w:spacing w:before="0" w:after="0"/>
              <w:rPr/>
            </w:pPr>
            <w:r>
              <w:rPr/>
              <w:t> </w:t>
            </w:r>
          </w:p>
          <w:p>
            <w:pPr>
              <w:pStyle w:val="TableContents"/>
              <w:spacing w:before="0" w:after="0"/>
              <w:rPr>
                <w:rFonts w:ascii="arial" w:hAnsi="arial"/>
                <w:sz w:val="16"/>
              </w:rPr>
            </w:pPr>
            <w:r>
              <w:rPr>
                <w:rFonts w:ascii="arial" w:hAnsi="arial"/>
                <w:sz w:val="16"/>
              </w:rPr>
              <w:t>Kirk E. Arnold has been Executive-in-Residence at General Catalyst Ventures since 2018, where she works with management teams to help scale and drive growth by providing mentorship, operational and strategic support. She was previously Chief Executive Officer of Data Intensity, LLC, a cloud-based data, applications and analytics managed service provider, from 2013 to 2017. Prior to that, Kirk was Chief Operating Officer of Avid, a technology provider in the media industry, and Chief Executive Officer and President of Keane, Inc., then a publicly traded global services provider. She has also held senior leadership roles at Computer Sciences Corp., Fidelity Investments and IBM. In addition, she was founder and Chief Executive Officer of NerveWire, a management consulting and systems integration provider. Kirk serves on the boards of several private companies. In addition, she is a Senior Lecturer at MIT Sloan School of Management and an advisor to the Center for MIT Entrepreneurship. Kirk received a bachelors degree from Dartmouth College.</w:t>
            </w:r>
          </w:p>
          <w:p>
            <w:pPr>
              <w:pStyle w:val="TableContents"/>
              <w:spacing w:before="0" w:after="20"/>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89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705"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6 of 7</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86%</w:t>
            </w:r>
          </w:p>
        </w:tc>
        <w:tc>
          <w:tcPr>
            <w:tcW w:w="120" w:type="dxa"/>
            <w:tcBorders/>
            <w:shd w:fill="auto" w:val="clear"/>
            <w:vAlign w:val="bottom"/>
          </w:tcPr>
          <w:p>
            <w:pPr>
              <w:pStyle w:val="TableContents"/>
              <w:spacing w:before="0" w:after="283"/>
              <w:rPr/>
            </w:pPr>
            <w:r>
              <w:rPr/>
              <w:t>  </w:t>
            </w:r>
          </w:p>
        </w:tc>
        <w:tc>
          <w:tcPr>
            <w:tcW w:w="3375" w:type="dxa"/>
            <w:gridSpan w:val="5"/>
            <w:tcBorders/>
            <w:shd w:fill="auto" w:val="clear"/>
            <w:vAlign w:val="bottom"/>
          </w:tcPr>
          <w:p>
            <w:pPr>
              <w:pStyle w:val="TableContents"/>
              <w:spacing w:before="0" w:after="283"/>
              <w:rPr/>
            </w:pPr>
            <w:r>
              <w:rPr/>
              <w:t>Ingersoll-Rand plc</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Corporate Governance</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75" w:type="dxa"/>
            <w:gridSpan w:val="5"/>
            <w:tcBorders/>
            <w:shd w:fill="auto" w:val="clear"/>
            <w:vAlign w:val="bottom"/>
          </w:tcPr>
          <w:p>
            <w:pPr>
              <w:pStyle w:val="TableContents"/>
              <w:spacing w:before="0" w:after="283"/>
              <w:rPr/>
            </w:pPr>
            <w:r>
              <w:rPr/>
              <w:t>Trane Technologies</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HR</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Risk</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4 of 4</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18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Total</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735"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22 of 23</w:t>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96%</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05"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43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21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5"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 shares</w:t>
              <w:b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Ownership multiple</w:t>
              <w:br/>
              <w:t>of annual retainer</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20"/>
              <w:rPr>
                <w:rFonts w:ascii="arial" w:hAnsi="arial"/>
                <w:sz w:val="16"/>
              </w:rPr>
            </w:pPr>
            <w:r>
              <w:rPr>
                <w:rFonts w:ascii="arial" w:hAnsi="arial"/>
                <w:sz w:val="16"/>
              </w:rPr>
              <w:t>DSUs 9,178</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5" w:type="dxa"/>
            <w:tcBorders>
              <w:bottom w:val="single" w:sz="2" w:space="0" w:color="AFAFAF"/>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0"/>
              <w:rPr>
                <w:rFonts w:ascii="arial" w:hAnsi="arial"/>
                <w:sz w:val="16"/>
              </w:rPr>
            </w:pPr>
            <w:r>
              <w:rPr>
                <w:rFonts w:ascii="arial" w:hAnsi="arial"/>
                <w:sz w:val="16"/>
              </w:rPr>
              <w:t>9,178</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180" w:type="dxa"/>
            <w:tcBorders>
              <w:bottom w:val="single" w:sz="8" w:space="0" w:color="B94831"/>
            </w:tcBorders>
            <w:shd w:fill="auto" w:val="clear"/>
            <w:tcMar>
              <w:bottom w:w="120" w:type="dxa"/>
            </w:tcMar>
            <w:vAlign w:val="bottom"/>
          </w:tcPr>
          <w:p>
            <w:pPr>
              <w:pStyle w:val="TableContents"/>
              <w:spacing w:before="0" w:after="283"/>
              <w:jc w:val="center"/>
              <w:rPr/>
            </w:pPr>
            <w:r>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735"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$1,218,380</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605" w:type="dxa"/>
            <w:tcBorders>
              <w:bottom w:val="single" w:sz="8" w:space="0" w:color="B94831"/>
            </w:tcBorders>
            <w:shd w:fill="auto" w:val="clear"/>
            <w:tcMar>
              <w:bottom w:w="120" w:type="dxa"/>
            </w:tcMar>
            <w:vAlign w:val="bottom"/>
          </w:tcPr>
          <w:p>
            <w:pPr>
              <w:pStyle w:val="TableContents"/>
              <w:spacing w:before="0" w:after="283"/>
              <w:jc w:val="center"/>
              <w:rPr/>
            </w:pPr>
            <w:r>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430"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$1,218,380</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2210" w:type="dxa"/>
            <w:tcBorders>
              <w:bottom w:val="single" w:sz="8" w:space="0" w:color="B94831"/>
            </w:tcBorders>
            <w:shd w:fill="auto" w:val="clear"/>
            <w:tcMar>
              <w:bottom w:w="120" w:type="dxa"/>
            </w:tcMar>
            <w:vAlign w:val="bottom"/>
          </w:tcPr>
          <w:p>
            <w:pPr>
              <w:pStyle w:val="TableContents"/>
              <w:spacing w:before="0" w:after="20"/>
              <w:rPr>
                <w:rFonts w:ascii="arial" w:hAnsi="arial"/>
                <w:sz w:val="16"/>
              </w:rPr>
            </w:pPr>
            <w:r>
              <w:rPr>
                <w:rFonts w:ascii="arial" w:hAnsi="arial"/>
                <w:sz w:val="16"/>
              </w:rPr>
              <w:t>5.4x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30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1125" w:type="dxa"/>
        <w:jc w:val="center"/>
        <w:tblInd w:w="0" w:type="dxa"/>
        <w:tblCellMar>
          <w:top w:w="0" w:type="dxa"/>
          <w:left w:w="0" w:type="dxa"/>
          <w:bottom w:w="0" w:type="dxa"/>
          <w:right w:w="0" w:type="dxa"/>
        </w:tblCellMar>
      </w:tblPr>
      <w:tblGrid>
        <w:gridCol w:w="1235"/>
        <w:gridCol w:w="60"/>
        <w:gridCol w:w="60"/>
        <w:gridCol w:w="60"/>
        <w:gridCol w:w="2180"/>
        <w:gridCol w:w="120"/>
        <w:gridCol w:w="560"/>
        <w:gridCol w:w="60"/>
        <w:gridCol w:w="980"/>
        <w:gridCol w:w="120"/>
        <w:gridCol w:w="590"/>
        <w:gridCol w:w="120"/>
        <w:gridCol w:w="1430"/>
        <w:gridCol w:w="120"/>
        <w:gridCol w:w="1100"/>
        <w:gridCol w:w="120"/>
        <w:gridCol w:w="2210"/>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23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220" cy="10922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9220" cy="10922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David W. Binet</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65</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2013</w:t>
            </w:r>
          </w:p>
          <w:p>
            <w:pPr>
              <w:pStyle w:val="TableContents"/>
              <w:spacing w:before="0" w:after="0"/>
              <w:rPr/>
            </w:pPr>
            <w:r>
              <w:rPr/>
              <w:t> </w:t>
            </w:r>
          </w:p>
          <w:p>
            <w:pPr>
              <w:pStyle w:val="TableContents"/>
              <w:spacing w:before="0" w:after="0"/>
              <w:rPr>
                <w:rFonts w:ascii="arial" w:hAnsi="arial"/>
                <w:sz w:val="15"/>
              </w:rPr>
            </w:pPr>
            <w:r>
              <w:rPr>
                <w:rFonts w:ascii="arial" w:hAnsi="arial"/>
                <w:sz w:val="15"/>
              </w:rPr>
              <w:t>Non-independent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legal, media/publishing, investment management</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95.31%</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971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David W. Binet</w:t>
            </w:r>
          </w:p>
          <w:p>
            <w:pPr>
              <w:pStyle w:val="TableContents"/>
              <w:spacing w:before="0" w:after="0"/>
              <w:rPr/>
            </w:pPr>
            <w:r>
              <w:rPr/>
              <w:t> </w:t>
            </w:r>
          </w:p>
          <w:p>
            <w:pPr>
              <w:pStyle w:val="TableContents"/>
              <w:spacing w:before="0" w:after="0"/>
              <w:rPr>
                <w:rFonts w:ascii="arial" w:hAnsi="arial"/>
                <w:sz w:val="16"/>
              </w:rPr>
            </w:pPr>
            <w:r>
              <w:rPr>
                <w:rFonts w:ascii="arial" w:hAnsi="arial"/>
                <w:sz w:val="16"/>
              </w:rPr>
              <w:t>David W. Binet is Deputy Chairman of Thomson Reuters. He is also President and Chief Executive Officer and a director of Woodbridge, the Thomson family investment company. Prior to 2013, he held a number of senior positions at Woodbridge between 1999 and 2012, including Chief Operating Officer. David is a director of The Globe and Mail Inc., a Canadian media company and of a number of other companies in which Woodbridge is invested. David served as Chairman of the Thomson Reuters Foundation from October 1, 2009 through March 14, 2020. Prior to joining Woodbridge in 1999, he was a partner at a major law firm. David has a law degree from McGill University, a BA from Queens University and a graduate degree in journalism from Northwestern University.</w:t>
            </w:r>
          </w:p>
          <w:p>
            <w:pPr>
              <w:pStyle w:val="TableContents"/>
              <w:spacing w:before="0" w:after="20"/>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0"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90"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0" w:type="dxa"/>
            <w:gridSpan w:val="5"/>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Corporate Governance</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0" w:type="dxa"/>
            <w:gridSpan w:val="5"/>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HR</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pPr>
            <w:r>
              <w:rPr/>
              <w:t>Risk</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120" w:type="dxa"/>
            </w:tcMar>
            <w:vAlign w:val="bottom"/>
          </w:tcPr>
          <w:p>
            <w:pPr>
              <w:pStyle w:val="TableContents"/>
              <w:spacing w:before="0" w:after="283"/>
              <w:rPr/>
            </w:pPr>
            <w:r>
              <w:rPr/>
              <w:t>4 of 4</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120" w:type="dxa"/>
            </w:tcMar>
            <w:vAlign w:val="bottom"/>
          </w:tcPr>
          <w:p>
            <w:pPr>
              <w:pStyle w:val="TableContents"/>
              <w:spacing w:before="0" w:after="283"/>
              <w:rPr/>
            </w:pPr>
            <w:r>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23 of 23</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rFonts w:ascii="arial" w:hAnsi="arial"/>
                <w:sz w:val="16"/>
              </w:rPr>
            </w:pPr>
            <w:r>
              <w:rPr>
                <w:rFonts w:ascii="arial" w:hAnsi="arial"/>
                <w:sz w:val="16"/>
              </w:rPr>
              <w:t>261,176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41,460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83"/>
              <w:rPr/>
            </w:pPr>
            <w:r>
              <w:rPr/>
              <w:t>302,636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180" w:type="dxa"/>
            <w:tcBorders>
              <w:bottom w:val="single" w:sz="8" w:space="0" w:color="B94831"/>
            </w:tcBorders>
            <w:shd w:fill="auto" w:val="clear"/>
            <w:tcMar>
              <w:bottom w:w="120" w:type="dxa"/>
            </w:tcMar>
            <w:vAlign w:val="bottom"/>
          </w:tcPr>
          <w:p>
            <w:pPr>
              <w:pStyle w:val="TableContents"/>
              <w:spacing w:before="0" w:after="283"/>
              <w:rPr/>
            </w:pPr>
            <w:r>
              <w:rPr>
                <w:i/>
              </w:rPr>
              <w:t>$</w:t>
            </w:r>
            <w:r>
              <w:rPr/>
              <w:t>36,671,114</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60"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0" w:type="dxa"/>
            <w:tcBorders>
              <w:bottom w:val="single" w:sz="8" w:space="0" w:color="B94831"/>
            </w:tcBorders>
            <w:shd w:fill="auto" w:val="clear"/>
            <w:tcMar>
              <w:bottom w:w="120" w:type="dxa"/>
            </w:tcMar>
            <w:vAlign w:val="bottom"/>
          </w:tcPr>
          <w:p>
            <w:pPr>
              <w:pStyle w:val="TableContents"/>
              <w:spacing w:before="0" w:after="283"/>
              <w:rPr/>
            </w:pPr>
            <w:r>
              <w:rPr>
                <w:i/>
              </w:rPr>
              <w:t>$</w:t>
            </w:r>
            <w:r>
              <w:rPr/>
              <w:t>5,503,815</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90" w:type="dxa"/>
            <w:tcBorders>
              <w:bottom w:val="single" w:sz="8" w:space="0" w:color="B94831"/>
            </w:tcBorders>
            <w:shd w:fill="auto" w:val="clear"/>
            <w:tcMar>
              <w:bottom w:w="120" w:type="dxa"/>
            </w:tcMar>
            <w:vAlign w:val="bottom"/>
          </w:tcPr>
          <w:p>
            <w:pPr>
              <w:pStyle w:val="TableContents"/>
              <w:spacing w:before="0" w:after="283"/>
              <w:jc w:val="center"/>
              <w:rPr/>
            </w:pPr>
            <w:r>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430"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i/>
              </w:rPr>
              <w:t>$</w:t>
            </w:r>
            <w:r>
              <w:rPr/>
              <w:t>40,174,929</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2210" w:type="dxa"/>
            <w:tcBorders>
              <w:bottom w:val="single" w:sz="8" w:space="0" w:color="B94831"/>
            </w:tcBorders>
            <w:shd w:fill="auto" w:val="clear"/>
            <w:tcMar>
              <w:bottom w:w="120" w:type="dxa"/>
            </w:tcMar>
            <w:vAlign w:val="bottom"/>
          </w:tcPr>
          <w:p>
            <w:pPr>
              <w:pStyle w:val="TableContents"/>
              <w:spacing w:before="0" w:after="20"/>
              <w:rPr>
                <w:rFonts w:ascii="arial" w:hAnsi="arial"/>
                <w:sz w:val="16"/>
              </w:rPr>
            </w:pPr>
            <w:r>
              <w:rPr>
                <w:rFonts w:ascii="arial" w:hAnsi="arial"/>
                <w:sz w:val="16"/>
              </w:rPr>
              <w:t>178.6x</w:t>
            </w:r>
          </w:p>
        </w:tc>
      </w:tr>
      <w:tr>
        <w:trPr/>
        <w:tc>
          <w:tcPr>
            <w:tcW w:w="12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pPr>
            <w:r>
              <w:rPr/>
              <w:t> </w:t>
            </w:r>
          </w:p>
        </w:tc>
      </w:tr>
      <w:tr>
        <w:trPr/>
        <w:tc>
          <w:tcPr>
            <w:tcW w:w="123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220" cy="10922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9220" cy="10922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W. Edmund Clark, C.M.</w:t>
            </w:r>
          </w:p>
          <w:p>
            <w:pPr>
              <w:pStyle w:val="TableContents"/>
              <w:spacing w:before="0" w:after="0"/>
              <w:rPr/>
            </w:pPr>
            <w:r>
              <w:rPr/>
              <w:t> </w:t>
            </w:r>
          </w:p>
          <w:p>
            <w:pPr>
              <w:pStyle w:val="TableContents"/>
              <w:spacing w:before="0" w:after="0"/>
              <w:rPr>
                <w:rFonts w:ascii="arial" w:hAnsi="arial"/>
                <w:sz w:val="15"/>
              </w:rPr>
            </w:pPr>
            <w:r>
              <w:rPr>
                <w:rFonts w:ascii="arial" w:hAnsi="arial"/>
                <w:sz w:val="15"/>
              </w:rPr>
              <w:t>Age: 75</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2015</w:t>
            </w:r>
          </w:p>
          <w:p>
            <w:pPr>
              <w:pStyle w:val="TableContents"/>
              <w:spacing w:before="0" w:after="0"/>
              <w:rPr/>
            </w:pPr>
            <w:r>
              <w:rPr/>
              <w:t> </w:t>
            </w:r>
          </w:p>
          <w:p>
            <w:pPr>
              <w:pStyle w:val="TableContents"/>
              <w:spacing w:before="0" w:after="0"/>
              <w:rPr>
                <w:rFonts w:ascii="arial" w:hAnsi="arial"/>
                <w:sz w:val="15"/>
              </w:rPr>
            </w:pPr>
            <w:r>
              <w:rPr>
                <w:rFonts w:ascii="arial" w:hAnsi="arial"/>
                <w:sz w:val="15"/>
              </w:rPr>
              <w:t>Non-independent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executive leadership, finance, human resources, strategy</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92.69%</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971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W. Edmund Clark, C.M.</w:t>
            </w:r>
          </w:p>
          <w:p>
            <w:pPr>
              <w:pStyle w:val="TableContents"/>
              <w:spacing w:before="0" w:after="0"/>
              <w:rPr/>
            </w:pPr>
            <w:r>
              <w:rPr/>
              <w:t> </w:t>
            </w:r>
          </w:p>
          <w:p>
            <w:pPr>
              <w:pStyle w:val="TableContents"/>
              <w:spacing w:before="0" w:after="0"/>
              <w:rPr>
                <w:rFonts w:ascii="arial" w:hAnsi="arial"/>
                <w:sz w:val="16"/>
              </w:rPr>
            </w:pPr>
            <w:r>
              <w:rPr>
                <w:rFonts w:ascii="arial" w:hAnsi="arial"/>
                <w:sz w:val="16"/>
              </w:rPr>
              <w:t>W. Edmund Clark is a corporate director. Ed served as Group President and Chief Executive Officer of TD Bank Group from 2002 until his retirement in 2014. Ed was inducted as a Companion of the Canadian Order of the Business Hall of Fame in 2016. In 2014, Ed was elected to the Board of Trustees of the Brookings Institute. He is also Chair of the Vector Institute for Artificial Intelligence. Ed has a BA from the University of Toronto, and an MA and Doctorate in Economics from Harvard University. Ed has also received honorary degrees from Mount Allison University, Queens University, Western University and the University of Toronto. In 2010, he was made an Officer of the Order of Canada, one of the countrys highest distinctions.</w:t>
            </w:r>
          </w:p>
          <w:p>
            <w:pPr>
              <w:pStyle w:val="TableContents"/>
              <w:spacing w:before="0" w:after="20"/>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0"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90"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0" w:type="dxa"/>
            <w:gridSpan w:val="5"/>
            <w:tcBorders/>
            <w:shd w:fill="auto" w:val="clear"/>
            <w:vAlign w:val="bottom"/>
          </w:tcPr>
          <w:p>
            <w:pPr>
              <w:pStyle w:val="TableContents"/>
              <w:spacing w:before="0" w:after="283"/>
              <w:jc w:val="center"/>
              <w:rPr/>
            </w:pPr>
            <w:r>
              <w:rPr/>
              <w:t>Spin Master Corp.</w:t>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Corporate Governance</w:t>
            </w:r>
          </w:p>
        </w:tc>
        <w:tc>
          <w:tcPr>
            <w:tcW w:w="12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0" w:type="dxa"/>
            <w:gridSpan w:val="5"/>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pPr>
            <w:r>
              <w:rPr/>
              <w:t>HR</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120" w:type="dxa"/>
            </w:tcMar>
            <w:vAlign w:val="bottom"/>
          </w:tcPr>
          <w:p>
            <w:pPr>
              <w:pStyle w:val="TableContents"/>
              <w:spacing w:before="0" w:after="283"/>
              <w:rPr/>
            </w:pPr>
            <w:r>
              <w:rPr/>
              <w:t>6 of 6</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120" w:type="dxa"/>
            </w:tcMar>
            <w:vAlign w:val="bottom"/>
          </w:tcPr>
          <w:p>
            <w:pPr>
              <w:pStyle w:val="TableContents"/>
              <w:spacing w:before="0" w:after="283"/>
              <w:rPr/>
            </w:pPr>
            <w:r>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19 of 19</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 shares</w:t>
              <w:b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Ownership multiple</w:t>
              <w:br/>
              <w:t>of annual retainer</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rFonts w:ascii="arial" w:hAnsi="arial"/>
                <w:sz w:val="16"/>
              </w:rPr>
            </w:pPr>
            <w:r>
              <w:rPr>
                <w:rFonts w:ascii="arial" w:hAnsi="arial"/>
                <w:sz w:val="16"/>
              </w:rPr>
              <w:t>36,316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6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35,011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80" w:type="dxa"/>
            </w:tcMar>
            <w:vAlign w:val="bottom"/>
          </w:tcPr>
          <w:p>
            <w:pPr>
              <w:pStyle w:val="TableContents"/>
              <w:spacing w:before="0" w:after="283"/>
              <w:rPr/>
            </w:pPr>
            <w:r>
              <w:rPr/>
              <w:t>71,327</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1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180" w:type="dxa"/>
            <w:tcBorders>
              <w:bottom w:val="single" w:sz="8" w:space="0" w:color="B94831"/>
            </w:tcBorders>
            <w:shd w:fill="auto" w:val="clear"/>
            <w:tcMar>
              <w:bottom w:w="120" w:type="dxa"/>
            </w:tcMar>
            <w:vAlign w:val="bottom"/>
          </w:tcPr>
          <w:p>
            <w:pPr>
              <w:pStyle w:val="TableContents"/>
              <w:spacing w:before="0" w:after="283"/>
              <w:rPr/>
            </w:pPr>
            <w:r>
              <w:rPr>
                <w:i/>
              </w:rPr>
              <w:t>$</w:t>
            </w:r>
            <w:r>
              <w:rPr/>
              <w:t>4,820,949</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60" w:type="dxa"/>
            <w:tcBorders>
              <w:bottom w:val="single" w:sz="8" w:space="0" w:color="B94831"/>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0" w:type="dxa"/>
            <w:tcBorders>
              <w:bottom w:val="single" w:sz="8" w:space="0" w:color="B94831"/>
            </w:tcBorders>
            <w:shd w:fill="auto" w:val="clear"/>
            <w:tcMar>
              <w:bottom w:w="120" w:type="dxa"/>
            </w:tcMar>
            <w:vAlign w:val="bottom"/>
          </w:tcPr>
          <w:p>
            <w:pPr>
              <w:pStyle w:val="TableContents"/>
              <w:spacing w:before="0" w:after="283"/>
              <w:jc w:val="center"/>
              <w:rPr/>
            </w:pPr>
            <w:r>
              <w:rPr>
                <w:i/>
              </w:rPr>
              <w:t>$</w:t>
            </w:r>
            <w:r>
              <w:rPr/>
              <w:t>4,647,710</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90" w:type="dxa"/>
            <w:tcBorders>
              <w:bottom w:val="single" w:sz="8" w:space="0" w:color="B94831"/>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430"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jc w:val="center"/>
              <w:rPr/>
            </w:pPr>
            <w:r>
              <w:rPr>
                <w:i/>
              </w:rPr>
              <w:t>$</w:t>
            </w:r>
            <w:r>
              <w:rPr/>
              <w:t>9,468,659</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2210" w:type="dxa"/>
            <w:tcBorders>
              <w:bottom w:val="single" w:sz="8" w:space="0" w:color="B94831"/>
            </w:tcBorders>
            <w:shd w:fill="auto" w:val="clear"/>
            <w:tcMar>
              <w:bottom w:w="120" w:type="dxa"/>
            </w:tcMar>
            <w:vAlign w:val="bottom"/>
          </w:tcPr>
          <w:p>
            <w:pPr>
              <w:pStyle w:val="TableContents"/>
              <w:spacing w:before="0" w:after="20"/>
              <w:rPr>
                <w:rFonts w:ascii="arial" w:hAnsi="arial"/>
                <w:sz w:val="16"/>
              </w:rPr>
            </w:pPr>
            <w:r>
              <w:rPr>
                <w:rFonts w:ascii="arial" w:hAnsi="arial"/>
                <w:sz w:val="16"/>
              </w:rPr>
              <w:t>42.1x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0925" w:type="dxa"/>
        <w:jc w:val="center"/>
        <w:tblInd w:w="0" w:type="dxa"/>
        <w:tblCellMar>
          <w:top w:w="0" w:type="dxa"/>
          <w:left w:w="0" w:type="dxa"/>
          <w:bottom w:w="0" w:type="dxa"/>
          <w:right w:w="0" w:type="dxa"/>
        </w:tblCellMar>
      </w:tblPr>
      <w:tblGrid>
        <w:gridCol w:w="1805"/>
        <w:gridCol w:w="60"/>
        <w:gridCol w:w="60"/>
        <w:gridCol w:w="60"/>
        <w:gridCol w:w="2180"/>
        <w:gridCol w:w="120"/>
        <w:gridCol w:w="735"/>
        <w:gridCol w:w="60"/>
        <w:gridCol w:w="1100"/>
        <w:gridCol w:w="120"/>
        <w:gridCol w:w="590"/>
        <w:gridCol w:w="120"/>
        <w:gridCol w:w="995"/>
        <w:gridCol w:w="120"/>
        <w:gridCol w:w="1100"/>
        <w:gridCol w:w="120"/>
        <w:gridCol w:w="1580"/>
      </w:tblGrid>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r>
      <w:tr>
        <w:trPr/>
        <w:tc>
          <w:tcPr>
            <w:tcW w:w="180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LaVerne Council</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61</w:t>
            </w:r>
          </w:p>
          <w:p>
            <w:pPr>
              <w:pStyle w:val="TableContents"/>
              <w:spacing w:before="0" w:after="0"/>
              <w:rPr/>
            </w:pPr>
            <w:r>
              <w:rPr/>
              <w:t> </w:t>
            </w:r>
          </w:p>
          <w:p>
            <w:pPr>
              <w:pStyle w:val="TableContents"/>
              <w:spacing w:before="0" w:after="0"/>
              <w:rPr>
                <w:rFonts w:ascii="arial" w:hAnsi="arial"/>
                <w:sz w:val="15"/>
              </w:rPr>
            </w:pPr>
            <w:r>
              <w:rPr>
                <w:rFonts w:ascii="arial" w:hAnsi="arial"/>
                <w:sz w:val="15"/>
              </w:rPr>
              <w:t>Great Falls, Virginia,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January 2022</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technology, operations, transformational change</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99.78</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94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LaVerne Council</w:t>
            </w:r>
          </w:p>
          <w:p>
            <w:pPr>
              <w:pStyle w:val="TableContents"/>
              <w:spacing w:before="0" w:after="0"/>
              <w:rPr/>
            </w:pPr>
            <w:r>
              <w:rPr/>
              <w:t> </w:t>
            </w:r>
          </w:p>
          <w:p>
            <w:pPr>
              <w:pStyle w:val="TableContents"/>
              <w:spacing w:before="0" w:after="0"/>
              <w:rPr>
                <w:rFonts w:ascii="arial" w:hAnsi="arial"/>
                <w:sz w:val="16"/>
              </w:rPr>
            </w:pPr>
            <w:r>
              <w:rPr>
                <w:rFonts w:ascii="arial" w:hAnsi="arial"/>
                <w:sz w:val="16"/>
              </w:rPr>
              <w:t>LaVerne Council is the Chief Executive Officer of Emerald One, LLC, an information technology consulting company focused on helping businesses develop innovative methodologies for driving change and transformation. She was the National Managing Principal, Enterprise Technology Strategy &amp; Innovation, for Grant Thornton LLP from 2017 to 2019 and served as the Senior Vice President and General Manager for MITRE Corporation in 2017. LaVerne was Assistant Secretary for the Office of Information &amp; Technology and Chief Information Officer for the United States Department of Veterans Affairs from 2015 to 2017. She was the Chief Executive Officer of Council Advisory Services, LLC from 2012 through 2015. LaVerne has also held significant corporate leadership roles focused on supply chain, IT centralization and integration. She served as the Corporate Vice President and Global Chief Information Officer for Johnson &amp; Johnson from 2006 through 2011. Before that, she served in several roles of increasing responsibility at DELL, Inc. from 2000 to 2006, including as the Global Vice President, Information Technology, Global Business Solutions, and Development Services. She received her Master of Business Administration from Illinois State University and her Bachelor of Business Administration in Computer Science from Western Illinois University. LaVerne also holds an honorary Doctorate of Business Administration from Drexel University.</w:t>
            </w:r>
          </w:p>
          <w:p>
            <w:pPr>
              <w:pStyle w:val="TableContents"/>
              <w:spacing w:before="0" w:after="20"/>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89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4625"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2925" w:type="dxa"/>
            <w:gridSpan w:val="5"/>
            <w:tcBorders/>
            <w:shd w:fill="auto" w:val="clear"/>
            <w:vAlign w:val="bottom"/>
          </w:tcPr>
          <w:p>
            <w:pPr>
              <w:pStyle w:val="TableContents"/>
              <w:spacing w:before="0" w:after="283"/>
              <w:rPr/>
            </w:pPr>
            <w:r>
              <w:rPr/>
              <w:t>CONMED Corporation</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Audit</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7 of 8</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87.50%</w:t>
            </w:r>
          </w:p>
        </w:tc>
        <w:tc>
          <w:tcPr>
            <w:tcW w:w="120" w:type="dxa"/>
            <w:tcBorders/>
            <w:shd w:fill="auto" w:val="clear"/>
            <w:vAlign w:val="bottom"/>
          </w:tcPr>
          <w:p>
            <w:pPr>
              <w:pStyle w:val="TableContents"/>
              <w:spacing w:before="0" w:after="283"/>
              <w:rPr/>
            </w:pPr>
            <w:r>
              <w:rPr/>
              <w:t>  </w:t>
            </w:r>
          </w:p>
        </w:tc>
        <w:tc>
          <w:tcPr>
            <w:tcW w:w="2925" w:type="dxa"/>
            <w:gridSpan w:val="5"/>
            <w:tcBorders/>
            <w:shd w:fill="auto" w:val="clear"/>
            <w:vAlign w:val="bottom"/>
          </w:tcPr>
          <w:p>
            <w:pPr>
              <w:pStyle w:val="TableContents"/>
              <w:spacing w:before="0" w:after="283"/>
              <w:rPr/>
            </w:pPr>
            <w:r>
              <w:rPr/>
              <w:t>Concentrix Corporation</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Risk</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2 of 2</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18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Total</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735"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16 of 17</w:t>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94%</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59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995"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58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jc w:val="center"/>
              <w:rPr>
                <w:rFonts w:ascii="arial" w:hAnsi="arial"/>
                <w:sz w:val="16"/>
              </w:rPr>
            </w:pPr>
            <w:r>
              <w:rPr>
                <w:rFonts w:ascii="arial" w:hAnsi="arial"/>
                <w:sz w:val="16"/>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2,525</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283"/>
              <w:rPr/>
            </w:pPr>
            <w:r>
              <w:rPr/>
              <w:t>2,525</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180"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735"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$335,194</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90" w:type="dxa"/>
            <w:tcBorders>
              <w:bottom w:val="single" w:sz="8" w:space="0" w:color="B94831"/>
            </w:tcBorders>
            <w:shd w:fill="auto" w:val="clear"/>
            <w:tcMar>
              <w:bottom w:w="120" w:type="dxa"/>
            </w:tcMar>
            <w:vAlign w:val="bottom"/>
          </w:tcPr>
          <w:p>
            <w:pPr>
              <w:pStyle w:val="TableContents"/>
              <w:spacing w:before="0" w:after="283"/>
              <w:jc w:val="center"/>
              <w:rPr/>
            </w:pPr>
            <w:r>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995"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$335,194</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580" w:type="dxa"/>
            <w:tcBorders>
              <w:bottom w:val="single" w:sz="8" w:space="0" w:color="B94831"/>
            </w:tcBorders>
            <w:shd w:fill="auto" w:val="clear"/>
            <w:tcMar>
              <w:bottom w:w="120" w:type="dxa"/>
            </w:tcMar>
            <w:vAlign w:val="bottom"/>
          </w:tcPr>
          <w:p>
            <w:pPr>
              <w:pStyle w:val="TableContents"/>
              <w:spacing w:before="0" w:after="283"/>
              <w:rPr>
                <w:i/>
              </w:rPr>
            </w:pPr>
            <w:r>
              <w:rPr>
                <w:i/>
              </w:rPr>
              <w:t>1.5x</w:t>
            </w:r>
          </w:p>
        </w:tc>
      </w:tr>
      <w:tr>
        <w:trPr/>
        <w:tc>
          <w:tcPr>
            <w:tcW w:w="18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pPr>
            <w:r>
              <w:rPr/>
              <w:t> </w:t>
            </w:r>
          </w:p>
        </w:tc>
      </w:tr>
      <w:tr>
        <w:trPr/>
        <w:tc>
          <w:tcPr>
            <w:tcW w:w="180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220" cy="10922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9220" cy="10922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Michael E. Daniels</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68</w:t>
            </w:r>
          </w:p>
          <w:p>
            <w:pPr>
              <w:pStyle w:val="TableContents"/>
              <w:spacing w:before="0" w:after="0"/>
              <w:rPr/>
            </w:pPr>
            <w:r>
              <w:rPr/>
              <w:t> </w:t>
            </w:r>
          </w:p>
          <w:p>
            <w:pPr>
              <w:pStyle w:val="TableContents"/>
              <w:spacing w:before="0" w:after="0"/>
              <w:rPr>
                <w:rFonts w:ascii="arial" w:hAnsi="arial"/>
                <w:sz w:val="15"/>
              </w:rPr>
            </w:pPr>
            <w:r>
              <w:rPr>
                <w:rFonts w:ascii="arial" w:hAnsi="arial"/>
                <w:sz w:val="15"/>
              </w:rPr>
              <w:t>Hilton Head Island, South Carolina,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2014</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international business, finance, operations, technology</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97.63%</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940"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Michael E. Daniels</w:t>
            </w:r>
          </w:p>
          <w:p>
            <w:pPr>
              <w:pStyle w:val="TableContents"/>
              <w:spacing w:before="0" w:after="0"/>
              <w:rPr/>
            </w:pPr>
            <w:r>
              <w:rPr/>
              <w:t> </w:t>
            </w:r>
          </w:p>
          <w:p>
            <w:pPr>
              <w:pStyle w:val="TableContents"/>
              <w:spacing w:before="0" w:after="0"/>
              <w:rPr>
                <w:rFonts w:ascii="arial" w:hAnsi="arial"/>
                <w:sz w:val="16"/>
              </w:rPr>
            </w:pPr>
            <w:r>
              <w:rPr>
                <w:rFonts w:ascii="arial" w:hAnsi="arial"/>
                <w:sz w:val="16"/>
              </w:rPr>
              <w:t>Michael E. Daniels is a corporate director. In 2013, Mike retired as Senior Vice President and Group Executive IBM Services after 36 years with the company where he directed IBMs consulting, systems integration, application management, cloud computing and outsourcing services around the globe. Mike also held a number of senior leadership positions in his career at IBM, including General Manager of Sales and Distribution Operations of the Americas as well as leading Global Services in the Asia Pacific region. Mike has a bachelors degree in political science from Holy Cross College.</w:t>
            </w:r>
          </w:p>
          <w:p>
            <w:pPr>
              <w:pStyle w:val="TableContents"/>
              <w:spacing w:before="0" w:after="20"/>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89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4625"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2925" w:type="dxa"/>
            <w:gridSpan w:val="5"/>
            <w:tcBorders/>
            <w:shd w:fill="auto" w:val="clear"/>
            <w:vAlign w:val="bottom"/>
          </w:tcPr>
          <w:p>
            <w:pPr>
              <w:pStyle w:val="TableContents"/>
              <w:spacing w:before="0" w:after="283"/>
              <w:rPr/>
            </w:pPr>
            <w:r>
              <w:rPr/>
              <w:t>SS&amp;C Technologies Holdings, Inc.</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Audit</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6 of 8</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75%</w:t>
            </w:r>
          </w:p>
        </w:tc>
        <w:tc>
          <w:tcPr>
            <w:tcW w:w="120" w:type="dxa"/>
            <w:tcBorders/>
            <w:shd w:fill="auto" w:val="clear"/>
            <w:vAlign w:val="bottom"/>
          </w:tcPr>
          <w:p>
            <w:pPr>
              <w:pStyle w:val="TableContents"/>
              <w:spacing w:before="0" w:after="283"/>
              <w:rPr/>
            </w:pPr>
            <w:r>
              <w:rPr/>
              <w:t>  </w:t>
            </w:r>
          </w:p>
        </w:tc>
        <w:tc>
          <w:tcPr>
            <w:tcW w:w="2925" w:type="dxa"/>
            <w:gridSpan w:val="5"/>
            <w:tcBorders/>
            <w:shd w:fill="auto" w:val="clear"/>
            <w:vAlign w:val="bottom"/>
          </w:tcPr>
          <w:p>
            <w:pPr>
              <w:pStyle w:val="TableContents"/>
              <w:spacing w:before="0" w:after="283"/>
              <w:rPr/>
            </w:pPr>
            <w:r>
              <w:rPr/>
              <w:t>Johnson Controls International plc</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Corporate Governance</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6 of 6</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HR</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4 of 6</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66.67%</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pPr>
            <w:r>
              <w:rPr/>
              <w:t>Risk</w:t>
            </w:r>
          </w:p>
        </w:tc>
        <w:tc>
          <w:tcPr>
            <w:tcW w:w="120"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3 of 4</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75%</w:t>
            </w:r>
          </w:p>
        </w:tc>
        <w:tc>
          <w:tcPr>
            <w:tcW w:w="12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18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Total</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735"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26 of 31</w:t>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120" w:type="dxa"/>
            </w:tcMar>
            <w:vAlign w:val="bottom"/>
          </w:tcPr>
          <w:p>
            <w:pPr>
              <w:pStyle w:val="TableContents"/>
              <w:spacing w:before="0" w:after="283"/>
              <w:rPr>
                <w:rFonts w:ascii="Arial" w:hAnsi="Arial"/>
                <w:b/>
              </w:rPr>
            </w:pPr>
            <w:r>
              <w:rPr>
                <w:rFonts w:ascii="Arial" w:hAnsi="Arial"/>
                <w:b/>
              </w:rPr>
              <w:t>84%</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59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995"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2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58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1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rFonts w:ascii="arial" w:hAnsi="arial"/>
                <w:sz w:val="16"/>
              </w:rPr>
            </w:pPr>
            <w:r>
              <w:rPr>
                <w:rFonts w:ascii="arial" w:hAnsi="arial"/>
                <w:sz w:val="16"/>
              </w:rPr>
              <w:t>2,924</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735"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36,387</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283"/>
              <w:rPr/>
            </w:pPr>
            <w:r>
              <w:rPr/>
              <w:t>39,311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80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180" w:type="dxa"/>
            <w:tcBorders>
              <w:bottom w:val="single" w:sz="8" w:space="0" w:color="B94831"/>
            </w:tcBorders>
            <w:shd w:fill="auto" w:val="clear"/>
            <w:tcMar>
              <w:bottom w:w="120" w:type="dxa"/>
            </w:tcMar>
            <w:vAlign w:val="bottom"/>
          </w:tcPr>
          <w:p>
            <w:pPr>
              <w:pStyle w:val="TableContents"/>
              <w:spacing w:before="0" w:after="283"/>
              <w:rPr/>
            </w:pPr>
            <w:r>
              <w:rPr/>
              <w:t>$388,161</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735"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$4,830,374</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90" w:type="dxa"/>
            <w:tcBorders>
              <w:bottom w:val="single" w:sz="8" w:space="0" w:color="B94831"/>
            </w:tcBorders>
            <w:shd w:fill="auto" w:val="clear"/>
            <w:tcMar>
              <w:bottom w:w="120" w:type="dxa"/>
            </w:tcMar>
            <w:vAlign w:val="bottom"/>
          </w:tcPr>
          <w:p>
            <w:pPr>
              <w:pStyle w:val="TableContents"/>
              <w:spacing w:before="0" w:after="283"/>
              <w:jc w:val="center"/>
              <w:rPr/>
            </w:pPr>
            <w:r>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995"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$5,218,535</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580" w:type="dxa"/>
            <w:tcBorders>
              <w:bottom w:val="single" w:sz="8" w:space="0" w:color="B94831"/>
            </w:tcBorders>
            <w:shd w:fill="auto" w:val="clear"/>
            <w:tcMar>
              <w:bottom w:w="120" w:type="dxa"/>
            </w:tcMar>
            <w:vAlign w:val="bottom"/>
          </w:tcPr>
          <w:p>
            <w:pPr>
              <w:pStyle w:val="TableContents"/>
              <w:spacing w:before="0" w:after="283"/>
              <w:rPr>
                <w:i/>
              </w:rPr>
            </w:pPr>
            <w:r>
              <w:rPr>
                <w:i/>
              </w:rPr>
              <w:t>23.2x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32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12"/>
        <w:gridCol w:w="60"/>
        <w:gridCol w:w="60"/>
        <w:gridCol w:w="60"/>
        <w:gridCol w:w="1180"/>
        <w:gridCol w:w="120"/>
        <w:gridCol w:w="906"/>
        <w:gridCol w:w="60"/>
        <w:gridCol w:w="921"/>
        <w:gridCol w:w="120"/>
        <w:gridCol w:w="594"/>
        <w:gridCol w:w="120"/>
        <w:gridCol w:w="1430"/>
        <w:gridCol w:w="120"/>
        <w:gridCol w:w="1100"/>
        <w:gridCol w:w="120"/>
        <w:gridCol w:w="2222"/>
      </w:tblGrid>
      <w:tr>
        <w:trPr/>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r>
      <w:tr>
        <w:trPr/>
        <w:tc>
          <w:tcPr>
            <w:tcW w:w="1012" w:type="dxa"/>
            <w:vMerge w:val="restart"/>
            <w:tcBorders>
              <w:top w:val="single" w:sz="8" w:space="0" w:color="B94831"/>
              <w:bottom w:val="single" w:sz="2"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sz w:val="15"/>
              </w:rPr>
            </w:pPr>
            <w:r>
              <w:rPr>
                <w:rFonts w:ascii="arial" w:hAnsi="arial"/>
                <w:sz w:val="15"/>
              </w:rPr>
              <w:t>Kirk Koenigsbauer</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55</w:t>
            </w:r>
          </w:p>
          <w:p>
            <w:pPr>
              <w:pStyle w:val="TableContents"/>
              <w:spacing w:before="0" w:after="0"/>
              <w:rPr/>
            </w:pPr>
            <w:r>
              <w:rPr/>
              <w:t> </w:t>
            </w:r>
          </w:p>
          <w:p>
            <w:pPr>
              <w:pStyle w:val="TableContents"/>
              <w:spacing w:before="0" w:after="0"/>
              <w:rPr>
                <w:rFonts w:ascii="arial" w:hAnsi="arial"/>
                <w:sz w:val="15"/>
              </w:rPr>
            </w:pPr>
            <w:r>
              <w:rPr>
                <w:rFonts w:ascii="arial" w:hAnsi="arial"/>
                <w:sz w:val="15"/>
              </w:rPr>
              <w:t>Seattle, Washington,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2020</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technology, operations, sales &amp; marketing</w:t>
            </w:r>
          </w:p>
          <w:p>
            <w:pPr>
              <w:pStyle w:val="TableContents"/>
              <w:spacing w:before="0" w:after="0"/>
              <w:rPr/>
            </w:pPr>
            <w:r>
              <w:rPr/>
              <w:t> </w:t>
            </w:r>
          </w:p>
          <w:p>
            <w:pPr>
              <w:pStyle w:val="TableContents"/>
              <w:spacing w:before="0" w:after="0"/>
              <w:rPr>
                <w:rFonts w:ascii="arial" w:hAnsi="arial"/>
                <w:sz w:val="15"/>
              </w:rPr>
            </w:pPr>
            <w:r>
              <w:rPr>
                <w:rFonts w:ascii="arial" w:hAnsi="arial"/>
                <w:sz w:val="15"/>
              </w:rPr>
              <w:t>2022 annual meeting votes for:</w:t>
            </w:r>
          </w:p>
          <w:p>
            <w:pPr>
              <w:pStyle w:val="TableContents"/>
              <w:spacing w:before="0" w:after="20"/>
              <w:rPr>
                <w:rFonts w:ascii="arial" w:hAnsi="arial"/>
                <w:sz w:val="15"/>
              </w:rPr>
            </w:pPr>
            <w:r>
              <w:rPr>
                <w:rFonts w:ascii="arial" w:hAnsi="arial"/>
                <w:sz w:val="15"/>
              </w:rPr>
              <w:t>99.64%</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6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9013"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Kirk Koenigsbauer</w:t>
            </w:r>
          </w:p>
          <w:p>
            <w:pPr>
              <w:pStyle w:val="TableContents"/>
              <w:spacing w:before="0" w:after="0"/>
              <w:rPr/>
            </w:pPr>
            <w:r>
              <w:rPr/>
              <w:t> </w:t>
            </w:r>
          </w:p>
          <w:p>
            <w:pPr>
              <w:pStyle w:val="TableContents"/>
              <w:spacing w:before="0" w:after="0"/>
              <w:rPr>
                <w:rFonts w:ascii="arial" w:hAnsi="arial"/>
                <w:sz w:val="16"/>
              </w:rPr>
            </w:pPr>
            <w:r>
              <w:rPr>
                <w:rFonts w:ascii="arial" w:hAnsi="arial"/>
                <w:sz w:val="16"/>
              </w:rPr>
              <w:t>Kirk Koenigsbauer has been Chief Operating Officer &amp; Corporate Vice President, Experiences and Devices Group at Microsoft Corporation since February 2020. From December 2016 to February 2020, he was Corporate Vice President, Microsoft 365 and from July 2012 to November 2016, he was Corporate Vice President, Office Apps Engineering, at Microsoft. Prior to that, he was Corporate Vice President, Office Product Management at Microsoft from June 2002 to July 2012. Kirk worked at Amazon.com from 1998 to 2001 where he held the roles of General Manager, Software &amp; Video Games Stores and Director of Product Management, Auctions. Kirk also worked at Microsoft from 1992 to 1998 and as a consultant at Accenture from 1989 to 1991. Kirk has a bachelors degree from Colby College.</w:t>
            </w:r>
          </w:p>
          <w:p>
            <w:pPr>
              <w:pStyle w:val="TableContents"/>
              <w:spacing w:before="0" w:after="20"/>
              <w:rPr/>
            </w:pPr>
            <w:r>
              <w:rPr/>
              <w:t> </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887"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706"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7 of 7</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4" w:type="dxa"/>
            <w:gridSpan w:val="5"/>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2222" w:type="dxa"/>
            <w:tcBorders/>
            <w:shd w:fill="auto" w:val="clear"/>
            <w:vAlign w:val="bottom"/>
          </w:tcPr>
          <w:p>
            <w:pPr>
              <w:pStyle w:val="TableContents"/>
              <w:spacing w:before="0" w:after="283"/>
              <w:rPr>
                <w:sz w:val="4"/>
                <w:szCs w:val="4"/>
              </w:rPr>
            </w:pPr>
            <w:r>
              <w:rPr>
                <w:sz w:val="4"/>
                <w:szCs w:val="4"/>
              </w:rPr>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Audit</w:t>
            </w:r>
          </w:p>
        </w:tc>
        <w:tc>
          <w:tcPr>
            <w:tcW w:w="12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4 of 4</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4" w:type="dxa"/>
            <w:gridSpan w:val="5"/>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22" w:type="dxa"/>
            <w:tcBorders/>
            <w:shd w:fill="auto" w:val="clear"/>
            <w:vAlign w:val="bottom"/>
          </w:tcPr>
          <w:p>
            <w:pPr>
              <w:pStyle w:val="TableContents"/>
              <w:spacing w:before="0" w:after="283"/>
              <w:rPr>
                <w:sz w:val="4"/>
                <w:szCs w:val="4"/>
              </w:rPr>
            </w:pPr>
            <w:r>
              <w:rPr>
                <w:sz w:val="4"/>
                <w:szCs w:val="4"/>
              </w:rPr>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rPr/>
            </w:pPr>
            <w:r>
              <w:rPr/>
              <w:t>HR</w:t>
            </w:r>
          </w:p>
        </w:tc>
        <w:tc>
          <w:tcPr>
            <w:tcW w:w="12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2 of 2</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3364" w:type="dxa"/>
            <w:gridSpan w:val="5"/>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22" w:type="dxa"/>
            <w:tcBorders/>
            <w:shd w:fill="auto" w:val="clear"/>
            <w:vAlign w:val="bottom"/>
          </w:tcPr>
          <w:p>
            <w:pPr>
              <w:pStyle w:val="TableContents"/>
              <w:spacing w:before="0" w:after="283"/>
              <w:rPr>
                <w:sz w:val="4"/>
                <w:szCs w:val="4"/>
              </w:rPr>
            </w:pPr>
            <w:r>
              <w:rPr>
                <w:sz w:val="4"/>
                <w:szCs w:val="4"/>
              </w:rPr>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80" w:type="dxa"/>
            <w:tcBorders>
              <w:bottom w:val="single" w:sz="2" w:space="0" w:color="AFAFAF"/>
            </w:tcBorders>
            <w:shd w:fill="auto" w:val="clear"/>
            <w:tcMar>
              <w:bottom w:w="80" w:type="dxa"/>
            </w:tcMar>
            <w:vAlign w:val="bottom"/>
          </w:tcPr>
          <w:p>
            <w:pPr>
              <w:pStyle w:val="TableContents"/>
              <w:spacing w:before="0" w:after="283"/>
              <w:rPr/>
            </w:pPr>
            <w:r>
              <w:rPr/>
              <w:t>Risk</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6" w:type="dxa"/>
            <w:tcBorders>
              <w:bottom w:val="single" w:sz="2" w:space="0" w:color="AFAFAF"/>
            </w:tcBorders>
            <w:shd w:fill="auto" w:val="clear"/>
            <w:tcMar>
              <w:bottom w:w="80" w:type="dxa"/>
            </w:tcMar>
            <w:vAlign w:val="bottom"/>
          </w:tcPr>
          <w:p>
            <w:pPr>
              <w:pStyle w:val="TableContents"/>
              <w:spacing w:before="0" w:after="283"/>
              <w:rPr/>
            </w:pPr>
            <w:r>
              <w:rPr/>
              <w:t>4 of 4</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21" w:type="dxa"/>
            <w:tcBorders>
              <w:bottom w:val="single" w:sz="2" w:space="0" w:color="AFAFAF"/>
            </w:tcBorders>
            <w:shd w:fill="auto" w:val="clear"/>
            <w:tcMar>
              <w:bottom w:w="80" w:type="dxa"/>
            </w:tcMar>
            <w:vAlign w:val="bottom"/>
          </w:tcPr>
          <w:p>
            <w:pPr>
              <w:pStyle w:val="TableContents"/>
              <w:spacing w:before="0" w:after="283"/>
              <w:rPr/>
            </w:pPr>
            <w:r>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3364" w:type="dxa"/>
            <w:gridSpan w:val="5"/>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80"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Total</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6"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17 of 17</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21"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4"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6"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21"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4"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 shares</w:t>
              <w:b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2"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Ownership multiple</w:t>
              <w:br/>
              <w:t>of annual retainer</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rFonts w:ascii="arial" w:hAnsi="arial"/>
                <w:sz w:val="16"/>
              </w:rPr>
            </w:pPr>
            <w:r>
              <w:rPr>
                <w:rFonts w:ascii="arial" w:hAnsi="arial"/>
                <w:sz w:val="16"/>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6"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21"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7,456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4"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430" w:type="dxa"/>
            <w:tcBorders>
              <w:bottom w:val="single" w:sz="2" w:space="0" w:color="AFAFAF"/>
            </w:tcBorders>
            <w:shd w:fill="auto" w:val="clear"/>
            <w:tcMar>
              <w:bottom w:w="120" w:type="dxa"/>
            </w:tcMar>
            <w:vAlign w:val="bottom"/>
          </w:tcPr>
          <w:p>
            <w:pPr>
              <w:pStyle w:val="TableContents"/>
              <w:spacing w:before="0" w:after="283"/>
              <w:rPr/>
            </w:pPr>
            <w:r>
              <w:rPr/>
              <w:t>7,556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12" w:type="dxa"/>
            <w:vMerge w:val="continue"/>
            <w:tcBorders>
              <w:top w:val="single" w:sz="8" w:space="0" w:color="B94831"/>
              <w:bottom w:val="single" w:sz="2" w:space="0" w:color="B94831"/>
            </w:tcBorders>
            <w:shd w:fill="E5E5E5" w:val="clear"/>
            <w:tcMar>
              <w:top w:w="28" w:type="dxa"/>
              <w:bottom w:w="28" w:type="dxa"/>
            </w:tcMar>
          </w:tcPr>
          <w:p>
            <w:pPr>
              <w:pStyle w:val="Normal"/>
              <w:rPr/>
            </w:pPr>
            <w:r>
              <w:rPr/>
            </w:r>
          </w:p>
        </w:tc>
        <w:tc>
          <w:tcPr>
            <w:tcW w:w="60" w:type="dxa"/>
            <w:tcBorders>
              <w:bottom w:val="single" w:sz="2" w:space="0" w:color="B94831"/>
            </w:tcBorders>
            <w:shd w:fill="auto" w:val="clear"/>
            <w:tcMar>
              <w:bottom w:w="28" w:type="dxa"/>
            </w:tcMar>
            <w:vAlign w:val="bottom"/>
          </w:tcPr>
          <w:p>
            <w:pPr>
              <w:pStyle w:val="TableContents"/>
              <w:spacing w:before="0" w:after="283"/>
              <w:rPr/>
            </w:pPr>
            <w:r>
              <w:rPr/>
              <w:t> </w:t>
            </w:r>
          </w:p>
        </w:tc>
        <w:tc>
          <w:tcPr>
            <w:tcW w:w="60" w:type="dxa"/>
            <w:tcBorders>
              <w:bottom w:val="single" w:sz="2" w:space="0" w:color="B94831"/>
            </w:tcBorders>
            <w:shd w:fill="auto" w:val="clear"/>
            <w:tcMar>
              <w:bottom w:w="28" w:type="dxa"/>
            </w:tcMar>
          </w:tcPr>
          <w:p>
            <w:pPr>
              <w:pStyle w:val="TableContents"/>
              <w:spacing w:before="0" w:after="283"/>
              <w:rPr/>
            </w:pPr>
            <w:r>
              <w:rPr/>
              <w:t> </w:t>
            </w:r>
          </w:p>
        </w:tc>
        <w:tc>
          <w:tcPr>
            <w:tcW w:w="60" w:type="dxa"/>
            <w:tcBorders>
              <w:bottom w:val="single" w:sz="2" w:space="0" w:color="B94831"/>
            </w:tcBorders>
            <w:shd w:fill="auto" w:val="clear"/>
            <w:tcMar>
              <w:bottom w:w="28" w:type="dxa"/>
            </w:tcMar>
            <w:vAlign w:val="bottom"/>
          </w:tcPr>
          <w:p>
            <w:pPr>
              <w:pStyle w:val="TableContents"/>
              <w:spacing w:before="0" w:after="283"/>
              <w:rPr/>
            </w:pPr>
            <w:r>
              <w:rPr/>
              <w:t> </w:t>
            </w:r>
          </w:p>
        </w:tc>
        <w:tc>
          <w:tcPr>
            <w:tcW w:w="1180" w:type="dxa"/>
            <w:tcBorders>
              <w:bottom w:val="single" w:sz="2" w:space="0" w:color="B94831"/>
            </w:tcBorders>
            <w:shd w:fill="auto" w:val="clear"/>
            <w:tcMar>
              <w:bottom w:w="120" w:type="dxa"/>
            </w:tcMar>
            <w:vAlign w:val="bottom"/>
          </w:tcPr>
          <w:p>
            <w:pPr>
              <w:pStyle w:val="TableContents"/>
              <w:spacing w:before="0" w:after="20"/>
              <w:rPr>
                <w:rFonts w:ascii="arial" w:hAnsi="arial"/>
                <w:i/>
                <w:sz w:val="16"/>
              </w:rPr>
            </w:pPr>
            <w:r>
              <w:rPr>
                <w:rFonts w:ascii="arial" w:hAnsi="arial"/>
                <w:i/>
                <w:sz w:val="16"/>
              </w:rPr>
              <w:t>$13,275</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906" w:type="dxa"/>
            <w:tcBorders>
              <w:bottom w:val="single" w:sz="2" w:space="0" w:color="B94831"/>
            </w:tcBorders>
            <w:shd w:fill="auto" w:val="clear"/>
            <w:tcMar>
              <w:bottom w:w="120" w:type="dxa"/>
            </w:tcMar>
            <w:vAlign w:val="bottom"/>
          </w:tcPr>
          <w:p>
            <w:pPr>
              <w:pStyle w:val="TableContents"/>
              <w:spacing w:before="0" w:after="0"/>
              <w:jc w:val="center"/>
              <w:rPr>
                <w:rFonts w:ascii="arial" w:hAnsi="arial"/>
                <w:i/>
                <w:sz w:val="16"/>
              </w:rPr>
            </w:pPr>
            <w:r>
              <w:rPr>
                <w:rFonts w:ascii="arial" w:hAnsi="arial"/>
                <w:i/>
                <w:sz w:val="16"/>
              </w:rPr>
              <w:t>      </w:t>
            </w:r>
          </w:p>
        </w:tc>
        <w:tc>
          <w:tcPr>
            <w:tcW w:w="60" w:type="dxa"/>
            <w:tcBorders>
              <w:bottom w:val="single" w:sz="2" w:space="0" w:color="B94831"/>
            </w:tcBorders>
            <w:shd w:fill="auto" w:val="clear"/>
            <w:tcMar>
              <w:bottom w:w="28" w:type="dxa"/>
            </w:tcMar>
            <w:vAlign w:val="bottom"/>
          </w:tcPr>
          <w:p>
            <w:pPr>
              <w:pStyle w:val="TableContents"/>
              <w:spacing w:before="0" w:after="283"/>
              <w:rPr/>
            </w:pPr>
            <w:r>
              <w:rPr/>
              <w:t> </w:t>
            </w:r>
          </w:p>
        </w:tc>
        <w:tc>
          <w:tcPr>
            <w:tcW w:w="921" w:type="dxa"/>
            <w:tcBorders>
              <w:bottom w:val="single" w:sz="2" w:space="0" w:color="B94831"/>
            </w:tcBorders>
            <w:shd w:fill="auto" w:val="clear"/>
            <w:tcMar>
              <w:bottom w:w="120" w:type="dxa"/>
            </w:tcMar>
            <w:vAlign w:val="bottom"/>
          </w:tcPr>
          <w:p>
            <w:pPr>
              <w:pStyle w:val="TableContents"/>
              <w:spacing w:before="0" w:after="283"/>
              <w:rPr>
                <w:i/>
              </w:rPr>
            </w:pPr>
            <w:r>
              <w:rPr>
                <w:i/>
              </w:rPr>
              <w:t>$989,784</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594" w:type="dxa"/>
            <w:tcBorders>
              <w:bottom w:val="single" w:sz="2" w:space="0" w:color="B94831"/>
            </w:tcBorders>
            <w:shd w:fill="auto" w:val="clear"/>
            <w:tcMar>
              <w:bottom w:w="120" w:type="dxa"/>
            </w:tcMar>
            <w:vAlign w:val="bottom"/>
          </w:tcPr>
          <w:p>
            <w:pPr>
              <w:pStyle w:val="TableContents"/>
              <w:spacing w:before="0" w:after="0"/>
              <w:jc w:val="center"/>
              <w:rPr>
                <w:rFonts w:ascii="arial" w:hAnsi="arial"/>
                <w:i/>
                <w:sz w:val="16"/>
              </w:rPr>
            </w:pPr>
            <w:r>
              <w:rPr>
                <w:rFonts w:ascii="arial" w:hAnsi="arial"/>
                <w:i/>
                <w:sz w:val="16"/>
              </w:rPr>
              <w:t></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1430" w:type="dxa"/>
            <w:tcBorders>
              <w:bottom w:val="single" w:sz="2" w:space="0" w:color="B94831"/>
            </w:tcBorders>
            <w:shd w:fill="auto" w:val="clear"/>
            <w:tcMar>
              <w:bottom w:w="28" w:type="dxa"/>
            </w:tcMar>
            <w:vAlign w:val="bottom"/>
          </w:tcPr>
          <w:p>
            <w:pPr>
              <w:pStyle w:val="TableContents"/>
              <w:spacing w:before="0" w:after="283"/>
              <w:rPr/>
            </w:pPr>
            <w:r>
              <w:rPr/>
              <w:t> </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1100" w:type="dxa"/>
            <w:tcBorders>
              <w:bottom w:val="single" w:sz="2" w:space="0" w:color="B94831"/>
            </w:tcBorders>
            <w:shd w:fill="auto" w:val="clear"/>
            <w:tcMar>
              <w:bottom w:w="120" w:type="dxa"/>
            </w:tcMar>
            <w:vAlign w:val="bottom"/>
          </w:tcPr>
          <w:p>
            <w:pPr>
              <w:pStyle w:val="TableContents"/>
              <w:spacing w:before="0" w:after="283"/>
              <w:rPr>
                <w:i/>
              </w:rPr>
            </w:pPr>
            <w:r>
              <w:rPr>
                <w:i/>
              </w:rPr>
              <w:t>$1,003,059</w:t>
            </w:r>
          </w:p>
        </w:tc>
        <w:tc>
          <w:tcPr>
            <w:tcW w:w="120" w:type="dxa"/>
            <w:tcBorders>
              <w:bottom w:val="single" w:sz="2" w:space="0" w:color="B94831"/>
            </w:tcBorders>
            <w:shd w:fill="auto" w:val="clear"/>
            <w:tcMar>
              <w:bottom w:w="28" w:type="dxa"/>
            </w:tcMar>
            <w:vAlign w:val="bottom"/>
          </w:tcPr>
          <w:p>
            <w:pPr>
              <w:pStyle w:val="TableContents"/>
              <w:spacing w:before="0" w:after="283"/>
              <w:rPr/>
            </w:pPr>
            <w:r>
              <w:rPr/>
              <w:t>  </w:t>
            </w:r>
          </w:p>
        </w:tc>
        <w:tc>
          <w:tcPr>
            <w:tcW w:w="2222" w:type="dxa"/>
            <w:tcBorders>
              <w:bottom w:val="single" w:sz="2" w:space="0" w:color="B94831"/>
            </w:tcBorders>
            <w:shd w:fill="auto" w:val="clear"/>
            <w:tcMar>
              <w:bottom w:w="120" w:type="dxa"/>
            </w:tcMar>
            <w:vAlign w:val="bottom"/>
          </w:tcPr>
          <w:p>
            <w:pPr>
              <w:pStyle w:val="TableContents"/>
              <w:spacing w:before="0" w:after="283"/>
              <w:rPr>
                <w:i/>
              </w:rPr>
            </w:pPr>
            <w:r>
              <w:rPr>
                <w:i/>
              </w:rPr>
              <w:t>4.5x</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50"/>
        <w:gridCol w:w="61"/>
        <w:gridCol w:w="61"/>
        <w:gridCol w:w="61"/>
        <w:gridCol w:w="2213"/>
        <w:gridCol w:w="120"/>
        <w:gridCol w:w="907"/>
        <w:gridCol w:w="120"/>
        <w:gridCol w:w="920"/>
        <w:gridCol w:w="120"/>
        <w:gridCol w:w="599"/>
        <w:gridCol w:w="119"/>
        <w:gridCol w:w="999"/>
        <w:gridCol w:w="120"/>
        <w:gridCol w:w="1013"/>
        <w:gridCol w:w="120"/>
        <w:gridCol w:w="1602"/>
      </w:tblGrid>
      <w:tr>
        <w:trPr/>
        <w:tc>
          <w:tcPr>
            <w:tcW w:w="105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r>
      <w:tr>
        <w:trPr/>
        <w:tc>
          <w:tcPr>
            <w:tcW w:w="1050"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Deanna Oppenheimer</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65</w:t>
            </w:r>
          </w:p>
          <w:p>
            <w:pPr>
              <w:pStyle w:val="TableContents"/>
              <w:spacing w:before="0" w:after="0"/>
              <w:rPr/>
            </w:pPr>
            <w:r>
              <w:rPr/>
              <w:t> </w:t>
            </w:r>
          </w:p>
          <w:p>
            <w:pPr>
              <w:pStyle w:val="TableContents"/>
              <w:spacing w:before="0" w:after="0"/>
              <w:rPr>
                <w:rFonts w:ascii="arial" w:hAnsi="arial"/>
                <w:sz w:val="15"/>
              </w:rPr>
            </w:pPr>
            <w:r>
              <w:rPr>
                <w:rFonts w:ascii="arial" w:hAnsi="arial"/>
                <w:sz w:val="15"/>
              </w:rPr>
              <w:t>Seattle, Washington,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2020</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operations, strategy, technology</w:t>
            </w:r>
          </w:p>
          <w:p>
            <w:pPr>
              <w:pStyle w:val="TableContents"/>
              <w:spacing w:before="0" w:after="0"/>
              <w:rPr/>
            </w:pPr>
            <w:r>
              <w:rPr/>
              <w:t> </w:t>
            </w:r>
          </w:p>
          <w:p>
            <w:pPr>
              <w:pStyle w:val="TableContents"/>
              <w:spacing w:before="0" w:after="0"/>
              <w:rPr>
                <w:rFonts w:ascii="arial" w:hAnsi="arial"/>
                <w:sz w:val="15"/>
              </w:rPr>
            </w:pPr>
            <w:r>
              <w:rPr>
                <w:rFonts w:ascii="arial" w:hAnsi="arial"/>
                <w:sz w:val="15"/>
              </w:rPr>
              <w:t>2022 annual meeting votes for:</w:t>
            </w:r>
          </w:p>
          <w:p>
            <w:pPr>
              <w:pStyle w:val="TableContents"/>
              <w:spacing w:before="0" w:after="20"/>
              <w:rPr>
                <w:rFonts w:ascii="arial" w:hAnsi="arial"/>
                <w:sz w:val="15"/>
              </w:rPr>
            </w:pPr>
            <w:r>
              <w:rPr>
                <w:rFonts w:ascii="arial" w:hAnsi="arial"/>
                <w:sz w:val="15"/>
              </w:rPr>
              <w:t>99.45%</w:t>
            </w:r>
          </w:p>
        </w:tc>
        <w:tc>
          <w:tcPr>
            <w:tcW w:w="61" w:type="dxa"/>
            <w:vMerge w:val="restart"/>
            <w:tcBorders>
              <w:top w:val="single" w:sz="8" w:space="0" w:color="B94831"/>
            </w:tcBorders>
            <w:shd w:fill="auto" w:val="clear"/>
            <w:tcMar>
              <w:top w:w="28" w:type="dxa"/>
            </w:tcMar>
            <w:vAlign w:val="bottom"/>
          </w:tcPr>
          <w:p>
            <w:pPr>
              <w:pStyle w:val="TableContents"/>
              <w:spacing w:before="0" w:after="283"/>
              <w:rPr/>
            </w:pPr>
            <w:r>
              <w:rPr/>
              <w:t> </w:t>
            </w:r>
          </w:p>
        </w:tc>
        <w:tc>
          <w:tcPr>
            <w:tcW w:w="61" w:type="dxa"/>
            <w:vMerge w:val="restart"/>
            <w:tcBorders>
              <w:top w:val="single" w:sz="8" w:space="0" w:color="B94831"/>
            </w:tcBorders>
            <w:shd w:fill="auto" w:val="clear"/>
            <w:tcMar>
              <w:top w:w="28" w:type="dxa"/>
            </w:tcMar>
          </w:tcPr>
          <w:p>
            <w:pPr>
              <w:pStyle w:val="TableContents"/>
              <w:spacing w:before="0" w:after="283"/>
              <w:rPr/>
            </w:pPr>
            <w:r>
              <w:rPr/>
              <w:t> </w:t>
            </w:r>
          </w:p>
        </w:tc>
        <w:tc>
          <w:tcPr>
            <w:tcW w:w="61" w:type="dxa"/>
            <w:tcBorders>
              <w:top w:val="single" w:sz="8" w:space="0" w:color="B94831"/>
            </w:tcBorders>
            <w:shd w:fill="auto" w:val="clear"/>
            <w:tcMar>
              <w:top w:w="28" w:type="dxa"/>
            </w:tcMar>
            <w:vAlign w:val="bottom"/>
          </w:tcPr>
          <w:p>
            <w:pPr>
              <w:pStyle w:val="TableContents"/>
              <w:spacing w:before="0" w:after="283"/>
              <w:rPr/>
            </w:pPr>
            <w:r>
              <w:rPr/>
              <w:t> </w:t>
            </w:r>
          </w:p>
        </w:tc>
        <w:tc>
          <w:tcPr>
            <w:tcW w:w="8972" w:type="dxa"/>
            <w:gridSpan w:val="13"/>
            <w:tcBorders>
              <w:top w:val="single" w:sz="8" w:space="0" w:color="B94831"/>
            </w:tcBorders>
            <w:shd w:fill="auto" w:val="clear"/>
            <w:tcMar>
              <w:top w:w="28" w:type="dxa"/>
            </w:tcMar>
            <w:vAlign w:val="bottom"/>
          </w:tcPr>
          <w:p>
            <w:pPr>
              <w:pStyle w:val="TableContents"/>
              <w:spacing w:before="0" w:after="0"/>
              <w:rPr>
                <w:rFonts w:ascii="Arial" w:hAnsi="Arial"/>
                <w:b/>
                <w:sz w:val="20"/>
              </w:rPr>
            </w:pPr>
            <w:r>
              <w:rPr>
                <w:rFonts w:ascii="Arial" w:hAnsi="Arial"/>
                <w:b/>
                <w:sz w:val="20"/>
              </w:rPr>
              <w:t>Deanna Oppenheimer</w:t>
            </w:r>
          </w:p>
          <w:p>
            <w:pPr>
              <w:pStyle w:val="TableContents"/>
              <w:spacing w:before="0" w:after="0"/>
              <w:rPr/>
            </w:pPr>
            <w:r>
              <w:rPr/>
              <w:t> </w:t>
            </w:r>
          </w:p>
          <w:p>
            <w:pPr>
              <w:pStyle w:val="TableContents"/>
              <w:spacing w:before="0" w:after="0"/>
              <w:rPr>
                <w:rFonts w:ascii="arial" w:hAnsi="arial"/>
                <w:sz w:val="16"/>
              </w:rPr>
            </w:pPr>
            <w:r>
              <w:rPr>
                <w:rFonts w:ascii="arial" w:hAnsi="arial"/>
                <w:sz w:val="16"/>
              </w:rPr>
              <w:t>Deanna Oppenheimer is the founder of CameoWorks, LLC, a global firm that advises leaders of early stage companies and consultancies. Deanna founded CameoWorks in 2012. From 2005 to 2011, Deanna served in a number of roles at Barclays PLC, first as chief executive of UK Retail and Business Banking and then as vice chair of Global Retail Banking. From 1985 to 2005, Deanna served in a number of positions at Washington Mutual, Inc., with her last role as president of Consumer Banking. Deanna is also a non-executive director of Slalom and is the founder of BoardReady, a not-for-profit, collective group of diverse senior leaders dedicated to increasing corporate and board diversity. Deanna received a BA from the University of Puget Sound.</w:t>
            </w:r>
          </w:p>
          <w:p>
            <w:pPr>
              <w:pStyle w:val="TableContents"/>
              <w:spacing w:before="0" w:after="20"/>
              <w:rPr/>
            </w:pPr>
            <w:r>
              <w:rPr/>
              <w:t> </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bottom w:val="single" w:sz="2" w:space="0" w:color="AFAFAF"/>
            </w:tcBorders>
            <w:shd w:fill="auto" w:val="clear"/>
            <w:tcMar>
              <w:bottom w:w="28" w:type="dxa"/>
            </w:tcMar>
            <w:vAlign w:val="bottom"/>
          </w:tcPr>
          <w:p>
            <w:pPr>
              <w:pStyle w:val="TableContents"/>
              <w:spacing w:before="0" w:after="283"/>
              <w:rPr/>
            </w:pPr>
            <w:r>
              <w:rPr/>
              <w:t> </w:t>
            </w:r>
          </w:p>
        </w:tc>
        <w:tc>
          <w:tcPr>
            <w:tcW w:w="2213"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947"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4572"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shd w:fill="auto" w:val="clear"/>
            <w:vAlign w:val="bottom"/>
          </w:tcPr>
          <w:p>
            <w:pPr>
              <w:pStyle w:val="TableContents"/>
              <w:spacing w:before="0" w:after="283"/>
              <w:rPr/>
            </w:pPr>
            <w:r>
              <w:rPr/>
              <w:t> </w:t>
            </w:r>
          </w:p>
        </w:tc>
        <w:tc>
          <w:tcPr>
            <w:tcW w:w="2213" w:type="dxa"/>
            <w:tcBorders/>
            <w:shd w:fill="auto" w:val="clear"/>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907" w:type="dxa"/>
            <w:tcBorders/>
            <w:shd w:fill="auto" w:val="clear"/>
          </w:tcPr>
          <w:p>
            <w:pPr>
              <w:pStyle w:val="TableContents"/>
              <w:spacing w:before="0" w:after="283"/>
              <w:rPr/>
            </w:pPr>
            <w:r>
              <w:rPr/>
              <w:t>7 of 7</w:t>
            </w:r>
          </w:p>
        </w:tc>
        <w:tc>
          <w:tcPr>
            <w:tcW w:w="120" w:type="dxa"/>
            <w:tcBorders/>
            <w:shd w:fill="auto" w:val="clear"/>
            <w:vAlign w:val="bottom"/>
          </w:tcPr>
          <w:p>
            <w:pPr>
              <w:pStyle w:val="TableContents"/>
              <w:spacing w:before="0" w:after="283"/>
              <w:rPr/>
            </w:pPr>
            <w:r>
              <w:rPr/>
              <w:t>  </w:t>
            </w:r>
          </w:p>
        </w:tc>
        <w:tc>
          <w:tcPr>
            <w:tcW w:w="920" w:type="dxa"/>
            <w:tcBorders/>
            <w:shd w:fill="auto" w:val="clear"/>
          </w:tcPr>
          <w:p>
            <w:pPr>
              <w:pStyle w:val="TableContents"/>
              <w:spacing w:before="0" w:after="283"/>
              <w:rPr/>
            </w:pPr>
            <w:r>
              <w:rPr/>
              <w:t>100%</w:t>
            </w:r>
          </w:p>
        </w:tc>
        <w:tc>
          <w:tcPr>
            <w:tcW w:w="120" w:type="dxa"/>
            <w:vMerge w:val="restart"/>
            <w:tcBorders/>
            <w:shd w:fill="auto" w:val="clear"/>
            <w:vAlign w:val="bottom"/>
          </w:tcPr>
          <w:p>
            <w:pPr>
              <w:pStyle w:val="TableContents"/>
              <w:spacing w:before="0" w:after="283"/>
              <w:rPr/>
            </w:pPr>
            <w:r>
              <w:rPr/>
              <w:t>  </w:t>
            </w:r>
          </w:p>
        </w:tc>
        <w:tc>
          <w:tcPr>
            <w:tcW w:w="2850" w:type="dxa"/>
            <w:gridSpan w:val="5"/>
            <w:vMerge w:val="restart"/>
            <w:tcBorders/>
            <w:shd w:fill="auto" w:val="clear"/>
            <w:vAlign w:val="bottom"/>
          </w:tcPr>
          <w:p>
            <w:pPr>
              <w:pStyle w:val="TableContents"/>
              <w:spacing w:before="0" w:after="0"/>
              <w:rPr>
                <w:rFonts w:ascii="arial" w:hAnsi="arial"/>
                <w:sz w:val="16"/>
              </w:rPr>
            </w:pPr>
            <w:r>
              <w:rPr>
                <w:rFonts w:ascii="arial" w:hAnsi="arial"/>
                <w:sz w:val="16"/>
              </w:rPr>
              <w:t>Hargreaves Lansdown plc</w:t>
            </w:r>
          </w:p>
          <w:p>
            <w:pPr>
              <w:pStyle w:val="TableContents"/>
              <w:spacing w:before="0" w:after="0"/>
              <w:rPr/>
            </w:pPr>
            <w:r>
              <w:rPr/>
              <w:t> </w:t>
            </w:r>
          </w:p>
          <w:p>
            <w:pPr>
              <w:pStyle w:val="TableContents"/>
              <w:spacing w:before="0" w:after="20"/>
              <w:rPr>
                <w:rFonts w:ascii="arial" w:hAnsi="arial"/>
                <w:sz w:val="16"/>
              </w:rPr>
            </w:pPr>
            <w:r>
              <w:rPr>
                <w:rFonts w:ascii="arial" w:hAnsi="arial"/>
                <w:sz w:val="16"/>
              </w:rPr>
              <w:t>InterContinental Hotels Group PLC</w:t>
            </w:r>
          </w:p>
        </w:tc>
        <w:tc>
          <w:tcPr>
            <w:tcW w:w="120"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rPr>
                <w:sz w:val="4"/>
                <w:szCs w:val="4"/>
              </w:rPr>
            </w:pPr>
            <w:r>
              <w:rPr>
                <w:sz w:val="4"/>
                <w:szCs w:val="4"/>
              </w:rPr>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shd w:fill="auto" w:val="clear"/>
            <w:vAlign w:val="bottom"/>
          </w:tcPr>
          <w:p>
            <w:pPr>
              <w:pStyle w:val="TableContents"/>
              <w:spacing w:before="0" w:after="283"/>
              <w:rPr/>
            </w:pPr>
            <w:r>
              <w:rPr/>
              <w:t> </w:t>
            </w:r>
          </w:p>
        </w:tc>
        <w:tc>
          <w:tcPr>
            <w:tcW w:w="2213" w:type="dxa"/>
            <w:tcBorders/>
            <w:shd w:fill="auto" w:val="clear"/>
            <w:vAlign w:val="bottom"/>
          </w:tcPr>
          <w:p>
            <w:pPr>
              <w:pStyle w:val="TableContents"/>
              <w:spacing w:before="0" w:after="283"/>
              <w:rPr/>
            </w:pPr>
            <w:r>
              <w:rPr/>
              <w:t>Audit</w:t>
            </w:r>
          </w:p>
        </w:tc>
        <w:tc>
          <w:tcPr>
            <w:tcW w:w="120"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8 of 8</w:t>
            </w:r>
          </w:p>
        </w:tc>
        <w:tc>
          <w:tcPr>
            <w:tcW w:w="12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100%</w:t>
            </w:r>
          </w:p>
        </w:tc>
        <w:tc>
          <w:tcPr>
            <w:tcW w:w="120" w:type="dxa"/>
            <w:vMerge w:val="continue"/>
            <w:tcBorders/>
            <w:shd w:fill="auto" w:val="clear"/>
            <w:vAlign w:val="bottom"/>
          </w:tcPr>
          <w:p>
            <w:pPr>
              <w:pStyle w:val="Normal"/>
              <w:rPr/>
            </w:pPr>
            <w:r>
              <w:rPr/>
            </w:r>
          </w:p>
        </w:tc>
        <w:tc>
          <w:tcPr>
            <w:tcW w:w="2850" w:type="dxa"/>
            <w:gridSpan w:val="5"/>
            <w:vMerge w:val="continue"/>
            <w:tcBorders/>
            <w:shd w:fill="auto" w:val="clear"/>
            <w:vAlign w:val="bottom"/>
          </w:tcPr>
          <w:p>
            <w:pPr>
              <w:pStyle w:val="Normal"/>
              <w:rPr/>
            </w:pPr>
            <w:r>
              <w:rPr/>
            </w:r>
          </w:p>
        </w:tc>
        <w:tc>
          <w:tcPr>
            <w:tcW w:w="120" w:type="dxa"/>
            <w:tcBorders/>
            <w:shd w:fill="auto" w:val="clear"/>
            <w:vAlign w:val="bottom"/>
          </w:tcPr>
          <w:p>
            <w:pPr>
              <w:pStyle w:val="TableContents"/>
              <w:spacing w:before="0" w:after="283"/>
              <w:rPr/>
            </w:pPr>
            <w:r>
              <w:rPr/>
              <w:t>  </w:t>
            </w:r>
          </w:p>
        </w:tc>
        <w:tc>
          <w:tcPr>
            <w:tcW w:w="1602" w:type="dxa"/>
            <w:tcBorders/>
            <w:shd w:fill="auto" w:val="clear"/>
            <w:vAlign w:val="bottom"/>
          </w:tcPr>
          <w:p>
            <w:pPr>
              <w:pStyle w:val="TableContents"/>
              <w:spacing w:before="0" w:after="283"/>
              <w:rPr>
                <w:sz w:val="4"/>
                <w:szCs w:val="4"/>
              </w:rPr>
            </w:pPr>
            <w:r>
              <w:rPr>
                <w:sz w:val="4"/>
                <w:szCs w:val="4"/>
              </w:rPr>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bottom w:val="single" w:sz="2" w:space="0" w:color="AFAFAF"/>
            </w:tcBorders>
            <w:shd w:fill="auto" w:val="clear"/>
            <w:tcMar>
              <w:bottom w:w="28" w:type="dxa"/>
            </w:tcMar>
            <w:vAlign w:val="bottom"/>
          </w:tcPr>
          <w:p>
            <w:pPr>
              <w:pStyle w:val="TableContents"/>
              <w:spacing w:before="0" w:after="283"/>
              <w:rPr/>
            </w:pPr>
            <w:r>
              <w:rPr/>
              <w:t> </w:t>
            </w:r>
          </w:p>
        </w:tc>
        <w:tc>
          <w:tcPr>
            <w:tcW w:w="2213" w:type="dxa"/>
            <w:tcBorders>
              <w:bottom w:val="single" w:sz="2" w:space="0" w:color="AFAFAF"/>
            </w:tcBorders>
            <w:shd w:fill="auto" w:val="clear"/>
            <w:tcMar>
              <w:bottom w:w="120" w:type="dxa"/>
            </w:tcMar>
            <w:vAlign w:val="bottom"/>
          </w:tcPr>
          <w:p>
            <w:pPr>
              <w:pStyle w:val="TableContents"/>
              <w:spacing w:before="0" w:after="283"/>
              <w:rPr/>
            </w:pPr>
            <w:r>
              <w:rPr/>
              <w:t>Corporate Governance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7" w:type="dxa"/>
            <w:tcBorders>
              <w:bottom w:val="single" w:sz="2" w:space="0" w:color="AFAFAF"/>
            </w:tcBorders>
            <w:shd w:fill="auto" w:val="clear"/>
            <w:tcMar>
              <w:bottom w:w="120" w:type="dxa"/>
            </w:tcMar>
            <w:vAlign w:val="bottom"/>
          </w:tcPr>
          <w:p>
            <w:pPr>
              <w:pStyle w:val="TableContents"/>
              <w:spacing w:before="0" w:after="283"/>
              <w:rPr/>
            </w:pPr>
            <w:r>
              <w:rPr/>
              <w:t>6 of 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20" w:type="dxa"/>
            <w:tcBorders>
              <w:bottom w:val="single" w:sz="2" w:space="0" w:color="AFAFAF"/>
            </w:tcBorders>
            <w:shd w:fill="auto" w:val="clear"/>
            <w:tcMar>
              <w:bottom w:w="120" w:type="dxa"/>
            </w:tcMar>
            <w:vAlign w:val="bottom"/>
          </w:tcPr>
          <w:p>
            <w:pPr>
              <w:pStyle w:val="TableContents"/>
              <w:spacing w:before="0" w:after="283"/>
              <w:rPr/>
            </w:pPr>
            <w:r>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9" w:type="dxa"/>
            <w:tcBorders>
              <w:bottom w:val="single" w:sz="2" w:space="0" w:color="AFAFAF"/>
            </w:tcBorders>
            <w:shd w:fill="auto" w:val="clear"/>
            <w:tcMar>
              <w:bottom w:w="28" w:type="dxa"/>
            </w:tcMar>
            <w:vAlign w:val="bottom"/>
          </w:tcPr>
          <w:p>
            <w:pPr>
              <w:pStyle w:val="TableContents"/>
              <w:spacing w:before="0" w:after="283"/>
              <w:rPr/>
            </w:pPr>
            <w:r>
              <w:rPr/>
              <w:t> </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999"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3"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bottom w:val="single" w:sz="2" w:space="0" w:color="AFAFAF"/>
            </w:tcBorders>
            <w:shd w:fill="auto" w:val="clear"/>
            <w:tcMar>
              <w:bottom w:w="28" w:type="dxa"/>
            </w:tcMar>
            <w:vAlign w:val="bottom"/>
          </w:tcPr>
          <w:p>
            <w:pPr>
              <w:pStyle w:val="TableContents"/>
              <w:spacing w:before="0" w:after="283"/>
              <w:rPr/>
            </w:pPr>
            <w:r>
              <w:rPr/>
              <w:t> </w:t>
            </w:r>
          </w:p>
        </w:tc>
        <w:tc>
          <w:tcPr>
            <w:tcW w:w="2213"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Total</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7"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21 of 21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20"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9" w:type="dxa"/>
            <w:tcBorders>
              <w:bottom w:val="single" w:sz="2" w:space="0" w:color="AFAFAF"/>
            </w:tcBorders>
            <w:shd w:fill="auto" w:val="clear"/>
            <w:tcMar>
              <w:bottom w:w="28" w:type="dxa"/>
            </w:tcMar>
            <w:vAlign w:val="bottom"/>
          </w:tcPr>
          <w:p>
            <w:pPr>
              <w:pStyle w:val="TableContents"/>
              <w:spacing w:before="0" w:after="283"/>
              <w:rPr/>
            </w:pPr>
            <w:r>
              <w:rPr/>
              <w:t> </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999"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3"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vMerge w:val="continue"/>
            <w:tcBorders>
              <w:top w:val="single" w:sz="8" w:space="0" w:color="B94831"/>
            </w:tcBorders>
            <w:shd w:fill="auto" w:val="clear"/>
            <w:tcMar>
              <w:top w:w="28" w:type="dxa"/>
            </w:tcMar>
            <w:vAlign w:val="bottom"/>
          </w:tcPr>
          <w:p>
            <w:pPr>
              <w:pStyle w:val="Normal"/>
              <w:rPr/>
            </w:pPr>
            <w:r>
              <w:rPr/>
            </w:r>
          </w:p>
        </w:tc>
        <w:tc>
          <w:tcPr>
            <w:tcW w:w="61" w:type="dxa"/>
            <w:vMerge w:val="continue"/>
            <w:tcBorders>
              <w:top w:val="single" w:sz="8" w:space="0" w:color="B94831"/>
            </w:tcBorders>
            <w:shd w:fill="auto" w:val="clear"/>
            <w:tcMar>
              <w:top w:w="28" w:type="dxa"/>
            </w:tcMar>
          </w:tcPr>
          <w:p>
            <w:pPr>
              <w:pStyle w:val="Normal"/>
              <w:rPr/>
            </w:pPr>
            <w:r>
              <w:rPr/>
            </w:r>
          </w:p>
        </w:tc>
        <w:tc>
          <w:tcPr>
            <w:tcW w:w="61" w:type="dxa"/>
            <w:tcBorders>
              <w:bottom w:val="single" w:sz="2" w:space="0" w:color="AFAFAF"/>
            </w:tcBorders>
            <w:shd w:fill="auto" w:val="clear"/>
            <w:tcMar>
              <w:bottom w:w="28" w:type="dxa"/>
            </w:tcMar>
            <w:vAlign w:val="bottom"/>
          </w:tcPr>
          <w:p>
            <w:pPr>
              <w:pStyle w:val="TableContents"/>
              <w:spacing w:before="0" w:after="283"/>
              <w:rPr/>
            </w:pPr>
            <w:r>
              <w:rPr/>
              <w:t> </w:t>
            </w:r>
          </w:p>
        </w:tc>
        <w:tc>
          <w:tcPr>
            <w:tcW w:w="2213"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7"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2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9" w:type="dxa"/>
            <w:tcBorders>
              <w:bottom w:val="single" w:sz="2" w:space="0" w:color="AFAFAF"/>
            </w:tcBorders>
            <w:shd w:fill="auto" w:val="clear"/>
            <w:tcMar>
              <w:bottom w:w="28" w:type="dxa"/>
            </w:tcMar>
            <w:vAlign w:val="bottom"/>
          </w:tcPr>
          <w:p>
            <w:pPr>
              <w:pStyle w:val="TableContents"/>
              <w:spacing w:before="0" w:after="283"/>
              <w:rPr/>
            </w:pPr>
            <w:r>
              <w:rPr/>
              <w:t> </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999"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3"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2"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bottom w:val="single" w:sz="2" w:space="0" w:color="AFAFAF"/>
            </w:tcBorders>
            <w:shd w:fill="auto" w:val="clear"/>
            <w:tcMar>
              <w:bottom w:w="28" w:type="dxa"/>
            </w:tcMar>
            <w:vAlign w:val="bottom"/>
          </w:tcPr>
          <w:p>
            <w:pPr>
              <w:pStyle w:val="TableContents"/>
              <w:spacing w:before="0" w:after="283"/>
              <w:rPr/>
            </w:pPr>
            <w:r>
              <w:rPr/>
              <w:t> </w:t>
            </w:r>
          </w:p>
        </w:tc>
        <w:tc>
          <w:tcPr>
            <w:tcW w:w="2213"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jc w:val="center"/>
              <w:rPr>
                <w:rFonts w:ascii="arial" w:hAnsi="arial"/>
                <w:sz w:val="16"/>
              </w:rPr>
            </w:pP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7" w:type="dxa"/>
            <w:tcBorders>
              <w:bottom w:val="single" w:sz="2" w:space="0" w:color="AFAFAF"/>
            </w:tcBorders>
            <w:shd w:fill="auto" w:val="clear"/>
            <w:tcMar>
              <w:bottom w:w="80" w:type="dxa"/>
            </w:tcMar>
            <w:vAlign w:val="bottom"/>
          </w:tcPr>
          <w:p>
            <w:pPr>
              <w:pStyle w:val="TableContents"/>
              <w:spacing w:before="0" w:after="0"/>
              <w:jc w:val="center"/>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20" w:type="dxa"/>
            <w:tcBorders>
              <w:bottom w:val="single" w:sz="2" w:space="0" w:color="AFAFAF"/>
            </w:tcBorders>
            <w:shd w:fill="auto" w:val="clear"/>
            <w:tcMar>
              <w:bottom w:w="8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5,220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9" w:type="dxa"/>
            <w:tcBorders>
              <w:bottom w:val="single" w:sz="2" w:space="0" w:color="AFAFAF"/>
            </w:tcBorders>
            <w:shd w:fill="auto" w:val="clear"/>
            <w:tcMar>
              <w:bottom w:w="80" w:type="dxa"/>
            </w:tcMar>
            <w:vAlign w:val="bottom"/>
          </w:tcPr>
          <w:p>
            <w:pPr>
              <w:pStyle w:val="TableContents"/>
              <w:spacing w:before="0" w:after="0"/>
              <w:jc w:val="center"/>
              <w:rPr>
                <w:rFonts w:ascii="arial" w:hAnsi="arial"/>
                <w:sz w:val="16"/>
              </w:rPr>
            </w:pPr>
            <w:r>
              <w:rPr>
                <w:rFonts w:ascii="arial" w:hAnsi="arial"/>
                <w:sz w:val="16"/>
              </w:rPr>
              <w:t>Options</w:t>
            </w:r>
          </w:p>
          <w:p>
            <w:pPr>
              <w:pStyle w:val="TableContents"/>
              <w:spacing w:before="0" w:after="20"/>
              <w:jc w:val="center"/>
              <w:rPr>
                <w:rFonts w:ascii="arial" w:hAnsi="arial"/>
                <w:sz w:val="16"/>
              </w:rPr>
            </w:pPr>
            <w:r>
              <w:rPr>
                <w:rFonts w:ascii="arial" w:hAnsi="arial"/>
                <w:sz w:val="16"/>
              </w:rPr>
              <w:t></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999" w:type="dxa"/>
            <w:tcBorders>
              <w:bottom w:val="single" w:sz="2" w:space="0" w:color="AFAFAF"/>
            </w:tcBorders>
            <w:shd w:fill="auto" w:val="clear"/>
            <w:tcMar>
              <w:bottom w:w="80" w:type="dxa"/>
            </w:tcMar>
            <w:vAlign w:val="bottom"/>
          </w:tcPr>
          <w:p>
            <w:pPr>
              <w:pStyle w:val="TableContents"/>
              <w:spacing w:before="0" w:after="283"/>
              <w:rPr/>
            </w:pPr>
            <w:r>
              <w:rPr/>
              <w:t>5,220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3"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602"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50"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1" w:type="dxa"/>
            <w:tcBorders>
              <w:bottom w:val="single" w:sz="8" w:space="0" w:color="B94831"/>
            </w:tcBorders>
            <w:shd w:fill="auto" w:val="clear"/>
            <w:tcMar>
              <w:bottom w:w="28" w:type="dxa"/>
            </w:tcMar>
            <w:vAlign w:val="bottom"/>
          </w:tcPr>
          <w:p>
            <w:pPr>
              <w:pStyle w:val="TableContents"/>
              <w:spacing w:before="0" w:after="283"/>
              <w:rPr/>
            </w:pPr>
            <w:r>
              <w:rPr/>
              <w:t> </w:t>
            </w:r>
          </w:p>
        </w:tc>
        <w:tc>
          <w:tcPr>
            <w:tcW w:w="61" w:type="dxa"/>
            <w:tcBorders>
              <w:bottom w:val="single" w:sz="8" w:space="0" w:color="B94831"/>
            </w:tcBorders>
            <w:shd w:fill="auto" w:val="clear"/>
            <w:tcMar>
              <w:bottom w:w="28" w:type="dxa"/>
            </w:tcMar>
            <w:vAlign w:val="bottom"/>
          </w:tcPr>
          <w:p>
            <w:pPr>
              <w:pStyle w:val="TableContents"/>
              <w:spacing w:before="0" w:after="283"/>
              <w:rPr/>
            </w:pPr>
            <w:r>
              <w:rPr/>
              <w:t> </w:t>
            </w:r>
          </w:p>
        </w:tc>
        <w:tc>
          <w:tcPr>
            <w:tcW w:w="61" w:type="dxa"/>
            <w:tcBorders>
              <w:bottom w:val="single" w:sz="8" w:space="0" w:color="B94831"/>
            </w:tcBorders>
            <w:shd w:fill="auto" w:val="clear"/>
            <w:tcMar>
              <w:bottom w:w="28" w:type="dxa"/>
            </w:tcMar>
            <w:vAlign w:val="bottom"/>
          </w:tcPr>
          <w:p>
            <w:pPr>
              <w:pStyle w:val="TableContents"/>
              <w:spacing w:before="0" w:after="283"/>
              <w:rPr/>
            </w:pPr>
            <w:r>
              <w:rPr/>
              <w:t> </w:t>
            </w:r>
          </w:p>
        </w:tc>
        <w:tc>
          <w:tcPr>
            <w:tcW w:w="2213" w:type="dxa"/>
            <w:tcBorders>
              <w:bottom w:val="single" w:sz="8" w:space="0" w:color="B94831"/>
            </w:tcBorders>
            <w:shd w:fill="auto" w:val="clear"/>
            <w:tcMar>
              <w:bottom w:w="120" w:type="dxa"/>
            </w:tcMar>
            <w:vAlign w:val="bottom"/>
          </w:tcPr>
          <w:p>
            <w:pPr>
              <w:pStyle w:val="TableContents"/>
              <w:spacing w:before="0" w:after="283"/>
              <w:jc w:val="center"/>
              <w:rPr>
                <w:i/>
              </w:rPr>
            </w:pPr>
            <w:r>
              <w:rPr>
                <w:i/>
              </w:rPr>
              <w:t></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907" w:type="dxa"/>
            <w:tcBorders>
              <w:bottom w:val="single" w:sz="8" w:space="0" w:color="B94831"/>
            </w:tcBorders>
            <w:shd w:fill="auto" w:val="clear"/>
            <w:tcMar>
              <w:bottom w:w="120" w:type="dxa"/>
            </w:tcMar>
            <w:vAlign w:val="bottom"/>
          </w:tcPr>
          <w:p>
            <w:pPr>
              <w:pStyle w:val="TableContents"/>
              <w:spacing w:before="0" w:after="283"/>
              <w:jc w:val="center"/>
              <w:rPr>
                <w:i/>
              </w:rPr>
            </w:pPr>
            <w:r>
              <w:rPr>
                <w:i/>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920" w:type="dxa"/>
            <w:tcBorders>
              <w:bottom w:val="single" w:sz="8" w:space="0" w:color="B94831"/>
            </w:tcBorders>
            <w:shd w:fill="auto" w:val="clear"/>
            <w:tcMar>
              <w:bottom w:w="120" w:type="dxa"/>
            </w:tcMar>
            <w:vAlign w:val="bottom"/>
          </w:tcPr>
          <w:p>
            <w:pPr>
              <w:pStyle w:val="TableContents"/>
              <w:spacing w:before="0" w:after="283"/>
              <w:rPr>
                <w:i/>
              </w:rPr>
            </w:pPr>
            <w:r>
              <w:rPr>
                <w:i/>
              </w:rPr>
              <w:t>$692,955</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599" w:type="dxa"/>
            <w:tcBorders>
              <w:bottom w:val="single" w:sz="8" w:space="0" w:color="B94831"/>
            </w:tcBorders>
            <w:shd w:fill="auto" w:val="clear"/>
            <w:tcMar>
              <w:bottom w:w="120" w:type="dxa"/>
            </w:tcMar>
            <w:vAlign w:val="bottom"/>
          </w:tcPr>
          <w:p>
            <w:pPr>
              <w:pStyle w:val="TableContents"/>
              <w:spacing w:before="0" w:after="283"/>
              <w:jc w:val="center"/>
              <w:rPr>
                <w:i/>
              </w:rPr>
            </w:pPr>
            <w:r>
              <w:rPr>
                <w:i/>
              </w:rPr>
              <w:t></w:t>
            </w:r>
          </w:p>
        </w:tc>
        <w:tc>
          <w:tcPr>
            <w:tcW w:w="119" w:type="dxa"/>
            <w:tcBorders>
              <w:bottom w:val="single" w:sz="8" w:space="0" w:color="B94831"/>
            </w:tcBorders>
            <w:shd w:fill="auto" w:val="clear"/>
            <w:tcMar>
              <w:bottom w:w="28" w:type="dxa"/>
            </w:tcMar>
            <w:vAlign w:val="bottom"/>
          </w:tcPr>
          <w:p>
            <w:pPr>
              <w:pStyle w:val="TableContents"/>
              <w:spacing w:before="0" w:after="283"/>
              <w:rPr/>
            </w:pPr>
            <w:r>
              <w:rPr/>
              <w:t>  </w:t>
            </w:r>
          </w:p>
        </w:tc>
        <w:tc>
          <w:tcPr>
            <w:tcW w:w="999"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013" w:type="dxa"/>
            <w:tcBorders>
              <w:bottom w:val="single" w:sz="8" w:space="0" w:color="B94831"/>
            </w:tcBorders>
            <w:shd w:fill="auto" w:val="clear"/>
            <w:tcMar>
              <w:bottom w:w="120" w:type="dxa"/>
            </w:tcMar>
            <w:vAlign w:val="bottom"/>
          </w:tcPr>
          <w:p>
            <w:pPr>
              <w:pStyle w:val="TableContents"/>
              <w:spacing w:before="0" w:after="283"/>
              <w:rPr>
                <w:i/>
              </w:rPr>
            </w:pPr>
            <w:r>
              <w:rPr>
                <w:i/>
              </w:rPr>
              <w:t>$692,955</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1602" w:type="dxa"/>
            <w:tcBorders>
              <w:bottom w:val="single" w:sz="8" w:space="0" w:color="B94831"/>
            </w:tcBorders>
            <w:shd w:fill="auto" w:val="clear"/>
            <w:tcMar>
              <w:bottom w:w="120" w:type="dxa"/>
            </w:tcMar>
            <w:vAlign w:val="bottom"/>
          </w:tcPr>
          <w:p>
            <w:pPr>
              <w:pStyle w:val="TableContents"/>
              <w:spacing w:before="0" w:after="20"/>
              <w:rPr>
                <w:rFonts w:ascii="arial" w:hAnsi="arial"/>
                <w:sz w:val="16"/>
              </w:rPr>
            </w:pPr>
            <w:r>
              <w:rPr>
                <w:rFonts w:ascii="arial" w:hAnsi="arial"/>
                <w:sz w:val="16"/>
              </w:rPr>
              <w:t>3.1x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553"/>
        <w:gridCol w:w="83"/>
        <w:gridCol w:w="83"/>
        <w:gridCol w:w="83"/>
        <w:gridCol w:w="1819"/>
        <w:gridCol w:w="126"/>
        <w:gridCol w:w="530"/>
        <w:gridCol w:w="126"/>
        <w:gridCol w:w="946"/>
        <w:gridCol w:w="126"/>
        <w:gridCol w:w="708"/>
        <w:gridCol w:w="126"/>
        <w:gridCol w:w="1000"/>
        <w:gridCol w:w="126"/>
        <w:gridCol w:w="1010"/>
        <w:gridCol w:w="126"/>
        <w:gridCol w:w="1634"/>
      </w:tblGrid>
      <w:tr>
        <w:trPr/>
        <w:tc>
          <w:tcPr>
            <w:tcW w:w="155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r>
      <w:tr>
        <w:trPr/>
        <w:tc>
          <w:tcPr>
            <w:tcW w:w="1553"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Simon Paris</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53</w:t>
            </w:r>
          </w:p>
          <w:p>
            <w:pPr>
              <w:pStyle w:val="TableContents"/>
              <w:spacing w:before="0" w:after="0"/>
              <w:rPr/>
            </w:pPr>
            <w:r>
              <w:rPr/>
              <w:t> </w:t>
            </w:r>
          </w:p>
          <w:p>
            <w:pPr>
              <w:pStyle w:val="TableContents"/>
              <w:spacing w:before="0" w:after="0"/>
              <w:rPr>
                <w:rFonts w:ascii="arial" w:hAnsi="arial"/>
                <w:sz w:val="15"/>
              </w:rPr>
            </w:pPr>
            <w:r>
              <w:rPr>
                <w:rFonts w:ascii="arial" w:hAnsi="arial"/>
                <w:sz w:val="15"/>
              </w:rPr>
              <w:t>London, United Kingdom</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2020</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operations, strategy, technology</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99.60%</w:t>
            </w:r>
          </w:p>
        </w:tc>
        <w:tc>
          <w:tcPr>
            <w:tcW w:w="83" w:type="dxa"/>
            <w:tcBorders>
              <w:top w:val="single" w:sz="8" w:space="0" w:color="B94831"/>
            </w:tcBorders>
            <w:shd w:fill="auto" w:val="clear"/>
            <w:tcMar>
              <w:top w:w="28" w:type="dxa"/>
            </w:tcMar>
            <w:vAlign w:val="bottom"/>
          </w:tcPr>
          <w:p>
            <w:pPr>
              <w:pStyle w:val="TableContents"/>
              <w:spacing w:before="0" w:after="283"/>
              <w:rPr/>
            </w:pPr>
            <w:r>
              <w:rPr/>
              <w:t> </w:t>
            </w:r>
          </w:p>
        </w:tc>
        <w:tc>
          <w:tcPr>
            <w:tcW w:w="83" w:type="dxa"/>
            <w:tcBorders>
              <w:top w:val="single" w:sz="8" w:space="0" w:color="B94831"/>
            </w:tcBorders>
            <w:shd w:fill="auto" w:val="clear"/>
            <w:tcMar>
              <w:top w:w="28" w:type="dxa"/>
            </w:tcMar>
          </w:tcPr>
          <w:p>
            <w:pPr>
              <w:pStyle w:val="TableContents"/>
              <w:spacing w:before="0" w:after="283"/>
              <w:rPr/>
            </w:pPr>
            <w:r>
              <w:rPr/>
              <w:t> </w:t>
            </w:r>
          </w:p>
        </w:tc>
        <w:tc>
          <w:tcPr>
            <w:tcW w:w="83" w:type="dxa"/>
            <w:tcBorders>
              <w:top w:val="single" w:sz="8" w:space="0" w:color="B94831"/>
            </w:tcBorders>
            <w:shd w:fill="auto" w:val="clear"/>
            <w:tcMar>
              <w:top w:w="28" w:type="dxa"/>
            </w:tcMar>
            <w:vAlign w:val="bottom"/>
          </w:tcPr>
          <w:p>
            <w:pPr>
              <w:pStyle w:val="TableContents"/>
              <w:spacing w:before="0" w:after="283"/>
              <w:rPr/>
            </w:pPr>
            <w:r>
              <w:rPr/>
              <w:t> </w:t>
            </w:r>
          </w:p>
        </w:tc>
        <w:tc>
          <w:tcPr>
            <w:tcW w:w="8403" w:type="dxa"/>
            <w:gridSpan w:val="13"/>
            <w:tcBorders>
              <w:top w:val="single" w:sz="8" w:space="0" w:color="B94831"/>
            </w:tcBorders>
            <w:shd w:fill="auto" w:val="clear"/>
            <w:tcMar>
              <w:top w:w="28"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Simon Paris</w:t>
            </w:r>
          </w:p>
          <w:p>
            <w:pPr>
              <w:pStyle w:val="TableContents"/>
              <w:spacing w:before="0" w:after="0"/>
              <w:rPr/>
            </w:pPr>
            <w:r>
              <w:rPr/>
              <w:t> </w:t>
            </w:r>
          </w:p>
          <w:p>
            <w:pPr>
              <w:pStyle w:val="TableContents"/>
              <w:spacing w:before="0" w:after="0"/>
              <w:rPr>
                <w:rFonts w:ascii="arial" w:hAnsi="arial"/>
                <w:sz w:val="16"/>
              </w:rPr>
            </w:pPr>
            <w:r>
              <w:rPr>
                <w:rFonts w:ascii="arial" w:hAnsi="arial"/>
                <w:sz w:val="16"/>
              </w:rPr>
              <w:t>Simon Paris is Chief Executive Officer of Finastra, a global financial technology (fintech) provider. He joined Finastra (previously Misys) as president in 2015 and also served as its Chief Sales Officer, before being appointed Deputy CEO in 2017 and CEO in 2018. Simon previously worked at SAP from 2007 to 2015, where he held a number of senior leadership positions. Simon was also previously a senior consultant with McKinsey &amp; Company. He currently chairs the World Trade Board, an organization initiated by Finastra that is made up of global leaders, innovative thinkers, industry influencers and subject matter experts from the different corners of trade, finance and commerce. Simon holds a BA from the European Business School and an MBA from INSEAD.</w:t>
            </w:r>
          </w:p>
          <w:p>
            <w:pPr>
              <w:pStyle w:val="TableContents"/>
              <w:spacing w:before="0" w:after="20"/>
              <w:rPr/>
            </w:pPr>
            <w:r>
              <w:rPr/>
              <w:t> </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bottom w:val="single" w:sz="2" w:space="0" w:color="AFAFAF"/>
            </w:tcBorders>
            <w:shd w:fill="auto" w:val="clear"/>
            <w:tcMar>
              <w:bottom w:w="28" w:type="dxa"/>
            </w:tcMar>
            <w:vAlign w:val="bottom"/>
          </w:tcPr>
          <w:p>
            <w:pPr>
              <w:pStyle w:val="TableContents"/>
              <w:spacing w:before="0" w:after="283"/>
              <w:rPr/>
            </w:pPr>
            <w:r>
              <w:rPr/>
              <w:t> </w:t>
            </w:r>
          </w:p>
        </w:tc>
        <w:tc>
          <w:tcPr>
            <w:tcW w:w="1819"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02"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4730"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0"/>
              <w:rPr/>
            </w:pPr>
            <w:r>
              <w:rPr/>
              <w:t> </w:t>
            </w:r>
          </w:p>
        </w:tc>
        <w:tc>
          <w:tcPr>
            <w:tcW w:w="83" w:type="dxa"/>
            <w:tcBorders/>
            <w:shd w:fill="auto" w:val="clear"/>
            <w:vAlign w:val="bottom"/>
          </w:tcPr>
          <w:p>
            <w:pPr>
              <w:pStyle w:val="TableContents"/>
              <w:spacing w:before="0" w:after="283"/>
              <w:rPr/>
            </w:pPr>
            <w:r>
              <w:rPr/>
              <w:t> </w:t>
            </w:r>
          </w:p>
        </w:tc>
        <w:tc>
          <w:tcPr>
            <w:tcW w:w="1819" w:type="dxa"/>
            <w:tcBorders/>
            <w:shd w:fill="auto" w:val="clear"/>
            <w:vAlign w:val="bottom"/>
          </w:tcPr>
          <w:p>
            <w:pPr>
              <w:pStyle w:val="TableContents"/>
              <w:spacing w:before="0" w:after="283"/>
              <w:rPr/>
            </w:pPr>
            <w:r>
              <w:rPr/>
              <w:t>Board</w:t>
            </w:r>
          </w:p>
        </w:tc>
        <w:tc>
          <w:tcPr>
            <w:tcW w:w="12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7 of 7</w:t>
            </w:r>
          </w:p>
        </w:tc>
        <w:tc>
          <w:tcPr>
            <w:tcW w:w="12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100%</w:t>
            </w:r>
          </w:p>
        </w:tc>
        <w:tc>
          <w:tcPr>
            <w:tcW w:w="126" w:type="dxa"/>
            <w:tcBorders/>
            <w:shd w:fill="auto" w:val="clear"/>
            <w:vAlign w:val="bottom"/>
          </w:tcPr>
          <w:p>
            <w:pPr>
              <w:pStyle w:val="TableContents"/>
              <w:spacing w:before="0" w:after="283"/>
              <w:rPr/>
            </w:pPr>
            <w:r>
              <w:rPr/>
              <w:t>  </w:t>
            </w:r>
          </w:p>
        </w:tc>
        <w:tc>
          <w:tcPr>
            <w:tcW w:w="2970" w:type="dxa"/>
            <w:gridSpan w:val="5"/>
            <w:tcBorders/>
            <w:shd w:fill="auto" w:val="clear"/>
            <w:vAlign w:val="bottom"/>
          </w:tcPr>
          <w:p>
            <w:pPr>
              <w:pStyle w:val="TableContents"/>
              <w:spacing w:before="0" w:after="283"/>
              <w:rPr/>
            </w:pPr>
            <w:r>
              <w:rPr/>
              <w:t>Everbridge, Inc.</w:t>
            </w:r>
          </w:p>
        </w:tc>
        <w:tc>
          <w:tcPr>
            <w:tcW w:w="126" w:type="dxa"/>
            <w:tcBorders/>
            <w:shd w:fill="auto" w:val="clear"/>
            <w:vAlign w:val="bottom"/>
          </w:tcPr>
          <w:p>
            <w:pPr>
              <w:pStyle w:val="TableContents"/>
              <w:spacing w:before="0" w:after="283"/>
              <w:rPr/>
            </w:pPr>
            <w:r>
              <w:rPr/>
              <w:t>  </w:t>
            </w:r>
          </w:p>
        </w:tc>
        <w:tc>
          <w:tcPr>
            <w:tcW w:w="1634" w:type="dxa"/>
            <w:tcBorders/>
            <w:shd w:fill="auto" w:val="clear"/>
            <w:vAlign w:val="bottom"/>
          </w:tcPr>
          <w:p>
            <w:pPr>
              <w:pStyle w:val="TableContents"/>
              <w:spacing w:before="0" w:after="0"/>
              <w:rPr/>
            </w:pPr>
            <w:r>
              <w:rPr/>
              <w:t> </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1819" w:type="dxa"/>
            <w:tcBorders/>
            <w:shd w:fill="auto" w:val="clear"/>
            <w:vAlign w:val="bottom"/>
          </w:tcPr>
          <w:p>
            <w:pPr>
              <w:pStyle w:val="TableContents"/>
              <w:spacing w:before="0" w:after="283"/>
              <w:rPr/>
            </w:pPr>
            <w:r>
              <w:rPr/>
              <w:t>Audit</w:t>
            </w:r>
          </w:p>
        </w:tc>
        <w:tc>
          <w:tcPr>
            <w:tcW w:w="12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8 of 8</w:t>
            </w:r>
          </w:p>
        </w:tc>
        <w:tc>
          <w:tcPr>
            <w:tcW w:w="12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100%</w:t>
            </w:r>
          </w:p>
        </w:tc>
        <w:tc>
          <w:tcPr>
            <w:tcW w:w="126" w:type="dxa"/>
            <w:tcBorders/>
            <w:shd w:fill="auto" w:val="clear"/>
            <w:vAlign w:val="bottom"/>
          </w:tcPr>
          <w:p>
            <w:pPr>
              <w:pStyle w:val="TableContents"/>
              <w:spacing w:before="0" w:after="283"/>
              <w:rPr/>
            </w:pPr>
            <w:r>
              <w:rPr/>
              <w:t>  </w:t>
            </w:r>
          </w:p>
        </w:tc>
        <w:tc>
          <w:tcPr>
            <w:tcW w:w="2970" w:type="dxa"/>
            <w:gridSpan w:val="5"/>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34" w:type="dxa"/>
            <w:tcBorders/>
            <w:shd w:fill="auto" w:val="clear"/>
            <w:vAlign w:val="bottom"/>
          </w:tcPr>
          <w:p>
            <w:pPr>
              <w:pStyle w:val="TableContents"/>
              <w:spacing w:before="0" w:after="283"/>
              <w:rPr>
                <w:sz w:val="4"/>
                <w:szCs w:val="4"/>
              </w:rPr>
            </w:pPr>
            <w:r>
              <w:rPr>
                <w:sz w:val="4"/>
                <w:szCs w:val="4"/>
              </w:rPr>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pPr>
            <w:r>
              <w:rPr/>
              <w:t> </w:t>
            </w:r>
          </w:p>
        </w:tc>
        <w:tc>
          <w:tcPr>
            <w:tcW w:w="1819" w:type="dxa"/>
            <w:tcBorders/>
            <w:shd w:fill="auto" w:val="clear"/>
            <w:vAlign w:val="bottom"/>
          </w:tcPr>
          <w:p>
            <w:pPr>
              <w:pStyle w:val="TableContents"/>
              <w:spacing w:before="0" w:after="283"/>
              <w:rPr/>
            </w:pPr>
            <w:r>
              <w:rPr/>
              <w:t>Corporate Governance</w:t>
            </w:r>
          </w:p>
        </w:tc>
        <w:tc>
          <w:tcPr>
            <w:tcW w:w="12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2 of 2</w:t>
            </w:r>
          </w:p>
        </w:tc>
        <w:tc>
          <w:tcPr>
            <w:tcW w:w="12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100%</w:t>
            </w:r>
          </w:p>
        </w:tc>
        <w:tc>
          <w:tcPr>
            <w:tcW w:w="126" w:type="dxa"/>
            <w:tcBorders/>
            <w:shd w:fill="auto" w:val="clear"/>
            <w:vAlign w:val="bottom"/>
          </w:tcPr>
          <w:p>
            <w:pPr>
              <w:pStyle w:val="TableContents"/>
              <w:spacing w:before="0" w:after="283"/>
              <w:rPr/>
            </w:pPr>
            <w:r>
              <w:rPr/>
              <w:t>  </w:t>
            </w:r>
          </w:p>
        </w:tc>
        <w:tc>
          <w:tcPr>
            <w:tcW w:w="2970" w:type="dxa"/>
            <w:gridSpan w:val="5"/>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34" w:type="dxa"/>
            <w:tcBorders/>
            <w:shd w:fill="auto" w:val="clear"/>
            <w:vAlign w:val="bottom"/>
          </w:tcPr>
          <w:p>
            <w:pPr>
              <w:pStyle w:val="TableContents"/>
              <w:spacing w:before="0" w:after="283"/>
              <w:rPr>
                <w:sz w:val="4"/>
                <w:szCs w:val="4"/>
              </w:rPr>
            </w:pPr>
            <w:r>
              <w:rPr>
                <w:sz w:val="4"/>
                <w:szCs w:val="4"/>
              </w:rPr>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83" w:type="dxa"/>
            <w:tcBorders>
              <w:bottom w:val="single" w:sz="2" w:space="0" w:color="AFAFAF"/>
            </w:tcBorders>
            <w:shd w:fill="auto" w:val="clear"/>
            <w:tcMar>
              <w:bottom w:w="28" w:type="dxa"/>
            </w:tcMar>
            <w:vAlign w:val="bottom"/>
          </w:tcPr>
          <w:p>
            <w:pPr>
              <w:pStyle w:val="TableContents"/>
              <w:spacing w:before="0" w:after="283"/>
              <w:rPr/>
            </w:pPr>
            <w:r>
              <w:rPr/>
              <w:t> </w:t>
            </w:r>
          </w:p>
        </w:tc>
        <w:tc>
          <w:tcPr>
            <w:tcW w:w="1819" w:type="dxa"/>
            <w:tcBorders>
              <w:bottom w:val="single" w:sz="2" w:space="0" w:color="AFAFAF"/>
            </w:tcBorders>
            <w:shd w:fill="auto" w:val="clear"/>
            <w:tcMar>
              <w:bottom w:w="120" w:type="dxa"/>
            </w:tcMar>
            <w:vAlign w:val="bottom"/>
          </w:tcPr>
          <w:p>
            <w:pPr>
              <w:pStyle w:val="TableContents"/>
              <w:spacing w:before="0" w:after="283"/>
              <w:rPr/>
            </w:pPr>
            <w:r>
              <w:rPr/>
              <w:t>Risk</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530" w:type="dxa"/>
            <w:tcBorders>
              <w:bottom w:val="single" w:sz="2" w:space="0" w:color="AFAFAF"/>
            </w:tcBorders>
            <w:shd w:fill="auto" w:val="clear"/>
            <w:tcMar>
              <w:bottom w:w="120" w:type="dxa"/>
            </w:tcMar>
            <w:vAlign w:val="bottom"/>
          </w:tcPr>
          <w:p>
            <w:pPr>
              <w:pStyle w:val="TableContents"/>
              <w:spacing w:before="0" w:after="283"/>
              <w:rPr/>
            </w:pPr>
            <w:r>
              <w:rPr/>
              <w:t>2 of 2</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946" w:type="dxa"/>
            <w:tcBorders>
              <w:bottom w:val="single" w:sz="2" w:space="0" w:color="AFAFAF"/>
            </w:tcBorders>
            <w:shd w:fill="auto" w:val="clear"/>
            <w:tcMar>
              <w:bottom w:w="120" w:type="dxa"/>
            </w:tcMar>
            <w:vAlign w:val="bottom"/>
          </w:tcPr>
          <w:p>
            <w:pPr>
              <w:pStyle w:val="TableContents"/>
              <w:spacing w:before="0" w:after="283"/>
              <w:rPr/>
            </w:pPr>
            <w:r>
              <w:rPr/>
              <w:t>100%</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708"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3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0"/>
              <w:rPr/>
            </w:pPr>
            <w:r>
              <w:rPr/>
              <w:t> </w:t>
            </w:r>
          </w:p>
        </w:tc>
        <w:tc>
          <w:tcPr>
            <w:tcW w:w="83" w:type="dxa"/>
            <w:tcBorders>
              <w:bottom w:val="single" w:sz="2" w:space="0" w:color="AFAFAF"/>
            </w:tcBorders>
            <w:shd w:fill="auto" w:val="clear"/>
            <w:tcMar>
              <w:bottom w:w="28" w:type="dxa"/>
            </w:tcMar>
            <w:vAlign w:val="bottom"/>
          </w:tcPr>
          <w:p>
            <w:pPr>
              <w:pStyle w:val="TableContents"/>
              <w:spacing w:before="0" w:after="283"/>
              <w:rPr/>
            </w:pPr>
            <w:r>
              <w:rPr/>
              <w:t> </w:t>
            </w:r>
          </w:p>
        </w:tc>
        <w:tc>
          <w:tcPr>
            <w:tcW w:w="1819" w:type="dxa"/>
            <w:tcBorders>
              <w:bottom w:val="single" w:sz="2" w:space="0" w:color="AFAFAF"/>
            </w:tcBorders>
            <w:shd w:fill="auto" w:val="clear"/>
            <w:tcMar>
              <w:bottom w:w="60" w:type="dxa"/>
            </w:tcMar>
            <w:vAlign w:val="bottom"/>
          </w:tcPr>
          <w:p>
            <w:pPr>
              <w:pStyle w:val="TableContents"/>
              <w:spacing w:before="0" w:after="283"/>
              <w:rPr>
                <w:rFonts w:ascii="Arial" w:hAnsi="Arial"/>
                <w:b/>
              </w:rPr>
            </w:pPr>
            <w:r>
              <w:rPr>
                <w:rFonts w:ascii="Arial" w:hAnsi="Arial"/>
                <w:b/>
              </w:rPr>
              <w:t>Total</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530" w:type="dxa"/>
            <w:tcBorders>
              <w:bottom w:val="single" w:sz="2" w:space="0" w:color="AFAFAF"/>
            </w:tcBorders>
            <w:shd w:fill="auto" w:val="clear"/>
            <w:tcMar>
              <w:bottom w:w="60" w:type="dxa"/>
            </w:tcMar>
            <w:vAlign w:val="bottom"/>
          </w:tcPr>
          <w:p>
            <w:pPr>
              <w:pStyle w:val="TableContents"/>
              <w:spacing w:before="0" w:after="283"/>
              <w:rPr>
                <w:rFonts w:ascii="Arial" w:hAnsi="Arial"/>
                <w:b/>
              </w:rPr>
            </w:pPr>
            <w:r>
              <w:rPr>
                <w:rFonts w:ascii="Arial" w:hAnsi="Arial"/>
                <w:b/>
              </w:rPr>
              <w:t>19 of 19</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946" w:type="dxa"/>
            <w:tcBorders>
              <w:bottom w:val="single" w:sz="2" w:space="0" w:color="AFAFAF"/>
            </w:tcBorders>
            <w:shd w:fill="auto" w:val="clear"/>
            <w:tcMar>
              <w:bottom w:w="60" w:type="dxa"/>
            </w:tcMar>
            <w:vAlign w:val="bottom"/>
          </w:tcPr>
          <w:p>
            <w:pPr>
              <w:pStyle w:val="TableContents"/>
              <w:spacing w:before="0" w:after="283"/>
              <w:rPr>
                <w:rFonts w:ascii="Arial" w:hAnsi="Arial"/>
                <w:b/>
              </w:rPr>
            </w:pPr>
            <w:r>
              <w:rPr>
                <w:rFonts w:ascii="Arial" w:hAnsi="Arial"/>
                <w:b/>
              </w:rPr>
              <w:t>100%</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708"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0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3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bottom w:val="single" w:sz="2" w:space="0" w:color="AFAFAF"/>
            </w:tcBorders>
            <w:shd w:fill="auto" w:val="clear"/>
            <w:tcMar>
              <w:bottom w:w="28" w:type="dxa"/>
            </w:tcMar>
            <w:vAlign w:val="bottom"/>
          </w:tcPr>
          <w:p>
            <w:pPr>
              <w:pStyle w:val="TableContents"/>
              <w:spacing w:before="0" w:after="283"/>
              <w:rPr/>
            </w:pPr>
            <w:r>
              <w:rPr/>
              <w:t> </w:t>
            </w:r>
          </w:p>
        </w:tc>
        <w:tc>
          <w:tcPr>
            <w:tcW w:w="1819"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53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946"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708"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34"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sz w:val="4"/>
                <w:szCs w:val="4"/>
              </w:rPr>
            </w:pPr>
            <w:r>
              <w:rPr>
                <w:sz w:val="4"/>
                <w:szCs w:val="4"/>
              </w:rPr>
            </w:r>
          </w:p>
        </w:tc>
        <w:tc>
          <w:tcPr>
            <w:tcW w:w="83" w:type="dxa"/>
            <w:tcBorders>
              <w:bottom w:val="single" w:sz="2" w:space="0" w:color="AFAFAF"/>
            </w:tcBorders>
            <w:shd w:fill="auto" w:val="clear"/>
            <w:tcMar>
              <w:bottom w:w="28" w:type="dxa"/>
            </w:tcMar>
            <w:vAlign w:val="bottom"/>
          </w:tcPr>
          <w:p>
            <w:pPr>
              <w:pStyle w:val="TableContents"/>
              <w:spacing w:before="0" w:after="283"/>
              <w:rPr/>
            </w:pPr>
            <w:r>
              <w:rPr/>
              <w:t> </w:t>
            </w:r>
          </w:p>
        </w:tc>
        <w:tc>
          <w:tcPr>
            <w:tcW w:w="1819"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pPr>
            <w:r>
              <w:rPr/>
              <w:t>           </w:t>
            </w:r>
            <w:r>
              <w:rPr>
                <w:rFonts w:ascii="arial" w:hAnsi="arial"/>
                <w:sz w:val="16"/>
              </w:rPr>
              <w:t></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53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946"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5,220</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708"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rPr/>
            </w:pPr>
            <w:r>
              <w:rPr/>
              <w:t>      </w:t>
            </w:r>
            <w:r>
              <w:rPr>
                <w:rFonts w:ascii="arial" w:hAnsi="arial"/>
                <w:sz w:val="16"/>
              </w:rPr>
              <w:t></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00" w:type="dxa"/>
            <w:tcBorders>
              <w:bottom w:val="single" w:sz="2" w:space="0" w:color="AFAFAF"/>
            </w:tcBorders>
            <w:shd w:fill="auto" w:val="clear"/>
            <w:tcMar>
              <w:bottom w:w="120" w:type="dxa"/>
            </w:tcMar>
            <w:vAlign w:val="bottom"/>
          </w:tcPr>
          <w:p>
            <w:pPr>
              <w:pStyle w:val="TableContents"/>
              <w:spacing w:before="0" w:after="283"/>
              <w:rPr/>
            </w:pPr>
            <w:r>
              <w:rPr/>
              <w:t>5,220</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3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55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3" w:type="dxa"/>
            <w:tcBorders>
              <w:bottom w:val="single" w:sz="8" w:space="0" w:color="B94831"/>
            </w:tcBorders>
            <w:shd w:fill="auto" w:val="clear"/>
            <w:tcMar>
              <w:bottom w:w="28" w:type="dxa"/>
            </w:tcMar>
            <w:vAlign w:val="bottom"/>
          </w:tcPr>
          <w:p>
            <w:pPr>
              <w:pStyle w:val="TableContents"/>
              <w:spacing w:before="0" w:after="283"/>
              <w:rPr/>
            </w:pPr>
            <w:r>
              <w:rPr/>
              <w:t> </w:t>
            </w:r>
          </w:p>
        </w:tc>
        <w:tc>
          <w:tcPr>
            <w:tcW w:w="83" w:type="dxa"/>
            <w:tcBorders>
              <w:bottom w:val="single" w:sz="8" w:space="0" w:color="B94831"/>
            </w:tcBorders>
            <w:shd w:fill="auto" w:val="clear"/>
            <w:tcMar>
              <w:bottom w:w="28" w:type="dxa"/>
            </w:tcMar>
            <w:vAlign w:val="bottom"/>
          </w:tcPr>
          <w:p>
            <w:pPr>
              <w:pStyle w:val="TableContents"/>
              <w:spacing w:before="0" w:after="283"/>
              <w:rPr/>
            </w:pPr>
            <w:r>
              <w:rPr/>
              <w:t> </w:t>
            </w:r>
          </w:p>
        </w:tc>
        <w:tc>
          <w:tcPr>
            <w:tcW w:w="83" w:type="dxa"/>
            <w:tcBorders>
              <w:bottom w:val="single" w:sz="8" w:space="0" w:color="B94831"/>
            </w:tcBorders>
            <w:shd w:fill="auto" w:val="clear"/>
            <w:tcMar>
              <w:bottom w:w="28" w:type="dxa"/>
            </w:tcMar>
            <w:vAlign w:val="bottom"/>
          </w:tcPr>
          <w:p>
            <w:pPr>
              <w:pStyle w:val="TableContents"/>
              <w:spacing w:before="0" w:after="283"/>
              <w:rPr/>
            </w:pPr>
            <w:r>
              <w:rPr/>
              <w:t> </w:t>
            </w:r>
          </w:p>
        </w:tc>
        <w:tc>
          <w:tcPr>
            <w:tcW w:w="1819" w:type="dxa"/>
            <w:tcBorders>
              <w:bottom w:val="single" w:sz="8" w:space="0" w:color="B94831"/>
            </w:tcBorders>
            <w:shd w:fill="auto" w:val="clear"/>
            <w:tcMar>
              <w:bottom w:w="120" w:type="dxa"/>
            </w:tcMar>
            <w:vAlign w:val="bottom"/>
          </w:tcPr>
          <w:p>
            <w:pPr>
              <w:pStyle w:val="TableContents"/>
              <w:spacing w:before="0" w:after="283"/>
              <w:rPr/>
            </w:pPr>
            <w:r>
              <w:rPr/>
              <w:t>           </w:t>
            </w:r>
            <w:r>
              <w:rPr/>
              <w:t></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530" w:type="dxa"/>
            <w:tcBorders>
              <w:bottom w:val="single" w:sz="8" w:space="0" w:color="B94831"/>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      </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946" w:type="dxa"/>
            <w:tcBorders>
              <w:bottom w:val="single" w:sz="8" w:space="0" w:color="B94831"/>
            </w:tcBorders>
            <w:shd w:fill="auto" w:val="clear"/>
            <w:tcMar>
              <w:bottom w:w="120" w:type="dxa"/>
            </w:tcMar>
            <w:vAlign w:val="bottom"/>
          </w:tcPr>
          <w:p>
            <w:pPr>
              <w:pStyle w:val="TableContents"/>
              <w:spacing w:before="0" w:after="283"/>
              <w:rPr/>
            </w:pPr>
            <w:r>
              <w:rPr/>
              <w:t>$692,955</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708" w:type="dxa"/>
            <w:tcBorders>
              <w:bottom w:val="single" w:sz="8" w:space="0" w:color="B94831"/>
            </w:tcBorders>
            <w:shd w:fill="auto" w:val="clear"/>
            <w:tcMar>
              <w:bottom w:w="120" w:type="dxa"/>
            </w:tcMar>
            <w:vAlign w:val="bottom"/>
          </w:tcPr>
          <w:p>
            <w:pPr>
              <w:pStyle w:val="TableContents"/>
              <w:spacing w:before="0" w:after="0"/>
              <w:rPr/>
            </w:pPr>
            <w:r>
              <w:rPr/>
              <w:t>      </w:t>
            </w:r>
            <w:r>
              <w:rPr>
                <w:rFonts w:ascii="arial" w:hAnsi="arial"/>
                <w:i/>
                <w:sz w:val="16"/>
              </w:rPr>
              <w:t></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1000" w:type="dxa"/>
            <w:tcBorders>
              <w:bottom w:val="single" w:sz="8" w:space="0" w:color="B94831"/>
            </w:tcBorders>
            <w:shd w:fill="auto" w:val="clear"/>
            <w:tcMar>
              <w:bottom w:w="28" w:type="dxa"/>
            </w:tcMar>
            <w:vAlign w:val="bottom"/>
          </w:tcPr>
          <w:p>
            <w:pPr>
              <w:pStyle w:val="TableContents"/>
              <w:spacing w:before="0" w:after="283"/>
              <w:rPr/>
            </w:pPr>
            <w:r>
              <w:rPr/>
              <w:t> </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1010" w:type="dxa"/>
            <w:tcBorders>
              <w:bottom w:val="single" w:sz="8" w:space="0" w:color="B94831"/>
            </w:tcBorders>
            <w:shd w:fill="auto" w:val="clear"/>
            <w:tcMar>
              <w:bottom w:w="120" w:type="dxa"/>
            </w:tcMar>
            <w:vAlign w:val="bottom"/>
          </w:tcPr>
          <w:p>
            <w:pPr>
              <w:pStyle w:val="TableContents"/>
              <w:spacing w:before="0" w:after="283"/>
              <w:rPr/>
            </w:pPr>
            <w:r>
              <w:rPr>
                <w:i/>
              </w:rPr>
              <w:t>$</w:t>
            </w:r>
            <w:r>
              <w:rPr/>
              <w:t>692,955</w:t>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1634" w:type="dxa"/>
            <w:tcBorders>
              <w:bottom w:val="single" w:sz="8" w:space="0" w:color="B94831"/>
            </w:tcBorders>
            <w:shd w:fill="auto" w:val="clear"/>
            <w:tcMar>
              <w:bottom w:w="120" w:type="dxa"/>
            </w:tcMar>
            <w:vAlign w:val="bottom"/>
          </w:tcPr>
          <w:p>
            <w:pPr>
              <w:pStyle w:val="TableContents"/>
              <w:spacing w:before="0" w:after="283"/>
              <w:rPr>
                <w:i/>
              </w:rPr>
            </w:pPr>
            <w:r>
              <w:rPr>
                <w:i/>
              </w:rPr>
              <w:t>3.1x</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61"/>
        <w:gridCol w:w="80"/>
        <w:gridCol w:w="80"/>
        <w:gridCol w:w="60"/>
        <w:gridCol w:w="1651"/>
        <w:gridCol w:w="80"/>
        <w:gridCol w:w="780"/>
        <w:gridCol w:w="80"/>
        <w:gridCol w:w="1101"/>
        <w:gridCol w:w="80"/>
        <w:gridCol w:w="698"/>
        <w:gridCol w:w="80"/>
        <w:gridCol w:w="1019"/>
        <w:gridCol w:w="80"/>
        <w:gridCol w:w="1101"/>
        <w:gridCol w:w="80"/>
        <w:gridCol w:w="1694"/>
      </w:tblGrid>
      <w:tr>
        <w:trPr/>
        <w:tc>
          <w:tcPr>
            <w:tcW w:w="146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r>
      <w:tr>
        <w:trPr/>
        <w:tc>
          <w:tcPr>
            <w:tcW w:w="1461"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9855" cy="10985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9855" cy="10985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Kim M. Rivera</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54</w:t>
            </w:r>
          </w:p>
          <w:p>
            <w:pPr>
              <w:pStyle w:val="TableContents"/>
              <w:spacing w:before="0" w:after="0"/>
              <w:rPr/>
            </w:pPr>
            <w:r>
              <w:rPr/>
              <w:t> </w:t>
            </w:r>
          </w:p>
          <w:p>
            <w:pPr>
              <w:pStyle w:val="TableContents"/>
              <w:spacing w:before="0" w:after="0"/>
              <w:rPr>
                <w:rFonts w:ascii="arial" w:hAnsi="arial"/>
                <w:sz w:val="15"/>
              </w:rPr>
            </w:pPr>
            <w:r>
              <w:rPr>
                <w:rFonts w:ascii="arial" w:hAnsi="arial"/>
                <w:sz w:val="15"/>
              </w:rPr>
              <w:t>Woodside, California,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2019</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legal, strategy, technology, operations</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99.65%</w:t>
            </w:r>
          </w:p>
        </w:tc>
        <w:tc>
          <w:tcPr>
            <w:tcW w:w="80" w:type="dxa"/>
            <w:tcBorders>
              <w:top w:val="single" w:sz="8" w:space="0" w:color="B94831"/>
            </w:tcBorders>
            <w:shd w:fill="auto" w:val="clear"/>
            <w:tcMar>
              <w:top w:w="28" w:type="dxa"/>
            </w:tcMar>
            <w:vAlign w:val="bottom"/>
          </w:tcPr>
          <w:p>
            <w:pPr>
              <w:pStyle w:val="TableContents"/>
              <w:spacing w:before="0" w:after="283"/>
              <w:rPr/>
            </w:pPr>
            <w:r>
              <w:rPr/>
              <w:t> </w:t>
            </w:r>
          </w:p>
        </w:tc>
        <w:tc>
          <w:tcPr>
            <w:tcW w:w="80"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524" w:type="dxa"/>
            <w:gridSpan w:val="13"/>
            <w:tcBorders>
              <w:top w:val="single" w:sz="8" w:space="0" w:color="B94831"/>
            </w:tcBorders>
            <w:shd w:fill="auto" w:val="clear"/>
            <w:tcMar>
              <w:top w:w="28"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Kim M. Rivera</w:t>
            </w:r>
          </w:p>
          <w:p>
            <w:pPr>
              <w:pStyle w:val="TableContents"/>
              <w:spacing w:before="0" w:after="0"/>
              <w:rPr/>
            </w:pPr>
            <w:r>
              <w:rPr/>
              <w:t> </w:t>
            </w:r>
          </w:p>
          <w:p>
            <w:pPr>
              <w:pStyle w:val="TableContents"/>
              <w:spacing w:before="0" w:after="0"/>
              <w:rPr>
                <w:rFonts w:ascii="arial" w:hAnsi="arial"/>
                <w:sz w:val="16"/>
              </w:rPr>
            </w:pPr>
            <w:r>
              <w:rPr>
                <w:rFonts w:ascii="arial" w:hAnsi="arial"/>
                <w:sz w:val="16"/>
              </w:rPr>
              <w:t>Kim M. Rivera is the Chief Legal and Business Affairs Officer of OneTrust LLC, a privacy, security and governance management software company. She was Special Advisor to the CEO of HP Inc. from February 2021 through December 2021. Prior to that, Kim was President, Strategy and Business Management and Chief Legal Officer at HP Inc. from January 2019 through January 2021. As President, Strategy and Business Management, she led corporate strategy and development, customer support, indirect procurement, real estate and workplace functions. In addition, Kim managed HP Inc.s worldwide legal organization, including all aspects of legal and governmental affairs, brand security, compliance and ethics. She served as Chief Legal Officer and General Counsel of HP Inc. from November 2015 to January 2019. Prior to joining HP Inc., Kim was the Chief Legal Officer and Corporate Secretary for DaVita HealthCare Partners where she was employed from 2010 to 2015. Prior to that, she served as the Chief Compliance Officer and Head of International Legal Services at The Clorox Company; and Chief Litigation Counsel for Rockwell Automation, as well as General Counsel for its Automation Controls and Information Group. Kim has a bachelors degree from Duke University and a Juris Doctor degree from Harvard Law School.</w:t>
            </w:r>
          </w:p>
          <w:p>
            <w:pPr>
              <w:pStyle w:val="TableContents"/>
              <w:spacing w:before="0" w:after="20"/>
              <w:rPr/>
            </w:pPr>
            <w:r>
              <w:rPr/>
              <w:t> </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1"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961"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4752"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rPr/>
            </w:pPr>
            <w:r>
              <w:rPr/>
              <w:t>Board</w:t>
            </w:r>
          </w:p>
        </w:tc>
        <w:tc>
          <w:tcPr>
            <w:tcW w:w="8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7 of 7</w:t>
            </w:r>
          </w:p>
        </w:tc>
        <w:tc>
          <w:tcPr>
            <w:tcW w:w="80"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100%</w:t>
            </w:r>
          </w:p>
        </w:tc>
        <w:tc>
          <w:tcPr>
            <w:tcW w:w="80" w:type="dxa"/>
            <w:tcBorders/>
            <w:shd w:fill="auto" w:val="clear"/>
            <w:vAlign w:val="bottom"/>
          </w:tcPr>
          <w:p>
            <w:pPr>
              <w:pStyle w:val="TableContents"/>
              <w:spacing w:before="0" w:after="283"/>
              <w:rPr/>
            </w:pPr>
            <w:r>
              <w:rPr/>
              <w:t> </w:t>
            </w:r>
          </w:p>
        </w:tc>
        <w:tc>
          <w:tcPr>
            <w:tcW w:w="2978" w:type="dxa"/>
            <w:gridSpan w:val="5"/>
            <w:tcBorders/>
            <w:shd w:fill="auto" w:val="clear"/>
            <w:vAlign w:val="bottom"/>
          </w:tcPr>
          <w:p>
            <w:pPr>
              <w:pStyle w:val="TableContents"/>
              <w:spacing w:before="0" w:after="283"/>
              <w:rPr/>
            </w:pPr>
            <w:r>
              <w:rPr/>
              <w:t>Cano Health Inc.</w:t>
            </w:r>
          </w:p>
        </w:tc>
        <w:tc>
          <w:tcPr>
            <w:tcW w:w="80"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sz w:val="4"/>
                <w:szCs w:val="4"/>
              </w:rPr>
            </w:pPr>
            <w:r>
              <w:rPr>
                <w:sz w:val="4"/>
                <w:szCs w:val="4"/>
              </w:rPr>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rPr/>
            </w:pPr>
            <w:r>
              <w:rPr/>
              <w:t>Audit</w:t>
            </w:r>
          </w:p>
        </w:tc>
        <w:tc>
          <w:tcPr>
            <w:tcW w:w="80"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8 of 8</w:t>
            </w:r>
          </w:p>
        </w:tc>
        <w:tc>
          <w:tcPr>
            <w:tcW w:w="80"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100%</w:t>
            </w:r>
          </w:p>
        </w:tc>
        <w:tc>
          <w:tcPr>
            <w:tcW w:w="80"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1694" w:type="dxa"/>
            <w:tcBorders/>
            <w:shd w:fill="auto" w:val="clear"/>
            <w:vAlign w:val="bottom"/>
          </w:tcPr>
          <w:p>
            <w:pPr>
              <w:pStyle w:val="TableContents"/>
              <w:spacing w:before="0" w:after="283"/>
              <w:rPr>
                <w:sz w:val="4"/>
                <w:szCs w:val="4"/>
              </w:rPr>
            </w:pPr>
            <w:r>
              <w:rPr>
                <w:sz w:val="4"/>
                <w:szCs w:val="4"/>
              </w:rPr>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1" w:type="dxa"/>
            <w:tcBorders>
              <w:bottom w:val="single" w:sz="2" w:space="0" w:color="AFAFAF"/>
            </w:tcBorders>
            <w:shd w:fill="auto" w:val="clear"/>
            <w:tcMar>
              <w:bottom w:w="120" w:type="dxa"/>
            </w:tcMar>
            <w:vAlign w:val="bottom"/>
          </w:tcPr>
          <w:p>
            <w:pPr>
              <w:pStyle w:val="TableContents"/>
              <w:spacing w:before="0" w:after="283"/>
              <w:rPr/>
            </w:pPr>
            <w:r>
              <w:rPr/>
              <w:t>Risk</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780" w:type="dxa"/>
            <w:tcBorders>
              <w:bottom w:val="single" w:sz="2" w:space="0" w:color="AFAFAF"/>
            </w:tcBorders>
            <w:shd w:fill="auto" w:val="clear"/>
            <w:tcMar>
              <w:bottom w:w="120" w:type="dxa"/>
            </w:tcMar>
            <w:vAlign w:val="bottom"/>
          </w:tcPr>
          <w:p>
            <w:pPr>
              <w:pStyle w:val="TableContents"/>
              <w:spacing w:before="0" w:after="283"/>
              <w:rPr/>
            </w:pPr>
            <w:r>
              <w:rPr/>
              <w:t>4 of 4</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120" w:type="dxa"/>
            </w:tcMar>
            <w:vAlign w:val="bottom"/>
          </w:tcPr>
          <w:p>
            <w:pPr>
              <w:pStyle w:val="TableContents"/>
              <w:spacing w:before="0" w:after="283"/>
              <w:rPr/>
            </w:pPr>
            <w:r>
              <w:rPr/>
              <w:t>100%</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698"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9"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6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1"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7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19 of 19</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100%</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698"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9"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6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1"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780"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698"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9"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694"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1"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pPr>
            <w:r>
              <w:rPr/>
              <w:t>           </w:t>
            </w:r>
            <w:r>
              <w:rPr>
                <w:rFonts w:ascii="arial" w:hAnsi="arial"/>
                <w:sz w:val="16"/>
              </w:rPr>
              <w:t></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7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8,530</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698"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rPr/>
            </w:pPr>
            <w:r>
              <w:rPr/>
              <w:t>      </w:t>
            </w:r>
            <w:r>
              <w:rPr>
                <w:rFonts w:ascii="arial" w:hAnsi="arial"/>
                <w:sz w:val="16"/>
              </w:rPr>
              <w:t></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9" w:type="dxa"/>
            <w:tcBorders>
              <w:bottom w:val="single" w:sz="2" w:space="0" w:color="AFAFAF"/>
            </w:tcBorders>
            <w:shd w:fill="auto" w:val="clear"/>
            <w:tcMar>
              <w:bottom w:w="120" w:type="dxa"/>
            </w:tcMar>
            <w:vAlign w:val="bottom"/>
          </w:tcPr>
          <w:p>
            <w:pPr>
              <w:pStyle w:val="TableContents"/>
              <w:spacing w:before="0" w:after="283"/>
              <w:rPr/>
            </w:pPr>
            <w:r>
              <w:rPr/>
              <w:t>8,530</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rPr/>
            </w:pPr>
            <w:r>
              <w:rPr/>
              <w:t> </w:t>
            </w:r>
          </w:p>
        </w:tc>
        <w:tc>
          <w:tcPr>
            <w:tcW w:w="80" w:type="dxa"/>
            <w:tcBorders>
              <w:bottom w:val="single" w:sz="2" w:space="0" w:color="AFAFAF"/>
            </w:tcBorders>
            <w:shd w:fill="auto" w:val="clear"/>
            <w:tcMar>
              <w:bottom w:w="28" w:type="dxa"/>
            </w:tcMar>
            <w:vAlign w:val="bottom"/>
          </w:tcPr>
          <w:p>
            <w:pPr>
              <w:pStyle w:val="TableContents"/>
              <w:spacing w:before="0" w:after="283"/>
              <w:rPr/>
            </w:pPr>
            <w:r>
              <w:rPr/>
              <w:t> </w:t>
            </w:r>
          </w:p>
        </w:tc>
        <w:tc>
          <w:tcPr>
            <w:tcW w:w="16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461"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651" w:type="dxa"/>
            <w:tcBorders>
              <w:bottom w:val="single" w:sz="8" w:space="0" w:color="B94831"/>
            </w:tcBorders>
            <w:shd w:fill="auto" w:val="clear"/>
            <w:tcMar>
              <w:bottom w:w="120" w:type="dxa"/>
            </w:tcMar>
            <w:vAlign w:val="bottom"/>
          </w:tcPr>
          <w:p>
            <w:pPr>
              <w:pStyle w:val="TableContents"/>
              <w:spacing w:before="0" w:after="283"/>
              <w:rPr/>
            </w:pPr>
            <w:r>
              <w:rPr/>
              <w:t>           </w:t>
            </w:r>
            <w:r>
              <w:rPr/>
              <w:t></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780" w:type="dxa"/>
            <w:tcBorders>
              <w:bottom w:val="single" w:sz="8" w:space="0" w:color="B94831"/>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      </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1" w:type="dxa"/>
            <w:tcBorders>
              <w:bottom w:val="single" w:sz="8" w:space="0" w:color="B94831"/>
            </w:tcBorders>
            <w:shd w:fill="auto" w:val="clear"/>
            <w:tcMar>
              <w:bottom w:w="120" w:type="dxa"/>
            </w:tcMar>
            <w:vAlign w:val="bottom"/>
          </w:tcPr>
          <w:p>
            <w:pPr>
              <w:pStyle w:val="TableContents"/>
              <w:spacing w:before="0" w:after="283"/>
              <w:rPr/>
            </w:pPr>
            <w:r>
              <w:rPr/>
              <w:t>$1,132,357</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698" w:type="dxa"/>
            <w:tcBorders>
              <w:bottom w:val="single" w:sz="8" w:space="0" w:color="B94831"/>
            </w:tcBorders>
            <w:shd w:fill="auto" w:val="clear"/>
            <w:tcMar>
              <w:bottom w:w="120" w:type="dxa"/>
            </w:tcMar>
            <w:vAlign w:val="bottom"/>
          </w:tcPr>
          <w:p>
            <w:pPr>
              <w:pStyle w:val="TableContents"/>
              <w:spacing w:before="0" w:after="0"/>
              <w:rPr/>
            </w:pPr>
            <w:r>
              <w:rPr/>
              <w:t>      </w:t>
            </w:r>
            <w:r>
              <w:rPr>
                <w:rFonts w:ascii="arial" w:hAnsi="arial"/>
                <w:sz w:val="16"/>
              </w:rPr>
              <w:t></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1019" w:type="dxa"/>
            <w:tcBorders>
              <w:bottom w:val="single" w:sz="8" w:space="0" w:color="B94831"/>
            </w:tcBorders>
            <w:shd w:fill="auto" w:val="clear"/>
            <w:tcMar>
              <w:bottom w:w="28" w:type="dxa"/>
            </w:tcMar>
            <w:vAlign w:val="bottom"/>
          </w:tcPr>
          <w:p>
            <w:pPr>
              <w:pStyle w:val="TableContents"/>
              <w:spacing w:before="0" w:after="283"/>
              <w:rPr/>
            </w:pPr>
            <w:r>
              <w:rPr/>
              <w:t> </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1" w:type="dxa"/>
            <w:tcBorders>
              <w:bottom w:val="single" w:sz="8" w:space="0" w:color="B94831"/>
            </w:tcBorders>
            <w:shd w:fill="auto" w:val="clear"/>
            <w:tcMar>
              <w:bottom w:w="120" w:type="dxa"/>
            </w:tcMar>
            <w:vAlign w:val="bottom"/>
          </w:tcPr>
          <w:p>
            <w:pPr>
              <w:pStyle w:val="TableContents"/>
              <w:spacing w:before="0" w:after="283"/>
              <w:rPr/>
            </w:pPr>
            <w:r>
              <w:rPr/>
              <w:t>$1,132,357</w:t>
            </w:r>
          </w:p>
        </w:tc>
        <w:tc>
          <w:tcPr>
            <w:tcW w:w="80" w:type="dxa"/>
            <w:tcBorders>
              <w:bottom w:val="single" w:sz="8" w:space="0" w:color="B94831"/>
            </w:tcBorders>
            <w:shd w:fill="auto" w:val="clear"/>
            <w:tcMar>
              <w:bottom w:w="28" w:type="dxa"/>
            </w:tcMar>
            <w:vAlign w:val="bottom"/>
          </w:tcPr>
          <w:p>
            <w:pPr>
              <w:pStyle w:val="TableContents"/>
              <w:spacing w:before="0" w:after="283"/>
              <w:rPr/>
            </w:pPr>
            <w:r>
              <w:rPr/>
              <w:t> </w:t>
            </w:r>
          </w:p>
        </w:tc>
        <w:tc>
          <w:tcPr>
            <w:tcW w:w="1694" w:type="dxa"/>
            <w:tcBorders>
              <w:bottom w:val="single" w:sz="8" w:space="0" w:color="B94831"/>
            </w:tcBorders>
            <w:shd w:fill="auto" w:val="clear"/>
            <w:tcMar>
              <w:bottom w:w="120" w:type="dxa"/>
            </w:tcMar>
            <w:vAlign w:val="bottom"/>
          </w:tcPr>
          <w:p>
            <w:pPr>
              <w:pStyle w:val="TableContents"/>
              <w:spacing w:before="0" w:after="283"/>
              <w:rPr>
                <w:i/>
              </w:rPr>
            </w:pPr>
            <w:r>
              <w:rPr>
                <w:i/>
              </w:rPr>
              <w:t>5.0x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34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44"/>
        <w:gridCol w:w="64"/>
        <w:gridCol w:w="64"/>
        <w:gridCol w:w="60"/>
        <w:gridCol w:w="2270"/>
        <w:gridCol w:w="122"/>
        <w:gridCol w:w="581"/>
        <w:gridCol w:w="64"/>
        <w:gridCol w:w="1100"/>
        <w:gridCol w:w="122"/>
        <w:gridCol w:w="617"/>
        <w:gridCol w:w="122"/>
        <w:gridCol w:w="1007"/>
        <w:gridCol w:w="122"/>
        <w:gridCol w:w="1107"/>
        <w:gridCol w:w="122"/>
        <w:gridCol w:w="1617"/>
      </w:tblGrid>
      <w:tr>
        <w:trPr/>
        <w:tc>
          <w:tcPr>
            <w:tcW w:w="104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r>
      <w:tr>
        <w:trPr/>
        <w:tc>
          <w:tcPr>
            <w:tcW w:w="1044"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8585" cy="10858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Barry Salzberg</w:t>
            </w:r>
          </w:p>
          <w:p>
            <w:pPr>
              <w:pStyle w:val="TableContents"/>
              <w:spacing w:before="0" w:after="0"/>
              <w:rPr/>
            </w:pPr>
            <w:r>
              <w:rPr/>
              <w:t> </w:t>
            </w:r>
          </w:p>
          <w:p>
            <w:pPr>
              <w:pStyle w:val="TableContents"/>
              <w:spacing w:before="0" w:after="0"/>
              <w:rPr>
                <w:rFonts w:ascii="arial" w:hAnsi="arial"/>
                <w:sz w:val="15"/>
              </w:rPr>
            </w:pPr>
            <w:r>
              <w:rPr>
                <w:rFonts w:ascii="arial" w:hAnsi="arial"/>
                <w:sz w:val="15"/>
              </w:rPr>
              <w:t>Age: 69</w:t>
            </w:r>
          </w:p>
          <w:p>
            <w:pPr>
              <w:pStyle w:val="TableContents"/>
              <w:spacing w:before="0" w:after="0"/>
              <w:rPr/>
            </w:pPr>
            <w:r>
              <w:rPr/>
              <w:t> </w:t>
            </w:r>
          </w:p>
          <w:p>
            <w:pPr>
              <w:pStyle w:val="TableContents"/>
              <w:spacing w:before="0" w:after="0"/>
              <w:rPr>
                <w:rFonts w:ascii="arial" w:hAnsi="arial"/>
                <w:sz w:val="15"/>
              </w:rPr>
            </w:pPr>
            <w:r>
              <w:rPr>
                <w:rFonts w:ascii="arial" w:hAnsi="arial"/>
                <w:sz w:val="15"/>
              </w:rPr>
              <w:t>New York, New York, United States</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2015</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accounting/audit, operations, international business</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99.36%</w:t>
            </w:r>
          </w:p>
        </w:tc>
        <w:tc>
          <w:tcPr>
            <w:tcW w:w="64" w:type="dxa"/>
            <w:tcBorders>
              <w:top w:val="single" w:sz="8" w:space="0" w:color="B94831"/>
            </w:tcBorders>
            <w:shd w:fill="auto" w:val="clear"/>
            <w:tcMar>
              <w:top w:w="28" w:type="dxa"/>
            </w:tcMar>
            <w:vAlign w:val="bottom"/>
          </w:tcPr>
          <w:p>
            <w:pPr>
              <w:pStyle w:val="TableContents"/>
              <w:spacing w:before="0" w:after="283"/>
              <w:rPr/>
            </w:pPr>
            <w:r>
              <w:rPr/>
              <w:t> </w:t>
            </w:r>
          </w:p>
        </w:tc>
        <w:tc>
          <w:tcPr>
            <w:tcW w:w="64"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973" w:type="dxa"/>
            <w:gridSpan w:val="13"/>
            <w:tcBorders>
              <w:top w:val="single" w:sz="8" w:space="0" w:color="B94831"/>
            </w:tcBorders>
            <w:shd w:fill="auto" w:val="clear"/>
            <w:tcMar>
              <w:top w:w="28" w:type="dxa"/>
            </w:tcMar>
          </w:tcPr>
          <w:p>
            <w:pPr>
              <w:pStyle w:val="TableContents"/>
              <w:spacing w:before="0" w:after="0"/>
              <w:rPr>
                <w:rFonts w:ascii="Arial" w:hAnsi="Arial"/>
                <w:b/>
                <w:sz w:val="20"/>
              </w:rPr>
            </w:pPr>
            <w:r>
              <w:rPr>
                <w:rFonts w:ascii="Arial" w:hAnsi="Arial"/>
                <w:b/>
                <w:sz w:val="20"/>
              </w:rPr>
              <w:t>Barry Salzberg</w:t>
            </w:r>
          </w:p>
          <w:p>
            <w:pPr>
              <w:pStyle w:val="TableContents"/>
              <w:spacing w:before="0" w:after="0"/>
              <w:rPr/>
            </w:pPr>
            <w:r>
              <w:rPr/>
              <w:t> </w:t>
            </w:r>
          </w:p>
          <w:p>
            <w:pPr>
              <w:pStyle w:val="TableContents"/>
              <w:spacing w:before="0" w:after="0"/>
              <w:rPr>
                <w:rFonts w:ascii="arial" w:hAnsi="arial"/>
                <w:sz w:val="16"/>
              </w:rPr>
            </w:pPr>
            <w:r>
              <w:rPr>
                <w:rFonts w:ascii="arial" w:hAnsi="arial"/>
                <w:sz w:val="16"/>
              </w:rPr>
              <w:t>Barry Salzberg is a corporate director. Barry served as the Global Chief Executive Officer of Deloitte Touche Tohmatsu Limited from 2011 until his retirement in 2015. He joined Deloitte in 1977 and his roles included Chief Executive Officer and Managing Partner of the firms U.S. operations. Barry is Chairman of the board of directors of 10EQS and has previously served as a board member of New Profit, Inc. and previously served as Chairman of the United Way Worldwide, Chairman of the board of College Summit and Chairman of the board of the YMCA of Greater New York. From July 2015 until June 2018, he was a Professor at Columbia Business School. Barry has a BS in Accounting from Brooklyn College, a JD from Brooklyn Law School, and an LLM in Taxation from the New York University School of Law.</w:t>
            </w:r>
          </w:p>
          <w:p>
            <w:pPr>
              <w:pStyle w:val="TableContents"/>
              <w:spacing w:before="0" w:after="20"/>
              <w:rPr/>
            </w:pPr>
            <w:r>
              <w:rPr/>
              <w:t> </w:t>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7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74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4714"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70" w:type="dxa"/>
            <w:tcBorders/>
            <w:shd w:fill="auto" w:val="clear"/>
            <w:vAlign w:val="bottom"/>
          </w:tcPr>
          <w:p>
            <w:pPr>
              <w:pStyle w:val="TableContents"/>
              <w:spacing w:before="0" w:after="283"/>
              <w:rPr/>
            </w:pPr>
            <w:r>
              <w:rPr/>
              <w:t>Board</w:t>
            </w:r>
          </w:p>
        </w:tc>
        <w:tc>
          <w:tcPr>
            <w:tcW w:w="122"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7 of 7</w:t>
            </w:r>
          </w:p>
        </w:tc>
        <w:tc>
          <w:tcPr>
            <w:tcW w:w="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2" w:type="dxa"/>
            <w:tcBorders/>
            <w:shd w:fill="auto" w:val="clear"/>
            <w:vAlign w:val="bottom"/>
          </w:tcPr>
          <w:p>
            <w:pPr>
              <w:pStyle w:val="TableContents"/>
              <w:spacing w:before="0" w:after="283"/>
              <w:rPr/>
            </w:pPr>
            <w:r>
              <w:rPr/>
              <w:t>  </w:t>
            </w:r>
          </w:p>
        </w:tc>
        <w:tc>
          <w:tcPr>
            <w:tcW w:w="2975" w:type="dxa"/>
            <w:gridSpan w:val="5"/>
            <w:tcBorders/>
            <w:shd w:fill="auto" w:val="clear"/>
            <w:vAlign w:val="bottom"/>
          </w:tcPr>
          <w:p>
            <w:pPr>
              <w:pStyle w:val="TableContents"/>
              <w:spacing w:before="0" w:after="283"/>
              <w:jc w:val="center"/>
              <w:rPr/>
            </w:pPr>
            <w:r>
              <w:rPr/>
              <w:t></w:t>
            </w:r>
          </w:p>
        </w:tc>
        <w:tc>
          <w:tcPr>
            <w:tcW w:w="12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70" w:type="dxa"/>
            <w:tcBorders/>
            <w:shd w:fill="auto" w:val="clear"/>
            <w:vAlign w:val="bottom"/>
          </w:tcPr>
          <w:p>
            <w:pPr>
              <w:pStyle w:val="TableContents"/>
              <w:spacing w:before="0" w:after="283"/>
              <w:rPr/>
            </w:pPr>
            <w:r>
              <w:rPr/>
              <w:t>Audit</w:t>
            </w:r>
          </w:p>
        </w:tc>
        <w:tc>
          <w:tcPr>
            <w:tcW w:w="122"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8 of 8</w:t>
            </w:r>
          </w:p>
        </w:tc>
        <w:tc>
          <w:tcPr>
            <w:tcW w:w="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2" w:type="dxa"/>
            <w:tcBorders/>
            <w:shd w:fill="auto" w:val="clear"/>
            <w:vAlign w:val="bottom"/>
          </w:tcPr>
          <w:p>
            <w:pPr>
              <w:pStyle w:val="TableContents"/>
              <w:spacing w:before="0" w:after="283"/>
              <w:rPr/>
            </w:pPr>
            <w:r>
              <w:rPr/>
              <w:t>  </w:t>
            </w:r>
          </w:p>
        </w:tc>
        <w:tc>
          <w:tcPr>
            <w:tcW w:w="2975" w:type="dxa"/>
            <w:gridSpan w:val="5"/>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70" w:type="dxa"/>
            <w:tcBorders/>
            <w:shd w:fill="auto" w:val="clear"/>
            <w:vAlign w:val="bottom"/>
          </w:tcPr>
          <w:p>
            <w:pPr>
              <w:pStyle w:val="TableContents"/>
              <w:spacing w:before="0" w:after="283"/>
              <w:rPr/>
            </w:pPr>
            <w:r>
              <w:rPr/>
              <w:t>Corporate Governance</w:t>
            </w:r>
          </w:p>
        </w:tc>
        <w:tc>
          <w:tcPr>
            <w:tcW w:w="122"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6 of 6</w:t>
            </w:r>
          </w:p>
        </w:tc>
        <w:tc>
          <w:tcPr>
            <w:tcW w:w="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70" w:type="dxa"/>
            <w:tcBorders/>
            <w:shd w:fill="auto" w:val="clear"/>
            <w:vAlign w:val="bottom"/>
          </w:tcPr>
          <w:p>
            <w:pPr>
              <w:pStyle w:val="TableContents"/>
              <w:spacing w:before="0" w:after="283"/>
              <w:rPr/>
            </w:pPr>
            <w:r>
              <w:rPr/>
              <w:t>Risk</w:t>
            </w:r>
          </w:p>
        </w:tc>
        <w:tc>
          <w:tcPr>
            <w:tcW w:w="122"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4 of 4</w:t>
            </w:r>
          </w:p>
        </w:tc>
        <w:tc>
          <w:tcPr>
            <w:tcW w:w="64"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rPr>
                <w:sz w:val="4"/>
                <w:szCs w:val="4"/>
              </w:rPr>
            </w:pPr>
            <w:r>
              <w:rPr>
                <w:sz w:val="4"/>
                <w:szCs w:val="4"/>
              </w:rPr>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0"/>
              <w:rPr/>
            </w:pPr>
            <w:r>
              <w:rPr/>
              <w:t> </w:t>
            </w:r>
          </w:p>
        </w:tc>
        <w:tc>
          <w:tcPr>
            <w:tcW w:w="60"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2270" w:type="dxa"/>
            <w:tcBorders>
              <w:top w:val="single" w:sz="2" w:space="0" w:color="AFAFAF"/>
              <w:bottom w:val="single" w:sz="2" w:space="0" w:color="AFAFAF"/>
            </w:tcBorders>
            <w:shd w:fill="auto" w:val="clear"/>
            <w:tcMar>
              <w:top w:w="28" w:type="dxa"/>
              <w:bottom w:w="60" w:type="dxa"/>
            </w:tcMar>
            <w:vAlign w:val="bottom"/>
          </w:tcPr>
          <w:p>
            <w:pPr>
              <w:pStyle w:val="TableContents"/>
              <w:spacing w:before="0" w:after="283"/>
              <w:rPr>
                <w:rFonts w:ascii="Arial" w:hAnsi="Arial"/>
                <w:b/>
              </w:rPr>
            </w:pPr>
            <w:r>
              <w:rPr>
                <w:rFonts w:ascii="Arial" w:hAnsi="Arial"/>
                <w:b/>
              </w:rPr>
              <w:t>Total</w:t>
            </w:r>
          </w:p>
        </w:tc>
        <w:tc>
          <w:tcPr>
            <w:tcW w:w="1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581" w:type="dxa"/>
            <w:tcBorders>
              <w:top w:val="single" w:sz="2" w:space="0" w:color="AFAFAF"/>
              <w:bottom w:val="single" w:sz="2" w:space="0" w:color="AFAFAF"/>
            </w:tcBorders>
            <w:shd w:fill="auto" w:val="clear"/>
            <w:tcMar>
              <w:top w:w="28" w:type="dxa"/>
              <w:bottom w:w="60" w:type="dxa"/>
            </w:tcMar>
            <w:vAlign w:val="bottom"/>
          </w:tcPr>
          <w:p>
            <w:pPr>
              <w:pStyle w:val="TableContents"/>
              <w:spacing w:before="0" w:after="283"/>
              <w:rPr>
                <w:rFonts w:ascii="Arial" w:hAnsi="Arial"/>
                <w:b/>
              </w:rPr>
            </w:pPr>
            <w:r>
              <w:rPr>
                <w:rFonts w:ascii="Arial" w:hAnsi="Arial"/>
                <w:b/>
              </w:rPr>
              <w:t>25 of 25</w:t>
            </w:r>
          </w:p>
        </w:tc>
        <w:tc>
          <w:tcPr>
            <w:tcW w:w="64"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0" w:type="dxa"/>
            <w:tcBorders>
              <w:top w:val="single" w:sz="2" w:space="0" w:color="AFAFAF"/>
              <w:bottom w:val="single" w:sz="2" w:space="0" w:color="AFAFAF"/>
            </w:tcBorders>
            <w:shd w:fill="auto" w:val="clear"/>
            <w:tcMar>
              <w:top w:w="28" w:type="dxa"/>
              <w:bottom w:w="60" w:type="dxa"/>
            </w:tcMar>
            <w:vAlign w:val="bottom"/>
          </w:tcPr>
          <w:p>
            <w:pPr>
              <w:pStyle w:val="TableContents"/>
              <w:spacing w:before="0" w:after="283"/>
              <w:rPr>
                <w:rFonts w:ascii="Arial" w:hAnsi="Arial"/>
                <w:b/>
              </w:rPr>
            </w:pPr>
            <w:r>
              <w:rPr>
                <w:rFonts w:ascii="Arial" w:hAnsi="Arial"/>
                <w:b/>
              </w:rPr>
              <w:t>100%</w:t>
            </w:r>
          </w:p>
        </w:tc>
        <w:tc>
          <w:tcPr>
            <w:tcW w:w="1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617" w:type="dxa"/>
            <w:tcBorders>
              <w:top w:val="single" w:sz="2" w:space="0" w:color="AFAFAF"/>
              <w:bottom w:val="single" w:sz="2" w:space="0" w:color="AFAFAF"/>
            </w:tcBorders>
            <w:shd w:fill="auto" w:val="clear"/>
            <w:tcMar>
              <w:top w:w="28" w:type="dxa"/>
              <w:bottom w:w="28" w:type="dxa"/>
            </w:tcMar>
            <w:vAlign w:val="bottom"/>
          </w:tcPr>
          <w:p>
            <w:pPr>
              <w:pStyle w:val="TableContents"/>
              <w:rPr/>
            </w:pPr>
            <w:r>
              <w:rPr/>
              <w:t xml:space="preserve">  </w:t>
            </w:r>
          </w:p>
          <w:p>
            <w:pPr>
              <w:pStyle w:val="TableContents"/>
              <w:spacing w:before="0" w:after="0"/>
              <w:rPr/>
            </w:pPr>
            <w:r>
              <w:rPr/>
              <w:t> </w:t>
            </w:r>
          </w:p>
        </w:tc>
        <w:tc>
          <w:tcPr>
            <w:tcW w:w="1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007" w:type="dxa"/>
            <w:tcBorders>
              <w:top w:val="single" w:sz="2" w:space="0" w:color="AFAFAF"/>
              <w:bottom w:val="single" w:sz="2" w:space="0" w:color="AFAFAF"/>
            </w:tcBorders>
            <w:shd w:fill="auto" w:val="clear"/>
            <w:tcMar>
              <w:top w:w="28" w:type="dxa"/>
              <w:bottom w:w="28" w:type="dxa"/>
            </w:tcMar>
            <w:vAlign w:val="bottom"/>
          </w:tcPr>
          <w:p>
            <w:pPr>
              <w:pStyle w:val="TableContents"/>
              <w:rPr/>
            </w:pPr>
            <w:r>
              <w:rPr/>
              <w:t xml:space="preserve">  </w:t>
            </w:r>
          </w:p>
          <w:p>
            <w:pPr>
              <w:pStyle w:val="TableContents"/>
              <w:spacing w:before="0" w:after="0"/>
              <w:rPr/>
            </w:pPr>
            <w:r>
              <w:rPr/>
              <w:t> </w:t>
            </w:r>
          </w:p>
        </w:tc>
        <w:tc>
          <w:tcPr>
            <w:tcW w:w="1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107" w:type="dxa"/>
            <w:tcBorders>
              <w:top w:val="single" w:sz="2" w:space="0" w:color="AFAFAF"/>
              <w:bottom w:val="single" w:sz="2" w:space="0" w:color="AFAFAF"/>
            </w:tcBorders>
            <w:shd w:fill="auto" w:val="clear"/>
            <w:tcMar>
              <w:top w:w="28" w:type="dxa"/>
              <w:bottom w:w="28" w:type="dxa"/>
            </w:tcMar>
            <w:vAlign w:val="bottom"/>
          </w:tcPr>
          <w:p>
            <w:pPr>
              <w:pStyle w:val="TableContents"/>
              <w:rPr/>
            </w:pPr>
            <w:r>
              <w:rPr/>
              <w:t xml:space="preserve">  </w:t>
            </w:r>
          </w:p>
          <w:p>
            <w:pPr>
              <w:pStyle w:val="TableContents"/>
              <w:spacing w:before="0" w:after="0"/>
              <w:rPr/>
            </w:pPr>
            <w:r>
              <w:rPr/>
              <w:t> </w:t>
            </w:r>
          </w:p>
        </w:tc>
        <w:tc>
          <w:tcPr>
            <w:tcW w:w="122" w:type="dxa"/>
            <w:tcBorders>
              <w:top w:val="single" w:sz="2" w:space="0" w:color="AFAFAF"/>
              <w:bottom w:val="single" w:sz="2" w:space="0" w:color="AFAFAF"/>
            </w:tcBorders>
            <w:shd w:fill="auto" w:val="clear"/>
            <w:tcMar>
              <w:top w:w="28" w:type="dxa"/>
              <w:bottom w:w="28" w:type="dxa"/>
            </w:tcMar>
            <w:vAlign w:val="bottom"/>
          </w:tcPr>
          <w:p>
            <w:pPr>
              <w:pStyle w:val="TableContents"/>
              <w:spacing w:before="0" w:after="283"/>
              <w:rPr/>
            </w:pPr>
            <w:r>
              <w:rPr/>
              <w:t>  </w:t>
            </w:r>
          </w:p>
        </w:tc>
        <w:tc>
          <w:tcPr>
            <w:tcW w:w="1617" w:type="dxa"/>
            <w:tcBorders>
              <w:top w:val="single" w:sz="2" w:space="0" w:color="AFAFAF"/>
              <w:bottom w:val="single" w:sz="2" w:space="0" w:color="AFAFAF"/>
            </w:tcBorders>
            <w:shd w:fill="auto" w:val="clear"/>
            <w:tcMar>
              <w:top w:w="28" w:type="dxa"/>
              <w:bottom w:w="28" w:type="dxa"/>
            </w:tcMar>
            <w:vAlign w:val="bottom"/>
          </w:tcPr>
          <w:p>
            <w:pPr>
              <w:pStyle w:val="TableContents"/>
              <w:rPr/>
            </w:pPr>
            <w:r>
              <w:rPr/>
              <w:t xml:space="preserve">  </w:t>
            </w:r>
          </w:p>
          <w:p>
            <w:pPr>
              <w:pStyle w:val="TableContents"/>
              <w:spacing w:before="0" w:after="0"/>
              <w:rPr/>
            </w:pPr>
            <w:r>
              <w:rPr/>
              <w:t> </w:t>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7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581" w:type="dxa"/>
            <w:tcBorders>
              <w:bottom w:val="single" w:sz="2" w:space="0" w:color="AFAFAF"/>
            </w:tcBorders>
            <w:shd w:fill="auto" w:val="clear"/>
            <w:tcMar>
              <w:bottom w:w="28" w:type="dxa"/>
            </w:tcMar>
            <w:vAlign w:val="bottom"/>
          </w:tcPr>
          <w:p>
            <w:pPr>
              <w:pStyle w:val="TableContents"/>
              <w:spacing w:before="0" w:after="283"/>
              <w:rPr/>
            </w:pPr>
            <w:r>
              <w:rPr/>
              <w:t>  </w:t>
            </w:r>
          </w:p>
        </w:tc>
        <w:tc>
          <w:tcPr>
            <w:tcW w:w="64"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617" w:type="dxa"/>
            <w:tcBorders>
              <w:bottom w:val="single" w:sz="2" w:space="0" w:color="AFAFAF"/>
            </w:tcBorders>
            <w:shd w:fill="auto" w:val="clear"/>
            <w:tcMar>
              <w:bottom w:w="28" w:type="dxa"/>
            </w:tcMar>
            <w:vAlign w:val="bottom"/>
          </w:tcPr>
          <w:p>
            <w:pPr>
              <w:pStyle w:val="TableContents"/>
              <w:spacing w:before="0" w:after="283"/>
              <w:rPr/>
            </w:pPr>
            <w:r>
              <w:rPr/>
              <w:t>  </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007"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107"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617"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7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pPr>
            <w:r>
              <w:rPr/>
              <w:t>           </w:t>
            </w:r>
            <w:r>
              <w:rPr>
                <w:rFonts w:ascii="arial" w:hAnsi="arial"/>
                <w:sz w:val="16"/>
              </w:rPr>
              <w:t></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581"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4"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26,828</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617"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rPr/>
            </w:pPr>
            <w:r>
              <w:rPr/>
              <w:t>      </w:t>
            </w:r>
            <w:r>
              <w:rPr>
                <w:rFonts w:ascii="arial" w:hAnsi="arial"/>
                <w:sz w:val="16"/>
              </w:rPr>
              <w:t></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007" w:type="dxa"/>
            <w:tcBorders>
              <w:bottom w:val="single" w:sz="2" w:space="0" w:color="AFAFAF"/>
            </w:tcBorders>
            <w:shd w:fill="auto" w:val="clear"/>
            <w:tcMar>
              <w:bottom w:w="120" w:type="dxa"/>
            </w:tcMar>
            <w:vAlign w:val="bottom"/>
          </w:tcPr>
          <w:p>
            <w:pPr>
              <w:pStyle w:val="TableContents"/>
              <w:spacing w:before="0" w:after="283"/>
              <w:rPr/>
            </w:pPr>
            <w:r>
              <w:rPr/>
              <w:t>26,828</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107" w:type="dxa"/>
            <w:tcBorders>
              <w:bottom w:val="single" w:sz="2" w:space="0" w:color="AFAFAF"/>
            </w:tcBorders>
            <w:shd w:fill="auto" w:val="clear"/>
            <w:tcMar>
              <w:bottom w:w="28" w:type="dxa"/>
            </w:tcMar>
            <w:vAlign w:val="bottom"/>
          </w:tcPr>
          <w:p>
            <w:pPr>
              <w:pStyle w:val="TableContents"/>
              <w:spacing w:before="0" w:after="283"/>
              <w:rPr/>
            </w:pPr>
            <w:r>
              <w:rPr/>
              <w:t> </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161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4"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4" w:type="dxa"/>
            <w:tcBorders>
              <w:bottom w:val="single" w:sz="8" w:space="0" w:color="B94831"/>
            </w:tcBorders>
            <w:shd w:fill="auto" w:val="clear"/>
            <w:tcMar>
              <w:bottom w:w="28" w:type="dxa"/>
            </w:tcMar>
            <w:vAlign w:val="bottom"/>
          </w:tcPr>
          <w:p>
            <w:pPr>
              <w:pStyle w:val="TableContents"/>
              <w:spacing w:before="0" w:after="283"/>
              <w:rPr/>
            </w:pPr>
            <w:r>
              <w:rPr/>
              <w:t> </w:t>
            </w:r>
          </w:p>
        </w:tc>
        <w:tc>
          <w:tcPr>
            <w:tcW w:w="6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270" w:type="dxa"/>
            <w:tcBorders>
              <w:bottom w:val="single" w:sz="8" w:space="0" w:color="B94831"/>
            </w:tcBorders>
            <w:shd w:fill="auto" w:val="clear"/>
            <w:tcMar>
              <w:bottom w:w="120" w:type="dxa"/>
            </w:tcMar>
            <w:vAlign w:val="bottom"/>
          </w:tcPr>
          <w:p>
            <w:pPr>
              <w:pStyle w:val="TableContents"/>
              <w:spacing w:before="0" w:after="283"/>
              <w:rPr/>
            </w:pPr>
            <w:r>
              <w:rPr/>
              <w:t>           </w:t>
            </w:r>
            <w:r>
              <w:rPr/>
              <w:t></w:t>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581" w:type="dxa"/>
            <w:tcBorders>
              <w:bottom w:val="single" w:sz="8" w:space="0" w:color="B94831"/>
            </w:tcBorders>
            <w:shd w:fill="auto" w:val="clear"/>
            <w:tcMar>
              <w:bottom w:w="120" w:type="dxa"/>
            </w:tcMar>
            <w:vAlign w:val="bottom"/>
          </w:tcPr>
          <w:p>
            <w:pPr>
              <w:pStyle w:val="TableContents"/>
              <w:spacing w:before="0" w:after="283"/>
              <w:jc w:val="center"/>
              <w:rPr/>
            </w:pPr>
            <w:r>
              <w:rPr/>
              <w:t>      </w:t>
            </w:r>
          </w:p>
        </w:tc>
        <w:tc>
          <w:tcPr>
            <w:tcW w:w="64" w:type="dxa"/>
            <w:tcBorders>
              <w:bottom w:val="single" w:sz="8" w:space="0" w:color="B94831"/>
            </w:tcBorders>
            <w:shd w:fill="auto" w:val="clear"/>
            <w:tcMar>
              <w:bottom w:w="28" w:type="dxa"/>
            </w:tcMar>
            <w:vAlign w:val="bottom"/>
          </w:tcPr>
          <w:p>
            <w:pPr>
              <w:pStyle w:val="TableContents"/>
              <w:spacing w:before="0" w:after="283"/>
              <w:rPr/>
            </w:pPr>
            <w:r>
              <w:rPr/>
              <w:t> </w:t>
            </w:r>
          </w:p>
        </w:tc>
        <w:tc>
          <w:tcPr>
            <w:tcW w:w="1100" w:type="dxa"/>
            <w:tcBorders>
              <w:bottom w:val="single" w:sz="8" w:space="0" w:color="B94831"/>
            </w:tcBorders>
            <w:shd w:fill="auto" w:val="clear"/>
            <w:tcMar>
              <w:bottom w:w="120" w:type="dxa"/>
            </w:tcMar>
            <w:vAlign w:val="bottom"/>
          </w:tcPr>
          <w:p>
            <w:pPr>
              <w:pStyle w:val="TableContents"/>
              <w:spacing w:before="0" w:after="283"/>
              <w:rPr/>
            </w:pPr>
            <w:r>
              <w:rPr/>
              <w:t>$3,561,417</w:t>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617" w:type="dxa"/>
            <w:tcBorders>
              <w:bottom w:val="single" w:sz="8" w:space="0" w:color="B94831"/>
            </w:tcBorders>
            <w:shd w:fill="auto" w:val="clear"/>
            <w:tcMar>
              <w:bottom w:w="120" w:type="dxa"/>
            </w:tcMar>
            <w:vAlign w:val="bottom"/>
          </w:tcPr>
          <w:p>
            <w:pPr>
              <w:pStyle w:val="TableContents"/>
              <w:spacing w:before="0" w:after="0"/>
              <w:rPr/>
            </w:pPr>
            <w:r>
              <w:rPr/>
              <w:t>      </w:t>
            </w:r>
            <w:r>
              <w:rPr>
                <w:rFonts w:ascii="arial" w:hAnsi="arial"/>
                <w:sz w:val="16"/>
              </w:rPr>
              <w:t></w:t>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1007" w:type="dxa"/>
            <w:tcBorders>
              <w:bottom w:val="single" w:sz="8" w:space="0" w:color="B94831"/>
            </w:tcBorders>
            <w:shd w:fill="auto" w:val="clear"/>
            <w:tcMar>
              <w:bottom w:w="28" w:type="dxa"/>
            </w:tcMar>
            <w:vAlign w:val="bottom"/>
          </w:tcPr>
          <w:p>
            <w:pPr>
              <w:pStyle w:val="TableContents"/>
              <w:spacing w:before="0" w:after="283"/>
              <w:rPr/>
            </w:pPr>
            <w:r>
              <w:rPr/>
              <w:t> </w:t>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1107" w:type="dxa"/>
            <w:tcBorders>
              <w:bottom w:val="single" w:sz="8" w:space="0" w:color="B94831"/>
            </w:tcBorders>
            <w:shd w:fill="auto" w:val="clear"/>
            <w:tcMar>
              <w:bottom w:w="120" w:type="dxa"/>
            </w:tcMar>
            <w:vAlign w:val="bottom"/>
          </w:tcPr>
          <w:p>
            <w:pPr>
              <w:pStyle w:val="TableContents"/>
              <w:spacing w:before="0" w:after="283"/>
              <w:rPr/>
            </w:pPr>
            <w:r>
              <w:rPr/>
              <w:t>$3,561,417</w:t>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1617" w:type="dxa"/>
            <w:tcBorders>
              <w:bottom w:val="single" w:sz="8" w:space="0" w:color="B94831"/>
            </w:tcBorders>
            <w:shd w:fill="auto" w:val="clear"/>
            <w:tcMar>
              <w:bottom w:w="120" w:type="dxa"/>
            </w:tcMar>
            <w:vAlign w:val="bottom"/>
          </w:tcPr>
          <w:p>
            <w:pPr>
              <w:pStyle w:val="TableContents"/>
              <w:spacing w:before="0" w:after="283"/>
              <w:rPr>
                <w:i/>
              </w:rPr>
            </w:pPr>
            <w:r>
              <w:rPr>
                <w:i/>
              </w:rPr>
              <w:t>15.8x</w:t>
            </w:r>
          </w:p>
        </w:tc>
      </w:tr>
    </w:tbl>
    <w:p>
      <w:pPr>
        <w:pStyle w:val="TextBody"/>
        <w:spacing w:before="0" w:after="0"/>
        <w:jc w:val="left"/>
        <w:rPr/>
      </w:pPr>
      <w:r>
        <w:rPr/>
        <w:t> </w:t>
      </w:r>
    </w:p>
    <w:tbl>
      <w:tblPr>
        <w:tblW w:w="10630" w:type="dxa"/>
        <w:jc w:val="center"/>
        <w:tblInd w:w="0" w:type="dxa"/>
        <w:tblCellMar>
          <w:top w:w="0" w:type="dxa"/>
          <w:left w:w="0" w:type="dxa"/>
          <w:bottom w:w="0" w:type="dxa"/>
          <w:right w:w="0" w:type="dxa"/>
        </w:tblCellMar>
      </w:tblPr>
      <w:tblGrid>
        <w:gridCol w:w="1235"/>
        <w:gridCol w:w="60"/>
        <w:gridCol w:w="60"/>
        <w:gridCol w:w="60"/>
        <w:gridCol w:w="2225"/>
        <w:gridCol w:w="120"/>
        <w:gridCol w:w="905"/>
        <w:gridCol w:w="120"/>
        <w:gridCol w:w="1100"/>
        <w:gridCol w:w="120"/>
        <w:gridCol w:w="590"/>
        <w:gridCol w:w="120"/>
        <w:gridCol w:w="995"/>
        <w:gridCol w:w="120"/>
        <w:gridCol w:w="1100"/>
        <w:gridCol w:w="120"/>
        <w:gridCol w:w="1580"/>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r>
      <w:tr>
        <w:trPr/>
        <w:tc>
          <w:tcPr>
            <w:tcW w:w="1235"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8585" cy="10858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Peter J. Thomson1</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57</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1995</w:t>
            </w:r>
          </w:p>
          <w:p>
            <w:pPr>
              <w:pStyle w:val="TableContents"/>
              <w:spacing w:before="0" w:after="0"/>
              <w:rPr/>
            </w:pPr>
            <w:r>
              <w:rPr/>
              <w:t> </w:t>
            </w:r>
          </w:p>
          <w:p>
            <w:pPr>
              <w:pStyle w:val="TableContents"/>
              <w:spacing w:before="0" w:after="0"/>
              <w:rPr>
                <w:rFonts w:ascii="arial" w:hAnsi="arial"/>
                <w:sz w:val="15"/>
              </w:rPr>
            </w:pPr>
            <w:r>
              <w:rPr>
                <w:rFonts w:ascii="arial" w:hAnsi="arial"/>
                <w:sz w:val="15"/>
              </w:rPr>
              <w:t>Non-independent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international business, investment management, technology</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95.39%</w:t>
            </w:r>
          </w:p>
        </w:tc>
        <w:tc>
          <w:tcPr>
            <w:tcW w:w="60" w:type="dxa"/>
            <w:vMerge w:val="restart"/>
            <w:tcBorders>
              <w:top w:val="single" w:sz="8" w:space="0" w:color="B94831"/>
            </w:tcBorders>
            <w:shd w:fill="auto" w:val="clear"/>
            <w:tcMar>
              <w:top w:w="28" w:type="dxa"/>
            </w:tcMar>
            <w:vAlign w:val="bottom"/>
          </w:tcPr>
          <w:p>
            <w:pPr>
              <w:pStyle w:val="TableContents"/>
              <w:spacing w:before="0" w:after="283"/>
              <w:rPr/>
            </w:pPr>
            <w:r>
              <w:rPr/>
              <w:t> </w:t>
            </w:r>
          </w:p>
        </w:tc>
        <w:tc>
          <w:tcPr>
            <w:tcW w:w="60" w:type="dxa"/>
            <w:vMerge w:val="restart"/>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9215" w:type="dxa"/>
            <w:gridSpan w:val="13"/>
            <w:tcBorders>
              <w:top w:val="single" w:sz="8" w:space="0" w:color="B94831"/>
            </w:tcBorders>
            <w:shd w:fill="auto" w:val="clear"/>
            <w:tcMar>
              <w:top w:w="28" w:type="dxa"/>
            </w:tcMar>
            <w:vAlign w:val="bottom"/>
          </w:tcPr>
          <w:p>
            <w:pPr>
              <w:pStyle w:val="TableContents"/>
              <w:spacing w:before="0" w:after="0"/>
              <w:rPr>
                <w:rFonts w:ascii="Arial" w:hAnsi="Arial"/>
                <w:b/>
                <w:sz w:val="20"/>
              </w:rPr>
            </w:pPr>
            <w:r>
              <w:rPr>
                <w:rFonts w:ascii="Arial" w:hAnsi="Arial"/>
                <w:b/>
                <w:sz w:val="20"/>
              </w:rPr>
              <w:t>Peter J. Thomson</w:t>
            </w:r>
          </w:p>
          <w:p>
            <w:pPr>
              <w:pStyle w:val="TableContents"/>
              <w:spacing w:before="0" w:after="0"/>
              <w:rPr/>
            </w:pPr>
            <w:r>
              <w:rPr/>
              <w:t> </w:t>
            </w:r>
          </w:p>
          <w:p>
            <w:pPr>
              <w:pStyle w:val="TableContents"/>
              <w:spacing w:before="0" w:after="0"/>
              <w:rPr>
                <w:rFonts w:ascii="arial" w:hAnsi="arial"/>
                <w:sz w:val="16"/>
              </w:rPr>
            </w:pPr>
            <w:r>
              <w:rPr>
                <w:rFonts w:ascii="arial" w:hAnsi="arial"/>
                <w:sz w:val="16"/>
              </w:rPr>
              <w:t>Peter J. Thomson is a Chairman of Woodbridge, the Thomson family investment company. Peter is an active private equity investor and serves on the boards of several private companies. Peter has a BA from the University of Western Ontario.</w:t>
            </w:r>
          </w:p>
          <w:p>
            <w:pPr>
              <w:pStyle w:val="TableContents"/>
              <w:spacing w:before="0" w:after="20"/>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125"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4625"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2225" w:type="dxa"/>
            <w:tcBorders/>
            <w:shd w:fill="auto" w:val="clear"/>
            <w:vAlign w:val="bottom"/>
          </w:tcPr>
          <w:p>
            <w:pPr>
              <w:pStyle w:val="TableContents"/>
              <w:spacing w:before="0" w:after="283"/>
              <w:rPr/>
            </w:pPr>
            <w:r>
              <w:rPr/>
              <w:t>Board</w:t>
            </w:r>
          </w:p>
        </w:tc>
        <w:tc>
          <w:tcPr>
            <w:tcW w:w="120"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rPr/>
            </w:pPr>
            <w:r>
              <w:rPr/>
              <w:t>7 of 7</w:t>
            </w:r>
          </w:p>
        </w:tc>
        <w:tc>
          <w:tcPr>
            <w:tcW w:w="12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100%</w:t>
            </w:r>
          </w:p>
        </w:tc>
        <w:tc>
          <w:tcPr>
            <w:tcW w:w="120" w:type="dxa"/>
            <w:tcBorders/>
            <w:shd w:fill="auto" w:val="clear"/>
            <w:vAlign w:val="bottom"/>
          </w:tcPr>
          <w:p>
            <w:pPr>
              <w:pStyle w:val="TableContents"/>
              <w:spacing w:before="0" w:after="283"/>
              <w:rPr/>
            </w:pPr>
            <w:r>
              <w:rPr/>
              <w:t>  </w:t>
            </w:r>
          </w:p>
        </w:tc>
        <w:tc>
          <w:tcPr>
            <w:tcW w:w="2925" w:type="dxa"/>
            <w:gridSpan w:val="5"/>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580" w:type="dxa"/>
            <w:tcBorders/>
            <w:shd w:fill="auto" w:val="clear"/>
            <w:vAlign w:val="bottom"/>
          </w:tcPr>
          <w:p>
            <w:pPr>
              <w:pStyle w:val="TableContents"/>
              <w:spacing w:before="0" w:after="283"/>
              <w:rPr>
                <w:sz w:val="4"/>
                <w:szCs w:val="4"/>
              </w:rPr>
            </w:pPr>
            <w:r>
              <w:rPr>
                <w:sz w:val="4"/>
                <w:szCs w:val="4"/>
              </w:rPr>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80" w:type="dxa"/>
            </w:tcMar>
            <w:vAlign w:val="bottom"/>
          </w:tcPr>
          <w:p>
            <w:pPr>
              <w:pStyle w:val="TableContents"/>
              <w:spacing w:before="0" w:after="283"/>
              <w:rPr/>
            </w:pPr>
            <w:r>
              <w:rPr/>
              <w:t>HR</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5" w:type="dxa"/>
            <w:tcBorders>
              <w:bottom w:val="single" w:sz="2" w:space="0" w:color="AFAFAF"/>
            </w:tcBorders>
            <w:shd w:fill="auto" w:val="clear"/>
            <w:tcMar>
              <w:bottom w:w="80" w:type="dxa"/>
            </w:tcMar>
            <w:vAlign w:val="bottom"/>
          </w:tcPr>
          <w:p>
            <w:pPr>
              <w:pStyle w:val="TableContents"/>
              <w:spacing w:before="0" w:after="283"/>
              <w:rPr/>
            </w:pPr>
            <w:r>
              <w:rPr/>
              <w:t>6 of 6</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80" w:type="dxa"/>
            </w:tcMar>
            <w:vAlign w:val="bottom"/>
          </w:tcPr>
          <w:p>
            <w:pPr>
              <w:pStyle w:val="TableContents"/>
              <w:spacing w:before="0" w:after="283"/>
              <w:rPr/>
            </w:pPr>
            <w:r>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2925" w:type="dxa"/>
            <w:gridSpan w:val="5"/>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Total</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5"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13 of 13</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80" w:type="dxa"/>
            </w:tcMar>
            <w:vAlign w:val="bottom"/>
          </w:tcPr>
          <w:p>
            <w:pPr>
              <w:pStyle w:val="TableContents"/>
              <w:spacing w:before="0" w:after="283"/>
              <w:rPr>
                <w:rFonts w:ascii="Arial" w:hAnsi="Arial"/>
                <w:b/>
              </w:rPr>
            </w:pPr>
            <w:r>
              <w:rPr>
                <w:rFonts w:ascii="Arial" w:hAnsi="Arial"/>
                <w:b/>
              </w:rPr>
              <w:t>100%</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value)2</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5"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vMerge w:val="continue"/>
            <w:tcBorders>
              <w:top w:val="single" w:sz="8" w:space="0" w:color="B94831"/>
            </w:tcBorders>
            <w:shd w:fill="auto" w:val="clear"/>
            <w:tcMar>
              <w:top w:w="28" w:type="dxa"/>
            </w:tcMar>
            <w:vAlign w:val="bottom"/>
          </w:tcPr>
          <w:p>
            <w:pPr>
              <w:pStyle w:val="Normal"/>
              <w:rPr/>
            </w:pPr>
            <w:r>
              <w:rPr/>
            </w:r>
          </w:p>
        </w:tc>
        <w:tc>
          <w:tcPr>
            <w:tcW w:w="60" w:type="dxa"/>
            <w:vMerge w:val="continue"/>
            <w:tcBorders>
              <w:top w:val="single" w:sz="8" w:space="0" w:color="B94831"/>
            </w:tcBorders>
            <w:shd w:fill="auto" w:val="clear"/>
            <w:tcMar>
              <w:top w:w="28" w:type="dxa"/>
            </w:tcMar>
          </w:tcPr>
          <w:p>
            <w:pPr>
              <w:pStyle w:val="Normal"/>
              <w:rPr/>
            </w:pPr>
            <w:r>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pPr>
            <w:r>
              <w:rPr/>
              <w:t>           </w:t>
            </w:r>
            <w:r>
              <w:rPr>
                <w:rFonts w:ascii="arial" w:hAnsi="arial"/>
                <w:sz w:val="16"/>
              </w:rPr>
              <w:t>787</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5"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14,554</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rPr/>
            </w:pPr>
            <w:r>
              <w:rPr/>
              <w:t>      </w:t>
            </w: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120" w:type="dxa"/>
            </w:tcMar>
            <w:vAlign w:val="bottom"/>
          </w:tcPr>
          <w:p>
            <w:pPr>
              <w:pStyle w:val="TableContents"/>
              <w:spacing w:before="0" w:after="283"/>
              <w:rPr/>
            </w:pPr>
            <w:r>
              <w:rPr/>
              <w:t>15,341</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5" w:type="dxa"/>
            <w:tcBorders>
              <w:bottom w:val="single" w:sz="2" w:space="0" w:color="AFAFAF"/>
            </w:tcBorders>
            <w:shd w:fill="auto" w:val="clear"/>
            <w:tcMar>
              <w:bottom w:w="120" w:type="dxa"/>
            </w:tcMar>
            <w:vAlign w:val="bottom"/>
          </w:tcPr>
          <w:p>
            <w:pPr>
              <w:pStyle w:val="TableContents"/>
              <w:spacing w:before="0" w:after="283"/>
              <w:rPr/>
            </w:pPr>
            <w:r>
              <w:rPr/>
              <w:t>           </w:t>
            </w:r>
            <w:r>
              <w:rPr/>
              <w:t>$104,474</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05" w:type="dxa"/>
            <w:tcBorders>
              <w:bottom w:val="single" w:sz="2" w:space="0" w:color="AFAFAF"/>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283"/>
              <w:rPr/>
            </w:pPr>
            <w:r>
              <w:rPr/>
              <w:t>$1,932,044</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590" w:type="dxa"/>
            <w:tcBorders>
              <w:bottom w:val="single" w:sz="2" w:space="0" w:color="AFAFAF"/>
            </w:tcBorders>
            <w:shd w:fill="auto" w:val="clear"/>
            <w:tcMar>
              <w:bottom w:w="120" w:type="dxa"/>
            </w:tcMar>
            <w:vAlign w:val="bottom"/>
          </w:tcPr>
          <w:p>
            <w:pPr>
              <w:pStyle w:val="TableContents"/>
              <w:spacing w:before="0" w:after="0"/>
              <w:rPr/>
            </w:pPr>
            <w:r>
              <w:rPr/>
              <w:t>      </w:t>
            </w:r>
            <w:r>
              <w:rPr>
                <w:rFonts w:ascii="arial" w:hAnsi="arial"/>
                <w:sz w:val="16"/>
              </w:rPr>
              <w: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995"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0" w:type="dxa"/>
            <w:tcBorders>
              <w:bottom w:val="single" w:sz="2" w:space="0" w:color="AFAFAF"/>
            </w:tcBorders>
            <w:shd w:fill="auto" w:val="clear"/>
            <w:tcMar>
              <w:bottom w:w="120" w:type="dxa"/>
            </w:tcMar>
            <w:vAlign w:val="bottom"/>
          </w:tcPr>
          <w:p>
            <w:pPr>
              <w:pStyle w:val="TableContents"/>
              <w:spacing w:before="0" w:after="283"/>
              <w:rPr/>
            </w:pPr>
            <w:r>
              <w:rPr/>
              <w:t>$2,036,518</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1580" w:type="dxa"/>
            <w:tcBorders>
              <w:bottom w:val="single" w:sz="2" w:space="0" w:color="AFAFAF"/>
            </w:tcBorders>
            <w:shd w:fill="auto" w:val="clear"/>
            <w:tcMar>
              <w:bottom w:w="120" w:type="dxa"/>
            </w:tcMar>
            <w:vAlign w:val="bottom"/>
          </w:tcPr>
          <w:p>
            <w:pPr>
              <w:pStyle w:val="TableContents"/>
              <w:spacing w:before="0" w:after="283"/>
              <w:jc w:val="center"/>
              <w:rPr/>
            </w:pPr>
            <w:r>
              <w:rPr/>
              <w:t></w:t>
            </w:r>
          </w:p>
        </w:tc>
      </w:tr>
      <w:tr>
        <w:trPr/>
        <w:tc>
          <w:tcPr>
            <w:tcW w:w="1235"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215" w:type="dxa"/>
            <w:gridSpan w:val="13"/>
            <w:tcBorders>
              <w:bottom w:val="single" w:sz="8" w:space="0" w:color="B94831"/>
            </w:tcBorders>
            <w:shd w:fill="auto" w:val="clear"/>
            <w:tcMar>
              <w:bottom w:w="28" w:type="dxa"/>
            </w:tcMar>
          </w:tcPr>
          <w:p>
            <w:pPr>
              <w:pStyle w:val="TableContents"/>
              <w:spacing w:before="0" w:after="0"/>
              <w:rPr>
                <w:rFonts w:ascii="arial" w:hAnsi="arial"/>
                <w:sz w:val="15"/>
              </w:rPr>
            </w:pPr>
            <w:r>
              <w:rPr>
                <w:rFonts w:ascii="arial" w:hAnsi="arial"/>
                <w:sz w:val="15"/>
              </w:rPr>
              <w:t>1  David Thomson and Peter Thomson, both of whom are nominees, are brothers.</w:t>
            </w:r>
          </w:p>
          <w:p>
            <w:pPr>
              <w:pStyle w:val="TableContents"/>
              <w:spacing w:before="0" w:after="20"/>
              <w:rPr>
                <w:rFonts w:ascii="arial" w:hAnsi="arial"/>
                <w:sz w:val="15"/>
              </w:rPr>
            </w:pPr>
            <w:r>
              <w:rPr>
                <w:rFonts w:ascii="arial" w:hAnsi="arial"/>
                <w:sz w:val="15"/>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163"/>
        <w:gridCol w:w="69"/>
        <w:gridCol w:w="69"/>
        <w:gridCol w:w="60"/>
        <w:gridCol w:w="2280"/>
        <w:gridCol w:w="69"/>
        <w:gridCol w:w="916"/>
        <w:gridCol w:w="69"/>
        <w:gridCol w:w="937"/>
        <w:gridCol w:w="69"/>
        <w:gridCol w:w="641"/>
        <w:gridCol w:w="69"/>
        <w:gridCol w:w="1004"/>
        <w:gridCol w:w="69"/>
        <w:gridCol w:w="1017"/>
        <w:gridCol w:w="69"/>
        <w:gridCol w:w="1635"/>
      </w:tblGrid>
      <w:tr>
        <w:trPr/>
        <w:tc>
          <w:tcPr>
            <w:tcW w:w="116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r>
      <w:tr>
        <w:trPr/>
        <w:tc>
          <w:tcPr>
            <w:tcW w:w="1163" w:type="dxa"/>
            <w:vMerge w:val="restart"/>
            <w:tcBorders>
              <w:top w:val="single" w:sz="8" w:space="0" w:color="B94831"/>
              <w:bottom w:val="single" w:sz="8" w:space="0" w:color="B94831"/>
            </w:tcBorders>
            <w:shd w:fill="E5E5E5" w:val="clear"/>
            <w:tcMar>
              <w:top w:w="28" w:type="dxa"/>
              <w:bottom w:w="28" w:type="dxa"/>
            </w:tcMar>
          </w:tcPr>
          <w:p>
            <w:pPr>
              <w:pStyle w:val="TableContents"/>
              <w:spacing w:before="0" w:after="0"/>
              <w:rPr/>
            </w:pPr>
            <w:r>
              <w:rPr/>
              <w:t> </w:t>
            </w:r>
          </w:p>
          <w:p>
            <w:pPr>
              <w:pStyle w:val="TableContents"/>
              <w:spacing w:before="0" w:after="0"/>
              <w:jc w:val="center"/>
              <w:rPr/>
            </w:pPr>
            <w:r>
              <w:rPr/>
              <w:drawing>
                <wp:inline distT="0" distB="0" distL="0" distR="0">
                  <wp:extent cx="108585" cy="10858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rPr>
                <w:rFonts w:ascii="Arial" w:hAnsi="Arial"/>
                <w:b/>
                <w:sz w:val="15"/>
              </w:rPr>
            </w:pPr>
            <w:r>
              <w:rPr>
                <w:rFonts w:ascii="Arial" w:hAnsi="Arial"/>
                <w:b/>
                <w:sz w:val="15"/>
              </w:rPr>
              <w:t>Beth Wilson</w:t>
            </w:r>
          </w:p>
          <w:p>
            <w:pPr>
              <w:pStyle w:val="TableContents"/>
              <w:spacing w:before="0" w:after="0"/>
              <w:rPr/>
            </w:pPr>
            <w:r>
              <w:rPr/>
              <w:t> </w:t>
            </w:r>
          </w:p>
          <w:p>
            <w:pPr>
              <w:pStyle w:val="TableContents"/>
              <w:spacing w:before="0" w:after="0"/>
              <w:rPr>
                <w:rFonts w:ascii="arial" w:hAnsi="arial"/>
                <w:sz w:val="15"/>
              </w:rPr>
            </w:pPr>
            <w:r>
              <w:rPr>
                <w:rFonts w:ascii="arial" w:hAnsi="arial"/>
                <w:sz w:val="15"/>
              </w:rPr>
              <w:t>Age: 54</w:t>
            </w:r>
          </w:p>
          <w:p>
            <w:pPr>
              <w:pStyle w:val="TableContents"/>
              <w:spacing w:before="0" w:after="0"/>
              <w:rPr/>
            </w:pPr>
            <w:r>
              <w:rPr/>
              <w:t> </w:t>
            </w:r>
          </w:p>
          <w:p>
            <w:pPr>
              <w:pStyle w:val="TableContents"/>
              <w:spacing w:before="0" w:after="0"/>
              <w:rPr>
                <w:rFonts w:ascii="arial" w:hAnsi="arial"/>
                <w:sz w:val="15"/>
              </w:rPr>
            </w:pPr>
            <w:r>
              <w:rPr>
                <w:rFonts w:ascii="arial" w:hAnsi="arial"/>
                <w:sz w:val="15"/>
              </w:rPr>
              <w:t>Toronto, Ontario, Canada</w:t>
            </w:r>
          </w:p>
          <w:p>
            <w:pPr>
              <w:pStyle w:val="TableContents"/>
              <w:spacing w:before="0" w:after="0"/>
              <w:rPr/>
            </w:pPr>
            <w:r>
              <w:rPr/>
              <w:t> </w:t>
            </w:r>
          </w:p>
          <w:p>
            <w:pPr>
              <w:pStyle w:val="TableContents"/>
              <w:spacing w:before="0" w:after="0"/>
              <w:rPr>
                <w:rFonts w:ascii="arial" w:hAnsi="arial"/>
                <w:sz w:val="15"/>
              </w:rPr>
            </w:pPr>
            <w:r>
              <w:rPr>
                <w:rFonts w:ascii="arial" w:hAnsi="arial"/>
                <w:sz w:val="15"/>
              </w:rPr>
              <w:t>Director since 2022</w:t>
            </w:r>
          </w:p>
          <w:p>
            <w:pPr>
              <w:pStyle w:val="TableContents"/>
              <w:spacing w:before="0" w:after="0"/>
              <w:rPr/>
            </w:pPr>
            <w:r>
              <w:rPr/>
              <w:t> </w:t>
            </w:r>
          </w:p>
          <w:p>
            <w:pPr>
              <w:pStyle w:val="TableContents"/>
              <w:spacing w:before="0" w:after="0"/>
              <w:rPr>
                <w:rFonts w:ascii="arial" w:hAnsi="arial"/>
                <w:sz w:val="15"/>
              </w:rPr>
            </w:pPr>
            <w:r>
              <w:rPr>
                <w:rFonts w:ascii="arial" w:hAnsi="arial"/>
                <w:sz w:val="15"/>
              </w:rPr>
              <w:t>independent</w:t>
            </w:r>
          </w:p>
          <w:p>
            <w:pPr>
              <w:pStyle w:val="TableContents"/>
              <w:spacing w:before="0" w:after="0"/>
              <w:rPr/>
            </w:pPr>
            <w:r>
              <w:rPr/>
              <w:t> </w:t>
            </w:r>
          </w:p>
          <w:p>
            <w:pPr>
              <w:pStyle w:val="TableContents"/>
              <w:spacing w:before="0" w:after="0"/>
              <w:rPr>
                <w:rFonts w:ascii="arial" w:hAnsi="arial"/>
                <w:sz w:val="15"/>
              </w:rPr>
            </w:pPr>
            <w:r>
              <w:rPr>
                <w:rFonts w:ascii="arial" w:hAnsi="arial"/>
                <w:sz w:val="15"/>
              </w:rPr>
              <w:t>Primary areas of expertise: tax and accounting and legal industries, audit, executive leadership</w:t>
            </w:r>
          </w:p>
          <w:p>
            <w:pPr>
              <w:pStyle w:val="TableContents"/>
              <w:spacing w:before="0" w:after="0"/>
              <w:rPr/>
            </w:pPr>
            <w:r>
              <w:rPr/>
              <w:t> </w:t>
            </w:r>
          </w:p>
          <w:p>
            <w:pPr>
              <w:pStyle w:val="TableContents"/>
              <w:spacing w:before="0" w:after="20"/>
              <w:rPr>
                <w:rFonts w:ascii="arial" w:hAnsi="arial"/>
                <w:sz w:val="15"/>
              </w:rPr>
            </w:pPr>
            <w:r>
              <w:rPr>
                <w:rFonts w:ascii="arial" w:hAnsi="arial"/>
                <w:sz w:val="15"/>
              </w:rPr>
              <w:t>2022 annual meeting votes for: 99.78%</w:t>
            </w:r>
          </w:p>
        </w:tc>
        <w:tc>
          <w:tcPr>
            <w:tcW w:w="69" w:type="dxa"/>
            <w:tcBorders>
              <w:top w:val="single" w:sz="8" w:space="0" w:color="B94831"/>
            </w:tcBorders>
            <w:shd w:fill="auto" w:val="clear"/>
            <w:tcMar>
              <w:top w:w="28" w:type="dxa"/>
            </w:tcMar>
            <w:vAlign w:val="bottom"/>
          </w:tcPr>
          <w:p>
            <w:pPr>
              <w:pStyle w:val="TableContents"/>
              <w:spacing w:before="0" w:after="283"/>
              <w:rPr/>
            </w:pPr>
            <w:r>
              <w:rPr/>
              <w:t> </w:t>
            </w:r>
          </w:p>
        </w:tc>
        <w:tc>
          <w:tcPr>
            <w:tcW w:w="69" w:type="dxa"/>
            <w:tcBorders>
              <w:top w:val="single" w:sz="8" w:space="0" w:color="B94831"/>
            </w:tcBorders>
            <w:shd w:fill="auto" w:val="clear"/>
            <w:tcMar>
              <w:top w:w="28" w:type="dxa"/>
            </w:tcMar>
          </w:tcPr>
          <w:p>
            <w:pPr>
              <w:pStyle w:val="TableContents"/>
              <w:spacing w:before="0" w:after="283"/>
              <w:rPr/>
            </w:pPr>
            <w:r>
              <w:rPr/>
              <w:t> </w:t>
            </w:r>
          </w:p>
        </w:tc>
        <w:tc>
          <w:tcPr>
            <w:tcW w:w="60" w:type="dxa"/>
            <w:tcBorders>
              <w:top w:val="single" w:sz="8" w:space="0" w:color="B94831"/>
            </w:tcBorders>
            <w:shd w:fill="auto" w:val="clear"/>
            <w:tcMar>
              <w:top w:w="28" w:type="dxa"/>
            </w:tcMar>
            <w:vAlign w:val="bottom"/>
          </w:tcPr>
          <w:p>
            <w:pPr>
              <w:pStyle w:val="TableContents"/>
              <w:spacing w:before="0" w:after="283"/>
              <w:rPr/>
            </w:pPr>
            <w:r>
              <w:rPr/>
              <w:t> </w:t>
            </w:r>
          </w:p>
        </w:tc>
        <w:tc>
          <w:tcPr>
            <w:tcW w:w="8844" w:type="dxa"/>
            <w:gridSpan w:val="13"/>
            <w:tcBorders>
              <w:top w:val="single" w:sz="8" w:space="0" w:color="B94831"/>
            </w:tcBorders>
            <w:shd w:fill="auto" w:val="clear"/>
            <w:tcMar>
              <w:top w:w="28" w:type="dxa"/>
            </w:tcMar>
          </w:tcPr>
          <w:p>
            <w:pPr>
              <w:pStyle w:val="TableContents"/>
              <w:spacing w:before="0" w:after="0"/>
              <w:rPr/>
            </w:pPr>
            <w:r>
              <w:rPr/>
              <w:t> </w:t>
            </w:r>
          </w:p>
          <w:p>
            <w:pPr>
              <w:pStyle w:val="TableContents"/>
              <w:spacing w:before="0" w:after="0"/>
              <w:rPr>
                <w:rFonts w:ascii="Arial" w:hAnsi="Arial"/>
                <w:b/>
                <w:sz w:val="20"/>
              </w:rPr>
            </w:pPr>
            <w:r>
              <w:rPr>
                <w:rFonts w:ascii="Arial" w:hAnsi="Arial"/>
                <w:b/>
                <w:sz w:val="20"/>
              </w:rPr>
              <w:t>Beth Wilson</w:t>
            </w:r>
          </w:p>
          <w:p>
            <w:pPr>
              <w:pStyle w:val="TableContents"/>
              <w:spacing w:before="0" w:after="0"/>
              <w:rPr/>
            </w:pPr>
            <w:r>
              <w:rPr/>
              <w:t> </w:t>
            </w:r>
          </w:p>
          <w:p>
            <w:pPr>
              <w:pStyle w:val="TableContents"/>
              <w:spacing w:before="0" w:after="0"/>
              <w:rPr>
                <w:rFonts w:ascii="arial" w:hAnsi="arial"/>
                <w:sz w:val="16"/>
              </w:rPr>
            </w:pPr>
            <w:r>
              <w:rPr>
                <w:rFonts w:ascii="arial" w:hAnsi="arial"/>
                <w:sz w:val="16"/>
              </w:rPr>
              <w:t>Beth Wilson has been Vice-Chair of the Chartered Professional Accountants of Canada since October 2021. She is the former Chief Executive Officer of Dentons Canada LLP and was a member of the global leadership team, serving on the Global Board and Global Management Committee from July 2017 to January 2022. Prior to this role, Beth was an audit partner at KPMG from 2000 to 2016 and served as Managing Partner at KPMG in the Greater Toronto Area from 2009 to 2016. Between 2005 and 2016, she also served as a member of KPMGs Management Committee in various leadership positions, including Canadian Managing Partner Community Leadership, Canadian Managing Partner Regions and Enterprise with responsibility for 24 regional offices across Canada, and Chief Human Resources Officer. Beth is currently a trustee at The Hospital for Sick Children and a director at Woodgreen Foundation and Traferox Technologies Inc.. Beth has a BComm from the University of Toronto and is a CPA.</w:t>
            </w:r>
          </w:p>
          <w:p>
            <w:pPr>
              <w:pStyle w:val="TableContents"/>
              <w:spacing w:before="0" w:after="20"/>
              <w:rPr/>
            </w:pPr>
            <w:r>
              <w:rPr/>
              <w:t> </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80"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Board/committee</w:t>
            </w:r>
          </w:p>
          <w:p>
            <w:pPr>
              <w:pStyle w:val="TableContents"/>
              <w:spacing w:before="0" w:after="20"/>
              <w:rPr>
                <w:rFonts w:ascii="Arial" w:hAnsi="Arial"/>
                <w:b/>
                <w:sz w:val="16"/>
              </w:rPr>
            </w:pPr>
            <w:r>
              <w:rPr>
                <w:rFonts w:ascii="Arial" w:hAnsi="Arial"/>
                <w:b/>
                <w:sz w:val="16"/>
              </w:rPr>
              <w:t>membership</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922" w:type="dxa"/>
            <w:gridSpan w:val="3"/>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2022 attendance</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4504" w:type="dxa"/>
            <w:gridSpan w:val="7"/>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Other public company board memberships</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80" w:type="dxa"/>
            <w:tcBorders/>
            <w:shd w:fill="auto" w:val="clear"/>
            <w:vAlign w:val="bottom"/>
          </w:tcPr>
          <w:p>
            <w:pPr>
              <w:pStyle w:val="TableContents"/>
              <w:spacing w:before="0" w:after="283"/>
              <w:rPr/>
            </w:pPr>
            <w:r>
              <w:rPr/>
              <w:t>Board</w:t>
            </w:r>
          </w:p>
        </w:tc>
        <w:tc>
          <w:tcPr>
            <w:tcW w:w="69"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3 of 3</w:t>
            </w:r>
          </w:p>
        </w:tc>
        <w:tc>
          <w:tcPr>
            <w:tcW w:w="69"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100%</w:t>
            </w:r>
          </w:p>
        </w:tc>
        <w:tc>
          <w:tcPr>
            <w:tcW w:w="69" w:type="dxa"/>
            <w:tcBorders/>
            <w:shd w:fill="auto" w:val="clear"/>
            <w:vAlign w:val="bottom"/>
          </w:tcPr>
          <w:p>
            <w:pPr>
              <w:pStyle w:val="TableContents"/>
              <w:spacing w:before="0" w:after="283"/>
              <w:rPr/>
            </w:pPr>
            <w:r>
              <w:rPr/>
              <w:t> </w:t>
            </w:r>
          </w:p>
        </w:tc>
        <w:tc>
          <w:tcPr>
            <w:tcW w:w="2800" w:type="dxa"/>
            <w:gridSpan w:val="5"/>
            <w:tcBorders/>
            <w:shd w:fill="auto" w:val="clear"/>
            <w:vAlign w:val="bottom"/>
          </w:tcPr>
          <w:p>
            <w:pPr>
              <w:pStyle w:val="TableContents"/>
              <w:spacing w:before="0" w:after="283"/>
              <w:rPr/>
            </w:pPr>
            <w:r>
              <w:rPr/>
              <w:t>IGM Financial Inc.</w:t>
            </w:r>
          </w:p>
        </w:tc>
        <w:tc>
          <w:tcPr>
            <w:tcW w:w="69" w:type="dxa"/>
            <w:tcBorders/>
            <w:shd w:fill="auto" w:val="clear"/>
            <w:vAlign w:val="bottom"/>
          </w:tcPr>
          <w:p>
            <w:pPr>
              <w:pStyle w:val="TableContents"/>
              <w:spacing w:before="0" w:after="283"/>
              <w:rPr/>
            </w:pPr>
            <w:r>
              <w:rPr/>
              <w:t> </w:t>
            </w:r>
          </w:p>
        </w:tc>
        <w:tc>
          <w:tcPr>
            <w:tcW w:w="1635" w:type="dxa"/>
            <w:tcBorders/>
            <w:shd w:fill="auto" w:val="clear"/>
            <w:vAlign w:val="bottom"/>
          </w:tcPr>
          <w:p>
            <w:pPr>
              <w:pStyle w:val="TableContents"/>
              <w:spacing w:before="0" w:after="283"/>
              <w:rPr>
                <w:sz w:val="4"/>
                <w:szCs w:val="4"/>
              </w:rPr>
            </w:pPr>
            <w:r>
              <w:rPr>
                <w:sz w:val="4"/>
                <w:szCs w:val="4"/>
              </w:rPr>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80" w:type="dxa"/>
            <w:tcBorders/>
            <w:shd w:fill="auto" w:val="clear"/>
            <w:vAlign w:val="bottom"/>
          </w:tcPr>
          <w:p>
            <w:pPr>
              <w:pStyle w:val="TableContents"/>
              <w:spacing w:before="0" w:after="283"/>
              <w:rPr/>
            </w:pPr>
            <w:r>
              <w:rPr/>
              <w:t>Audit</w:t>
            </w:r>
          </w:p>
        </w:tc>
        <w:tc>
          <w:tcPr>
            <w:tcW w:w="69"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4 of 4</w:t>
            </w:r>
          </w:p>
        </w:tc>
        <w:tc>
          <w:tcPr>
            <w:tcW w:w="69"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100%</w:t>
            </w:r>
          </w:p>
        </w:tc>
        <w:tc>
          <w:tcPr>
            <w:tcW w:w="69" w:type="dxa"/>
            <w:tcBorders/>
            <w:shd w:fill="auto" w:val="clear"/>
            <w:vAlign w:val="bottom"/>
          </w:tcPr>
          <w:p>
            <w:pPr>
              <w:pStyle w:val="TableContents"/>
              <w:spacing w:before="0" w:after="283"/>
              <w:rPr/>
            </w:pPr>
            <w:r>
              <w:rPr/>
              <w:t> </w:t>
            </w:r>
          </w:p>
        </w:tc>
        <w:tc>
          <w:tcPr>
            <w:tcW w:w="2800" w:type="dxa"/>
            <w:gridSpan w:val="5"/>
            <w:tcBorders/>
            <w:shd w:fill="auto" w:val="clear"/>
            <w:vAlign w:val="bottom"/>
          </w:tcPr>
          <w:p>
            <w:pPr>
              <w:pStyle w:val="TableContents"/>
              <w:spacing w:before="0" w:after="283"/>
              <w:rPr/>
            </w:pPr>
            <w:r>
              <w:rPr/>
              <w:t>Power Corporation of Canada</w:t>
            </w:r>
          </w:p>
        </w:tc>
        <w:tc>
          <w:tcPr>
            <w:tcW w:w="69" w:type="dxa"/>
            <w:tcBorders/>
            <w:shd w:fill="auto" w:val="clear"/>
            <w:vAlign w:val="bottom"/>
          </w:tcPr>
          <w:p>
            <w:pPr>
              <w:pStyle w:val="TableContents"/>
              <w:spacing w:before="0" w:after="283"/>
              <w:rPr/>
            </w:pPr>
            <w:r>
              <w:rPr/>
              <w:t> </w:t>
            </w:r>
          </w:p>
        </w:tc>
        <w:tc>
          <w:tcPr>
            <w:tcW w:w="1635" w:type="dxa"/>
            <w:tcBorders/>
            <w:shd w:fill="auto" w:val="clear"/>
            <w:vAlign w:val="bottom"/>
          </w:tcPr>
          <w:p>
            <w:pPr>
              <w:pStyle w:val="TableContents"/>
              <w:spacing w:before="0" w:after="283"/>
              <w:rPr>
                <w:sz w:val="4"/>
                <w:szCs w:val="4"/>
              </w:rPr>
            </w:pPr>
            <w:r>
              <w:rPr>
                <w:sz w:val="4"/>
                <w:szCs w:val="4"/>
              </w:rPr>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80" w:type="dxa"/>
            <w:tcBorders>
              <w:bottom w:val="single" w:sz="2" w:space="0" w:color="AFAFAF"/>
            </w:tcBorders>
            <w:shd w:fill="auto" w:val="clear"/>
            <w:tcMar>
              <w:bottom w:w="120" w:type="dxa"/>
            </w:tcMar>
            <w:vAlign w:val="bottom"/>
          </w:tcPr>
          <w:p>
            <w:pPr>
              <w:pStyle w:val="TableContents"/>
              <w:spacing w:before="0" w:after="283"/>
              <w:rPr/>
            </w:pPr>
            <w:r>
              <w:rPr/>
              <w:t>HR</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16" w:type="dxa"/>
            <w:tcBorders>
              <w:bottom w:val="single" w:sz="2" w:space="0" w:color="AFAFAF"/>
            </w:tcBorders>
            <w:shd w:fill="auto" w:val="clear"/>
            <w:tcMar>
              <w:bottom w:w="120" w:type="dxa"/>
            </w:tcMar>
            <w:vAlign w:val="bottom"/>
          </w:tcPr>
          <w:p>
            <w:pPr>
              <w:pStyle w:val="TableContents"/>
              <w:spacing w:before="0" w:after="283"/>
              <w:rPr/>
            </w:pPr>
            <w:r>
              <w:rPr/>
              <w:t>1 of 2</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37" w:type="dxa"/>
            <w:tcBorders>
              <w:bottom w:val="single" w:sz="2" w:space="0" w:color="AFAFAF"/>
            </w:tcBorders>
            <w:shd w:fill="auto" w:val="clear"/>
            <w:tcMar>
              <w:bottom w:w="120" w:type="dxa"/>
            </w:tcMar>
            <w:vAlign w:val="bottom"/>
          </w:tcPr>
          <w:p>
            <w:pPr>
              <w:pStyle w:val="TableContents"/>
              <w:spacing w:before="0" w:after="283"/>
              <w:rPr/>
            </w:pPr>
            <w:r>
              <w:rPr/>
              <w:t>50%</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641"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17"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635"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Total</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16"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8 of 9</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37"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89%</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641"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17"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635"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80" w:type="dxa"/>
            <w:tcBorders>
              <w:bottom w:val="single" w:sz="2" w:space="0" w:color="AFAFAF"/>
            </w:tcBorders>
            <w:shd w:fill="auto" w:val="clear"/>
            <w:tcMar>
              <w:bottom w:w="120" w:type="dxa"/>
            </w:tcMar>
            <w:vAlign w:val="bottom"/>
          </w:tcPr>
          <w:p>
            <w:pPr>
              <w:pStyle w:val="TableContents"/>
              <w:spacing w:before="0" w:after="283"/>
              <w:rPr>
                <w:rFonts w:ascii="Arial" w:hAnsi="Arial"/>
                <w:b/>
              </w:rPr>
            </w:pPr>
            <w:r>
              <w:rPr>
                <w:rFonts w:ascii="Arial" w:hAnsi="Arial"/>
                <w:b/>
              </w:rPr>
              <w:t>Securities held</w:t>
              <w:br/>
              <w:t>(number and value)</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16"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37"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641"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shares</w:t>
            </w:r>
          </w:p>
          <w:p>
            <w:pPr>
              <w:pStyle w:val="TableContents"/>
              <w:spacing w:before="0" w:after="20"/>
              <w:rPr>
                <w:rFonts w:ascii="Arial" w:hAnsi="Arial"/>
                <w:b/>
                <w:sz w:val="16"/>
              </w:rPr>
            </w:pPr>
            <w:r>
              <w:rPr>
                <w:rFonts w:ascii="Arial" w:hAnsi="Arial"/>
                <w:b/>
                <w:sz w:val="16"/>
              </w:rPr>
              <w:t>and DSUs</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17"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Total market</w:t>
            </w:r>
          </w:p>
          <w:p>
            <w:pPr>
              <w:pStyle w:val="TableContents"/>
              <w:spacing w:before="0" w:after="20"/>
              <w:rPr>
                <w:rFonts w:ascii="Arial" w:hAnsi="Arial"/>
                <w:b/>
                <w:sz w:val="16"/>
              </w:rPr>
            </w:pPr>
            <w:r>
              <w:rPr>
                <w:rFonts w:ascii="Arial" w:hAnsi="Arial"/>
                <w:b/>
                <w:sz w:val="16"/>
              </w:rPr>
              <w:t>value</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635" w:type="dxa"/>
            <w:tcBorders>
              <w:bottom w:val="single" w:sz="2" w:space="0" w:color="AFAFAF"/>
            </w:tcBorders>
            <w:shd w:fill="auto" w:val="clear"/>
            <w:tcMar>
              <w:bottom w:w="120" w:type="dxa"/>
            </w:tcMar>
            <w:vAlign w:val="bottom"/>
          </w:tcPr>
          <w:p>
            <w:pPr>
              <w:pStyle w:val="TableContents"/>
              <w:spacing w:before="0" w:after="0"/>
              <w:rPr>
                <w:rFonts w:ascii="Arial" w:hAnsi="Arial"/>
                <w:b/>
                <w:sz w:val="16"/>
              </w:rPr>
            </w:pPr>
            <w:r>
              <w:rPr>
                <w:rFonts w:ascii="Arial" w:hAnsi="Arial"/>
                <w:b/>
                <w:sz w:val="16"/>
              </w:rPr>
              <w:t>Ownership multiple</w:t>
            </w:r>
          </w:p>
          <w:p>
            <w:pPr>
              <w:pStyle w:val="TableContents"/>
              <w:spacing w:before="0" w:after="20"/>
              <w:rPr>
                <w:rFonts w:ascii="Arial" w:hAnsi="Arial"/>
                <w:b/>
                <w:sz w:val="16"/>
              </w:rPr>
            </w:pPr>
            <w:r>
              <w:rPr>
                <w:rFonts w:ascii="Arial" w:hAnsi="Arial"/>
                <w:b/>
                <w:sz w:val="16"/>
              </w:rPr>
              <w:t>of annual retainer</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80"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Common shares</w:t>
            </w:r>
          </w:p>
          <w:p>
            <w:pPr>
              <w:pStyle w:val="TableContents"/>
              <w:spacing w:before="0" w:after="20"/>
              <w:rPr/>
            </w:pPr>
            <w:r>
              <w:rPr/>
              <w:t>           </w:t>
            </w:r>
            <w:r>
              <w:rPr>
                <w:rFonts w:ascii="arial" w:hAnsi="arial"/>
                <w:sz w:val="16"/>
              </w:rPr>
              <w:t></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16"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RSUs</w:t>
            </w:r>
          </w:p>
          <w:p>
            <w:pPr>
              <w:pStyle w:val="TableContents"/>
              <w:spacing w:before="0" w:after="20"/>
              <w:jc w:val="center"/>
              <w:rPr>
                <w:rFonts w:ascii="arial" w:hAnsi="arial"/>
                <w:sz w:val="16"/>
              </w:rPr>
            </w:pPr>
            <w:r>
              <w:rPr>
                <w:rFonts w:ascii="arial" w:hAnsi="arial"/>
                <w:sz w:val="16"/>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937"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DSUs</w:t>
            </w:r>
          </w:p>
          <w:p>
            <w:pPr>
              <w:pStyle w:val="TableContents"/>
              <w:spacing w:before="0" w:after="20"/>
              <w:rPr>
                <w:rFonts w:ascii="arial" w:hAnsi="arial"/>
                <w:sz w:val="16"/>
              </w:rPr>
            </w:pPr>
            <w:r>
              <w:rPr>
                <w:rFonts w:ascii="arial" w:hAnsi="arial"/>
                <w:sz w:val="16"/>
              </w:rPr>
              <w:t>1,606</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641" w:type="dxa"/>
            <w:tcBorders>
              <w:bottom w:val="single" w:sz="2" w:space="0" w:color="AFAFAF"/>
            </w:tcBorders>
            <w:shd w:fill="auto" w:val="clear"/>
            <w:tcMar>
              <w:bottom w:w="120" w:type="dxa"/>
            </w:tcMar>
            <w:vAlign w:val="bottom"/>
          </w:tcPr>
          <w:p>
            <w:pPr>
              <w:pStyle w:val="TableContents"/>
              <w:spacing w:before="0" w:after="0"/>
              <w:rPr>
                <w:rFonts w:ascii="arial" w:hAnsi="arial"/>
                <w:sz w:val="16"/>
              </w:rPr>
            </w:pPr>
            <w:r>
              <w:rPr>
                <w:rFonts w:ascii="arial" w:hAnsi="arial"/>
                <w:sz w:val="16"/>
              </w:rPr>
              <w:t>Options</w:t>
            </w:r>
          </w:p>
          <w:p>
            <w:pPr>
              <w:pStyle w:val="TableContents"/>
              <w:spacing w:before="0" w:after="20"/>
              <w:rPr/>
            </w:pPr>
            <w:r>
              <w:rPr/>
              <w:t>      </w:t>
            </w:r>
            <w:r>
              <w:rPr>
                <w:rFonts w:ascii="arial" w:hAnsi="arial"/>
                <w:sz w:val="16"/>
              </w:rPr>
              <w:t></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120" w:type="dxa"/>
            </w:tcMar>
            <w:vAlign w:val="bottom"/>
          </w:tcPr>
          <w:p>
            <w:pPr>
              <w:pStyle w:val="TableContents"/>
              <w:spacing w:before="0" w:after="283"/>
              <w:rPr/>
            </w:pPr>
            <w:r>
              <w:rPr/>
              <w:t>1,606</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017" w:type="dxa"/>
            <w:tcBorders>
              <w:bottom w:val="single" w:sz="2" w:space="0" w:color="AFAFAF"/>
            </w:tcBorders>
            <w:shd w:fill="auto" w:val="clear"/>
            <w:tcMar>
              <w:bottom w:w="28" w:type="dxa"/>
            </w:tcMar>
            <w:vAlign w:val="bottom"/>
          </w:tcPr>
          <w:p>
            <w:pPr>
              <w:pStyle w:val="TableContents"/>
              <w:spacing w:before="0" w:after="283"/>
              <w:rPr/>
            </w:pPr>
            <w:r>
              <w:rPr/>
              <w:t> </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635"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163" w:type="dxa"/>
            <w:vMerge w:val="continue"/>
            <w:tcBorders>
              <w:top w:val="single" w:sz="8" w:space="0" w:color="B94831"/>
              <w:bottom w:val="single" w:sz="8" w:space="0" w:color="B94831"/>
            </w:tcBorders>
            <w:shd w:fill="E5E5E5" w:val="clear"/>
            <w:tcMar>
              <w:top w:w="28" w:type="dxa"/>
              <w:bottom w:w="28" w:type="dxa"/>
            </w:tcMar>
          </w:tcPr>
          <w:p>
            <w:pPr>
              <w:pStyle w:val="Normal"/>
              <w:rPr/>
            </w:pPr>
            <w:r>
              <w:rPr/>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280" w:type="dxa"/>
            <w:tcBorders>
              <w:bottom w:val="single" w:sz="8" w:space="0" w:color="B94831"/>
            </w:tcBorders>
            <w:shd w:fill="auto" w:val="clear"/>
            <w:tcMar>
              <w:bottom w:w="120" w:type="dxa"/>
            </w:tcMar>
            <w:vAlign w:val="bottom"/>
          </w:tcPr>
          <w:p>
            <w:pPr>
              <w:pStyle w:val="TableContents"/>
              <w:spacing w:before="0" w:after="283"/>
              <w:rPr/>
            </w:pPr>
            <w:r>
              <w:rPr/>
              <w:t>           </w:t>
            </w:r>
            <w:r>
              <w:rPr/>
              <w:t></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916" w:type="dxa"/>
            <w:tcBorders>
              <w:bottom w:val="single" w:sz="8" w:space="0" w:color="B94831"/>
            </w:tcBorders>
            <w:shd w:fill="auto" w:val="clear"/>
            <w:tcMar>
              <w:bottom w:w="120" w:type="dxa"/>
            </w:tcMar>
            <w:vAlign w:val="bottom"/>
          </w:tcPr>
          <w:p>
            <w:pPr>
              <w:pStyle w:val="TableContents"/>
              <w:spacing w:before="0" w:after="0"/>
              <w:jc w:val="center"/>
              <w:rPr>
                <w:rFonts w:ascii="arial" w:hAnsi="arial"/>
                <w:sz w:val="16"/>
              </w:rPr>
            </w:pPr>
            <w:r>
              <w:rPr>
                <w:rFonts w:ascii="arial" w:hAnsi="arial"/>
                <w:sz w:val="16"/>
              </w:rPr>
              <w:t>      </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937" w:type="dxa"/>
            <w:tcBorders>
              <w:bottom w:val="single" w:sz="8" w:space="0" w:color="B94831"/>
            </w:tcBorders>
            <w:shd w:fill="auto" w:val="clear"/>
            <w:tcMar>
              <w:bottom w:w="120" w:type="dxa"/>
            </w:tcMar>
            <w:vAlign w:val="bottom"/>
          </w:tcPr>
          <w:p>
            <w:pPr>
              <w:pStyle w:val="TableContents"/>
              <w:spacing w:before="0" w:after="283"/>
              <w:rPr/>
            </w:pPr>
            <w:r>
              <w:rPr/>
              <w:t>$213,197</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641" w:type="dxa"/>
            <w:tcBorders>
              <w:bottom w:val="single" w:sz="8" w:space="0" w:color="B94831"/>
            </w:tcBorders>
            <w:shd w:fill="auto" w:val="clear"/>
            <w:tcMar>
              <w:bottom w:w="120" w:type="dxa"/>
            </w:tcMar>
            <w:vAlign w:val="bottom"/>
          </w:tcPr>
          <w:p>
            <w:pPr>
              <w:pStyle w:val="TableContents"/>
              <w:spacing w:before="0" w:after="0"/>
              <w:rPr/>
            </w:pPr>
            <w:r>
              <w:rPr/>
              <w:t>      </w:t>
            </w:r>
            <w:r>
              <w:rPr>
                <w:rFonts w:ascii="arial" w:hAnsi="arial"/>
                <w:sz w:val="16"/>
              </w:rPr>
              <w:t></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1004" w:type="dxa"/>
            <w:tcBorders>
              <w:bottom w:val="single" w:sz="8" w:space="0" w:color="B94831"/>
            </w:tcBorders>
            <w:shd w:fill="auto" w:val="clear"/>
            <w:tcMar>
              <w:bottom w:w="28" w:type="dxa"/>
            </w:tcMar>
            <w:vAlign w:val="bottom"/>
          </w:tcPr>
          <w:p>
            <w:pPr>
              <w:pStyle w:val="TableContents"/>
              <w:spacing w:before="0" w:after="283"/>
              <w:rPr/>
            </w:pPr>
            <w:r>
              <w:rPr/>
              <w:t> </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1017" w:type="dxa"/>
            <w:tcBorders>
              <w:bottom w:val="single" w:sz="8" w:space="0" w:color="B94831"/>
            </w:tcBorders>
            <w:shd w:fill="auto" w:val="clear"/>
            <w:tcMar>
              <w:bottom w:w="120" w:type="dxa"/>
            </w:tcMar>
            <w:vAlign w:val="bottom"/>
          </w:tcPr>
          <w:p>
            <w:pPr>
              <w:pStyle w:val="TableContents"/>
              <w:spacing w:before="0" w:after="283"/>
              <w:jc w:val="center"/>
              <w:rPr/>
            </w:pPr>
            <w:r>
              <w:rPr/>
              <w:t>$213,197</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1635" w:type="dxa"/>
            <w:tcBorders>
              <w:bottom w:val="single" w:sz="8" w:space="0" w:color="B94831"/>
            </w:tcBorders>
            <w:shd w:fill="auto" w:val="clear"/>
            <w:tcMar>
              <w:bottom w:w="120" w:type="dxa"/>
            </w:tcMar>
            <w:vAlign w:val="bottom"/>
          </w:tcPr>
          <w:p>
            <w:pPr>
              <w:pStyle w:val="TableContents"/>
              <w:spacing w:before="0" w:after="20"/>
              <w:jc w:val="center"/>
              <w:rPr>
                <w:rFonts w:ascii="arial" w:hAnsi="arial"/>
                <w:sz w:val="16"/>
              </w:rPr>
            </w:pPr>
            <w:r>
              <w:rPr>
                <w:rFonts w:ascii="arial" w:hAnsi="arial"/>
                <w:sz w:val="16"/>
              </w:rPr>
              <w:t>0.9x</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36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15" w:name="tx494196_21"/>
      <w:bookmarkEnd w:id="15"/>
      <w:r>
        <w:rPr>
          <w:rFonts w:ascii="Arial" w:hAnsi="Arial"/>
          <w:b/>
          <w:sz w:val="28"/>
        </w:rPr>
        <w:t xml:space="preserve">Director Compensation and Share Ownership </w:t>
      </w:r>
    </w:p>
    <w:p>
      <w:pPr>
        <w:pStyle w:val="TextBody"/>
        <w:spacing w:before="120" w:after="0"/>
        <w:jc w:val="left"/>
        <w:rPr>
          <w:rFonts w:ascii="arial" w:hAnsi="arial"/>
          <w:color w:val="B94831"/>
          <w:sz w:val="28"/>
        </w:rPr>
      </w:pPr>
      <w:r>
        <w:rPr>
          <w:rFonts w:ascii="arial" w:hAnsi="arial"/>
          <w:color w:val="B94831"/>
          <w:sz w:val="28"/>
        </w:rPr>
        <w:t xml:space="preserve">Approach and Philosophy </w:t>
      </w:r>
    </w:p>
    <w:p>
      <w:pPr>
        <w:pStyle w:val="TextBody"/>
        <w:spacing w:before="40" w:after="0"/>
        <w:jc w:val="left"/>
        <w:rPr>
          <w:rFonts w:ascii="arial" w:hAnsi="arial"/>
          <w:sz w:val="20"/>
        </w:rPr>
      </w:pPr>
      <w:r>
        <w:rPr>
          <w:rFonts w:ascii="arial" w:hAnsi="arial"/>
          <w:sz w:val="20"/>
        </w:rPr>
        <w:t xml:space="preserve">Our approach and philosophy for director compensation is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align the interests of our directors with those of our shareholders;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provide competitive compensation. </w:t>
            </w:r>
          </w:p>
        </w:tc>
      </w:tr>
    </w:tbl>
    <w:p>
      <w:pPr>
        <w:pStyle w:val="TextBody"/>
        <w:spacing w:before="120" w:after="0"/>
        <w:jc w:val="left"/>
        <w:rPr>
          <w:rFonts w:ascii="arial" w:hAnsi="arial"/>
          <w:sz w:val="20"/>
        </w:rPr>
      </w:pPr>
      <w:r>
        <w:rPr>
          <w:rFonts w:ascii="arial" w:hAnsi="arial"/>
          <w:sz w:val="20"/>
        </w:rPr>
        <w:t xml:space="preserve">The compensation program for our directors considers: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size, scope and complexity of our organization;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time commitment, contributions and effort required of directors to serve on the Board and one or more Board committees, as applicable (including Board/committee meetings and travel to and from Board/committee meetings and site visits);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experience and skills of our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compensation levels for boards of directors of other large comparable U.S. and Canada-based multinational public companies in order for amounts paid to our directors to be competitive to attract new candidates and to retain existing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an increasing trend in U.S. and Canadian public company director compensation programs to require a combination of mandatory and optional equity components to further align directors interests with shareholders;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our desire to have a flat fee structure. </w:t>
            </w:r>
          </w:p>
        </w:tc>
      </w:tr>
    </w:tbl>
    <w:p>
      <w:pPr>
        <w:pStyle w:val="TextBody"/>
        <w:spacing w:before="120" w:after="0"/>
        <w:jc w:val="left"/>
        <w:rPr>
          <w:rFonts w:ascii="arial" w:hAnsi="arial"/>
          <w:sz w:val="20"/>
        </w:rPr>
      </w:pPr>
      <w:r>
        <w:rPr>
          <w:rFonts w:ascii="arial" w:hAnsi="arial"/>
          <w:sz w:val="20"/>
        </w:rPr>
        <w:t xml:space="preserve">Our Corporate Governance Committee is responsible for periodically reviewing the adequacy and form of directors compensation. In November 2022, the Corporate Governance Committee decided to maintain current annual director compensation retainers for 2023 and increase the amount of the annual retainer that is required to be paid in equity in the form of DSUs from 33% to 50% effective January 1, 2023. </w:t>
      </w:r>
    </w:p>
    <w:p>
      <w:pPr>
        <w:pStyle w:val="TextBody"/>
        <w:spacing w:before="120" w:after="0"/>
        <w:jc w:val="left"/>
        <w:rPr>
          <w:rFonts w:ascii="arial" w:hAnsi="arial"/>
          <w:sz w:val="20"/>
        </w:rPr>
      </w:pPr>
      <w:r>
        <w:rPr>
          <w:rFonts w:ascii="arial" w:hAnsi="arial"/>
          <w:sz w:val="20"/>
        </w:rPr>
        <w:t xml:space="preserve">In periodically benchmarking director compensation, the Corporate Governance Committee evaluates publicly available data related to director compensation paid by the same peer group of companies utilized by the HR Committee for executive compensation benchmarking purposes. </w:t>
      </w:r>
    </w:p>
    <w:p>
      <w:pPr>
        <w:pStyle w:val="TextBody"/>
        <w:spacing w:before="120" w:after="0"/>
        <w:jc w:val="left"/>
        <w:rPr>
          <w:rFonts w:ascii="arial" w:hAnsi="arial"/>
          <w:sz w:val="20"/>
        </w:rPr>
      </w:pPr>
      <w:r>
        <w:rPr>
          <w:rFonts w:ascii="arial" w:hAnsi="arial"/>
          <w:sz w:val="20"/>
        </w:rPr>
        <w:t xml:space="preserve">We do not grant stock options, RSUs or bonuses to our non-management directors. In addition, we do not provide our non-management directors with retirement/pension benefits, healthcare coverage or perquisites.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As discussed later in this section, we require our directors to hold a minimum value of common shares and/or DSUs and our director compensation program encourages directors to invest in our company beyond their minimum ownership requirements.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Our directors have a mandatory equity component for their compensation. Approximately </w:t>
      </w:r>
      <w:r>
        <w:rPr>
          <w:rFonts w:ascii="Arial" w:hAnsi="Arial"/>
          <w:b/>
          <w:color w:val="B94831"/>
          <w:sz w:val="30"/>
        </w:rPr>
        <w:t>98%</w:t>
      </w:r>
      <w:r>
        <w:rPr>
          <w:rFonts w:ascii="arial" w:hAnsi="arial"/>
          <w:sz w:val="30"/>
        </w:rPr>
        <w:t xml:space="preserve"> of director compensation was paid in equity (DSUs or common shares) in 2022.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28"/>
        </w:rPr>
      </w:pPr>
      <w:r>
        <w:rPr>
          <w:rFonts w:ascii="arial" w:hAnsi="arial"/>
          <w:color w:val="B94831"/>
          <w:sz w:val="28"/>
        </w:rPr>
        <w:t xml:space="preserve">Components of Director Compensation </w:t>
      </w:r>
    </w:p>
    <w:p>
      <w:pPr>
        <w:pStyle w:val="TextBody"/>
        <w:spacing w:before="40" w:after="0"/>
        <w:jc w:val="left"/>
        <w:rPr>
          <w:rFonts w:ascii="arial" w:hAnsi="arial"/>
          <w:sz w:val="20"/>
        </w:rPr>
      </w:pPr>
      <w:r>
        <w:rPr>
          <w:rFonts w:ascii="arial" w:hAnsi="arial"/>
          <w:sz w:val="20"/>
        </w:rPr>
        <w:t xml:space="preserve">The table below sets forth the annual retainers that were payable to our non-management directors in 2022. Directors do not receive separate attendance or meeting fees. Chairs of the Boards standing committees receive additional fees given their increased responsibilities and workloads. Additional information regarding the different components of our director compensation structure is provided following this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94"/>
        <w:gridCol w:w="120"/>
        <w:gridCol w:w="6491"/>
      </w:tblGrid>
      <w:tr>
        <w:trPr/>
        <w:tc>
          <w:tcPr>
            <w:tcW w:w="3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49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594" w:type="dxa"/>
            <w:tcBorders/>
            <w:shd w:fill="auto" w:val="clear"/>
            <w:vAlign w:val="center"/>
          </w:tcPr>
          <w:p>
            <w:pPr>
              <w:pStyle w:val="TableContents"/>
              <w:spacing w:before="0" w:after="283"/>
              <w:rPr>
                <w:sz w:val="4"/>
                <w:szCs w:val="4"/>
              </w:rPr>
            </w:pPr>
            <w:r>
              <w:rPr>
                <w:sz w:val="4"/>
                <w:szCs w:val="4"/>
              </w:rPr>
            </w:r>
          </w:p>
        </w:tc>
        <w:tc>
          <w:tcPr>
            <w:tcW w:w="6611" w:type="dxa"/>
            <w:gridSpan w:val="2"/>
            <w:tcBorders/>
            <w:shd w:fill="262626" w:val="clear"/>
            <w:vAlign w:val="center"/>
          </w:tcPr>
          <w:p>
            <w:pPr>
              <w:pStyle w:val="TableContents"/>
              <w:spacing w:before="0" w:after="283"/>
              <w:rPr>
                <w:sz w:val="4"/>
                <w:szCs w:val="4"/>
              </w:rPr>
            </w:pPr>
            <w:r>
              <w:rPr>
                <w:sz w:val="4"/>
                <w:szCs w:val="4"/>
              </w:rPr>
            </w:r>
          </w:p>
        </w:tc>
      </w:tr>
      <w:tr>
        <w:trPr/>
        <w:tc>
          <w:tcPr>
            <w:tcW w:w="3594"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262626" w:val="clear"/>
            <w:tcMar>
              <w:bottom w:w="28" w:type="dxa"/>
            </w:tcMar>
            <w:vAlign w:val="bottom"/>
          </w:tcPr>
          <w:p>
            <w:pPr>
              <w:pStyle w:val="TableContents"/>
              <w:spacing w:before="0" w:after="283"/>
              <w:rPr/>
            </w:pPr>
            <w:r>
              <w:rPr/>
              <w:t>  </w:t>
            </w:r>
          </w:p>
        </w:tc>
        <w:tc>
          <w:tcPr>
            <w:tcW w:w="6491"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 ($)</w:t>
            </w:r>
          </w:p>
        </w:tc>
      </w:tr>
      <w:tr>
        <w:trPr/>
        <w:tc>
          <w:tcPr>
            <w:tcW w:w="3594"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Non-management directors1</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91" w:type="dxa"/>
            <w:tcBorders>
              <w:bottom w:val="single" w:sz="2" w:space="0" w:color="AFAFAF"/>
            </w:tcBorders>
            <w:shd w:fill="auto" w:val="clear"/>
            <w:tcMar>
              <w:bottom w:w="28" w:type="dxa"/>
            </w:tcMar>
            <w:vAlign w:val="bottom"/>
          </w:tcPr>
          <w:p>
            <w:pPr>
              <w:pStyle w:val="TableContents"/>
              <w:spacing w:before="0" w:after="283"/>
              <w:jc w:val="center"/>
              <w:rPr/>
            </w:pPr>
            <w:r>
              <w:rPr/>
              <w:t>225,000 (75,000 of which was required to be paid in deferred share units, or DSUs2)</w:t>
            </w:r>
          </w:p>
        </w:tc>
      </w:tr>
      <w:tr>
        <w:trPr/>
        <w:tc>
          <w:tcPr>
            <w:tcW w:w="3594"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Chairman of the Board</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91" w:type="dxa"/>
            <w:tcBorders>
              <w:bottom w:val="single" w:sz="2" w:space="0" w:color="AFAFAF"/>
            </w:tcBorders>
            <w:shd w:fill="auto" w:val="clear"/>
            <w:tcMar>
              <w:bottom w:w="28" w:type="dxa"/>
            </w:tcMar>
            <w:vAlign w:val="bottom"/>
          </w:tcPr>
          <w:p>
            <w:pPr>
              <w:pStyle w:val="TableContents"/>
              <w:spacing w:before="0" w:after="283"/>
              <w:jc w:val="center"/>
              <w:rPr/>
            </w:pPr>
            <w:r>
              <w:rPr/>
              <w:t>600,000</w:t>
            </w:r>
          </w:p>
        </w:tc>
      </w:tr>
      <w:tr>
        <w:trPr/>
        <w:tc>
          <w:tcPr>
            <w:tcW w:w="3594"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Additional retainers</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9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3594"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Deputy Chairman of the Board</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91" w:type="dxa"/>
            <w:tcBorders>
              <w:bottom w:val="single" w:sz="2" w:space="0" w:color="AFAFAF"/>
            </w:tcBorders>
            <w:shd w:fill="auto" w:val="clear"/>
            <w:tcMar>
              <w:bottom w:w="28" w:type="dxa"/>
            </w:tcMar>
            <w:vAlign w:val="bottom"/>
          </w:tcPr>
          <w:p>
            <w:pPr>
              <w:pStyle w:val="TableContents"/>
              <w:spacing w:before="0" w:after="283"/>
              <w:jc w:val="center"/>
              <w:rPr/>
            </w:pPr>
            <w:r>
              <w:rPr/>
              <w:t>150,000 (paid in DSUs)</w:t>
            </w:r>
          </w:p>
        </w:tc>
      </w:tr>
      <w:tr>
        <w:trPr/>
        <w:tc>
          <w:tcPr>
            <w:tcW w:w="3594"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Lead Independent Director</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91" w:type="dxa"/>
            <w:tcBorders>
              <w:bottom w:val="single" w:sz="2" w:space="0" w:color="AFAFAF"/>
            </w:tcBorders>
            <w:shd w:fill="auto" w:val="clear"/>
            <w:tcMar>
              <w:bottom w:w="28" w:type="dxa"/>
            </w:tcMar>
            <w:vAlign w:val="bottom"/>
          </w:tcPr>
          <w:p>
            <w:pPr>
              <w:pStyle w:val="TableContents"/>
              <w:spacing w:before="0" w:after="283"/>
              <w:jc w:val="center"/>
              <w:rPr/>
            </w:pPr>
            <w:r>
              <w:rPr/>
              <w:t>150,000 (paid in DSUs)</w:t>
            </w:r>
          </w:p>
        </w:tc>
      </w:tr>
      <w:tr>
        <w:trPr/>
        <w:tc>
          <w:tcPr>
            <w:tcW w:w="3594" w:type="dxa"/>
            <w:tcBorders>
              <w:bottom w:val="single" w:sz="8" w:space="0" w:color="B94831"/>
            </w:tcBorders>
            <w:shd w:fill="auto" w:val="clear"/>
            <w:tcMar>
              <w:bottom w:w="28" w:type="dxa"/>
            </w:tcMar>
          </w:tcPr>
          <w:p>
            <w:pPr>
              <w:pStyle w:val="TableContents"/>
              <w:spacing w:before="0" w:after="0"/>
              <w:rPr/>
            </w:pPr>
            <w:r>
              <w:rPr/>
              <w:t>   </w:t>
            </w:r>
            <w:r>
              <w:rPr>
                <w:rFonts w:ascii="Arial" w:hAnsi="Arial"/>
                <w:b/>
                <w:sz w:val="16"/>
              </w:rPr>
              <w:t>Committee chairs  Audit, Corporate Governance, HR and Risk</w:t>
            </w:r>
          </w:p>
        </w:tc>
        <w:tc>
          <w:tcPr>
            <w:tcW w:w="12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491" w:type="dxa"/>
            <w:tcBorders>
              <w:bottom w:val="single" w:sz="8" w:space="0" w:color="B94831"/>
            </w:tcBorders>
            <w:shd w:fill="auto" w:val="clear"/>
            <w:tcMar>
              <w:bottom w:w="28" w:type="dxa"/>
            </w:tcMar>
            <w:vAlign w:val="bottom"/>
          </w:tcPr>
          <w:p>
            <w:pPr>
              <w:pStyle w:val="TableContents"/>
              <w:spacing w:before="0" w:after="283"/>
              <w:jc w:val="center"/>
              <w:rPr/>
            </w:pPr>
            <w:r>
              <w:rPr/>
              <w:t>50,000 (paid in DSUs)</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Directors other than the Chairman.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Effective January 1, 2023, $112,500 is required to be paid in DSUs. </w:t>
            </w:r>
          </w:p>
        </w:tc>
      </w:tr>
    </w:tbl>
    <w:p>
      <w:pPr>
        <w:pStyle w:val="TextBody"/>
        <w:spacing w:before="120" w:after="0"/>
        <w:jc w:val="left"/>
        <w:rPr>
          <w:rFonts w:ascii="arial" w:hAnsi="arial"/>
          <w:color w:val="B94831"/>
          <w:sz w:val="28"/>
        </w:rPr>
      </w:pPr>
      <w:r>
        <w:rPr>
          <w:rFonts w:ascii="arial" w:hAnsi="arial"/>
          <w:color w:val="B94831"/>
          <w:sz w:val="28"/>
        </w:rPr>
        <w:t xml:space="preserve">Retainers / Mandatory Equity Component </w:t>
      </w:r>
    </w:p>
    <w:p>
      <w:pPr>
        <w:pStyle w:val="TextBody"/>
        <w:spacing w:before="40" w:after="0"/>
        <w:jc w:val="left"/>
        <w:rPr>
          <w:rFonts w:ascii="arial" w:hAnsi="arial"/>
          <w:sz w:val="20"/>
        </w:rPr>
      </w:pPr>
      <w:r>
        <w:rPr>
          <w:rFonts w:ascii="arial" w:hAnsi="arial"/>
          <w:sz w:val="20"/>
        </w:rPr>
        <w:t xml:space="preserve">In 2022, we required a minimum of $75,000 of each non-management directors $225,000 annual retainer to be paid in equity in the form of DSUs (payable quarterly). Our non-management directors then elect to receive the remaining $150,000 of their annual retainer in the form of DSUs, common shares or cash (or a mix thereof  payable quarterly). In November 2022, the Corporate Governance Committee decided to increase the amount of the annual retainer that is required to be paid in equity in the form of DSUs from 33% to 50% effective January 1, 2023. </w:t>
      </w:r>
    </w:p>
    <w:p>
      <w:pPr>
        <w:pStyle w:val="TextBody"/>
        <w:spacing w:before="120" w:after="0"/>
        <w:jc w:val="left"/>
        <w:rPr>
          <w:rFonts w:ascii="arial" w:hAnsi="arial"/>
          <w:color w:val="B94831"/>
          <w:sz w:val="28"/>
        </w:rPr>
      </w:pPr>
      <w:r>
        <w:rPr>
          <w:rFonts w:ascii="arial" w:hAnsi="arial"/>
          <w:color w:val="B94831"/>
          <w:sz w:val="28"/>
        </w:rPr>
        <w:t xml:space="preserve">DSUs </w:t>
      </w:r>
    </w:p>
    <w:p>
      <w:pPr>
        <w:pStyle w:val="TextBody"/>
        <w:spacing w:before="40" w:after="0"/>
        <w:jc w:val="left"/>
        <w:rPr>
          <w:rFonts w:ascii="arial" w:hAnsi="arial"/>
          <w:sz w:val="20"/>
        </w:rPr>
      </w:pPr>
      <w:r>
        <w:rPr>
          <w:rFonts w:ascii="arial" w:hAnsi="arial"/>
          <w:sz w:val="20"/>
        </w:rPr>
        <w:t xml:space="preserve">Each DSU has the same value as one common share, though DSUs do not have voting rights. DSUs are not performance-based units. If a director elects to receive DSUs, units representing the value of common shares are credited to the directors account. DSUs accumulate additional units based on notional equivalents of dividends paid on our common shares. DSUs are fully vested upon grant, but they are only settled in common shares or, at the election of our company, in cash, following termination of the directors Board service. Any common shares delivered to a director in connection with the settlement of DSUs are purchased in the open market. </w:t>
      </w:r>
    </w:p>
    <w:p>
      <w:pPr>
        <w:pStyle w:val="TextBody"/>
        <w:spacing w:before="120" w:after="0"/>
        <w:jc w:val="left"/>
        <w:rPr>
          <w:rFonts w:ascii="arial" w:hAnsi="arial"/>
          <w:color w:val="B94831"/>
          <w:sz w:val="28"/>
        </w:rPr>
      </w:pPr>
      <w:r>
        <w:rPr>
          <w:rFonts w:ascii="arial" w:hAnsi="arial"/>
          <w:color w:val="B94831"/>
          <w:sz w:val="28"/>
        </w:rPr>
        <w:t xml:space="preserve">Common Shares </w:t>
      </w:r>
    </w:p>
    <w:p>
      <w:pPr>
        <w:pStyle w:val="TextBody"/>
        <w:spacing w:before="40" w:after="0"/>
        <w:jc w:val="left"/>
        <w:rPr>
          <w:rFonts w:ascii="arial" w:hAnsi="arial"/>
          <w:sz w:val="20"/>
        </w:rPr>
      </w:pPr>
      <w:r>
        <w:rPr>
          <w:rFonts w:ascii="arial" w:hAnsi="arial"/>
          <w:sz w:val="20"/>
        </w:rPr>
        <w:t xml:space="preserve">If a director elects to receive common shares, the cash amount (net of withholding taxes) is provided to our broker who uses such amount to buy shares in the open market. </w:t>
      </w:r>
    </w:p>
    <w:p>
      <w:pPr>
        <w:pStyle w:val="TextBody"/>
        <w:spacing w:before="120" w:after="0"/>
        <w:jc w:val="left"/>
        <w:rPr>
          <w:rFonts w:ascii="arial" w:hAnsi="arial"/>
          <w:color w:val="B94831"/>
          <w:sz w:val="28"/>
        </w:rPr>
      </w:pPr>
      <w:r>
        <w:rPr>
          <w:rFonts w:ascii="arial" w:hAnsi="arial"/>
          <w:color w:val="B94831"/>
          <w:sz w:val="28"/>
        </w:rPr>
        <w:t xml:space="preserve">Committee Fees </w:t>
      </w:r>
    </w:p>
    <w:p>
      <w:pPr>
        <w:pStyle w:val="TextBody"/>
        <w:spacing w:before="40" w:after="0"/>
        <w:jc w:val="left"/>
        <w:rPr>
          <w:rFonts w:ascii="arial" w:hAnsi="arial"/>
          <w:sz w:val="20"/>
        </w:rPr>
      </w:pPr>
      <w:r>
        <w:rPr>
          <w:rFonts w:ascii="arial" w:hAnsi="arial"/>
          <w:sz w:val="20"/>
        </w:rPr>
        <w:t xml:space="preserve">Committee chair fees, which are payable entirely in DSUs, are reflected in the table above. </w:t>
      </w:r>
    </w:p>
    <w:p>
      <w:pPr>
        <w:pStyle w:val="TextBody"/>
        <w:spacing w:before="120" w:after="0"/>
        <w:jc w:val="left"/>
        <w:rPr>
          <w:rFonts w:ascii="arial" w:hAnsi="arial"/>
          <w:color w:val="B94831"/>
          <w:sz w:val="28"/>
        </w:rPr>
      </w:pPr>
      <w:r>
        <w:rPr>
          <w:rFonts w:ascii="arial" w:hAnsi="arial"/>
          <w:color w:val="B94831"/>
          <w:sz w:val="28"/>
        </w:rPr>
        <w:t xml:space="preserve">Chairman and Deputy Chairman Retainer </w:t>
      </w:r>
    </w:p>
    <w:p>
      <w:pPr>
        <w:pStyle w:val="TextBody"/>
        <w:spacing w:before="40" w:after="0"/>
        <w:jc w:val="left"/>
        <w:rPr>
          <w:rFonts w:ascii="arial" w:hAnsi="arial"/>
          <w:sz w:val="20"/>
        </w:rPr>
      </w:pPr>
      <w:r>
        <w:rPr>
          <w:rFonts w:ascii="arial" w:hAnsi="arial"/>
          <w:sz w:val="20"/>
        </w:rPr>
        <w:t xml:space="preserve">The Chairmans annual retainer is $600,000. The Deputy Chairmans annual retainer is $150,000, which is payable entirely in DSUs. The Deputy Chairman also receives the same $225,000 annual retainer paid to other non-management directors. Additional information about the Chairman and the Deputy Chairman is provided later in the Corporate Governance Practices section of this circular. </w:t>
      </w:r>
    </w:p>
    <w:p>
      <w:pPr>
        <w:pStyle w:val="TextBody"/>
        <w:spacing w:before="120" w:after="0"/>
        <w:jc w:val="left"/>
        <w:rPr>
          <w:rFonts w:ascii="arial" w:hAnsi="arial"/>
          <w:color w:val="B94831"/>
          <w:sz w:val="28"/>
        </w:rPr>
      </w:pPr>
      <w:r>
        <w:rPr>
          <w:rFonts w:ascii="arial" w:hAnsi="arial"/>
          <w:color w:val="B94831"/>
          <w:sz w:val="28"/>
        </w:rPr>
        <w:t xml:space="preserve">Lead Independent Director Retainer </w:t>
      </w:r>
    </w:p>
    <w:p>
      <w:pPr>
        <w:pStyle w:val="TextBody"/>
        <w:spacing w:before="40" w:after="0"/>
        <w:jc w:val="left"/>
        <w:rPr>
          <w:rFonts w:ascii="arial" w:hAnsi="arial"/>
          <w:sz w:val="20"/>
        </w:rPr>
      </w:pPr>
      <w:r>
        <w:rPr>
          <w:rFonts w:ascii="arial" w:hAnsi="arial"/>
          <w:sz w:val="20"/>
        </w:rPr>
        <w:t xml:space="preserve">The Lead Independent Directors annual retainer is $150,000, which is payable entirely in DSUs. The Lead Independent Director also receives the same annual $225,000 retainer paid to other non-management directors. Additional information about the Lead Independent Director is provided later in the Corporate Governance Practices section of this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38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Benchmarking Director Compensation </w:t>
      </w:r>
    </w:p>
    <w:p>
      <w:pPr>
        <w:pStyle w:val="TextBody"/>
        <w:spacing w:before="40" w:after="0"/>
        <w:jc w:val="left"/>
        <w:rPr>
          <w:rFonts w:ascii="arial" w:hAnsi="arial"/>
          <w:sz w:val="20"/>
        </w:rPr>
      </w:pPr>
      <w:r>
        <w:rPr>
          <w:rFonts w:ascii="arial" w:hAnsi="arial"/>
          <w:sz w:val="20"/>
        </w:rPr>
        <w:t xml:space="preserve">In setting 2022 director compensation, the Corporate Governance Committee evaluated publicly available data related to director compensation paid by the same global peer group of companies utilized by the HR Committee for executive compensation benchmarking purposes. </w:t>
      </w:r>
    </w:p>
    <w:p>
      <w:pPr>
        <w:pStyle w:val="TextBody"/>
        <w:spacing w:before="120" w:after="0"/>
        <w:jc w:val="left"/>
        <w:rPr>
          <w:rFonts w:ascii="arial" w:hAnsi="arial"/>
          <w:sz w:val="20"/>
        </w:rPr>
      </w:pPr>
      <w:r>
        <w:rPr>
          <w:rFonts w:ascii="arial" w:hAnsi="arial"/>
          <w:sz w:val="20"/>
        </w:rPr>
        <w:t xml:space="preserve">In its most recent benchmarking review in November 2022, the Corporate Governance Committee reviewed director compensation at the following companies in Thomson Reuters global peer group for executive compensation purposes. As part of its review, the Corporate Governance Committee evaluated data for North American-based companies in the peer group as Thomson Reuters is headquartered in Canada and most of its directors reside in Canada or the United States. The Corporate Governance Committee also acknowledged that director compensation for U.S. companies is generally higher than Canadian companies.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0"/>
        <w:gridCol w:w="120"/>
        <w:gridCol w:w="3201"/>
        <w:gridCol w:w="120"/>
        <w:gridCol w:w="3304"/>
      </w:tblGrid>
      <w:tr>
        <w:trPr/>
        <w:tc>
          <w:tcPr>
            <w:tcW w:w="3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04" w:type="dxa"/>
            <w:tcBorders/>
            <w:shd w:fill="auto" w:val="clear"/>
            <w:vAlign w:val="center"/>
          </w:tcPr>
          <w:p>
            <w:pPr>
              <w:pStyle w:val="TableContents"/>
              <w:spacing w:before="0" w:after="283"/>
              <w:rPr>
                <w:sz w:val="4"/>
                <w:szCs w:val="4"/>
              </w:rPr>
            </w:pPr>
            <w:r>
              <w:rPr>
                <w:sz w:val="4"/>
                <w:szCs w:val="4"/>
              </w:rPr>
            </w:r>
          </w:p>
        </w:tc>
      </w:tr>
      <w:tr>
        <w:trPr/>
        <w:tc>
          <w:tcPr>
            <w:tcW w:w="3460" w:type="dxa"/>
            <w:tcBorders>
              <w:top w:val="single" w:sz="8" w:space="0" w:color="B94831"/>
              <w:bottom w:val="single" w:sz="8" w:space="0" w:color="B94831"/>
            </w:tcBorders>
            <w:shd w:fill="auto" w:val="clear"/>
            <w:tcMar>
              <w:top w:w="28" w:type="dxa"/>
              <w:bottom w:w="28" w:type="dxa"/>
            </w:tcMar>
          </w:tcPr>
          <w:p>
            <w:pPr>
              <w:pStyle w:val="TableContents"/>
              <w:spacing w:before="0" w:after="0"/>
              <w:rPr>
                <w:rFonts w:ascii="arial" w:hAnsi="arial"/>
                <w:sz w:val="18"/>
              </w:rPr>
            </w:pPr>
            <w:r>
              <w:rPr>
                <w:rFonts w:ascii="arial" w:hAnsi="arial"/>
                <w:sz w:val="18"/>
              </w:rPr>
              <w:t>Automatic Data Processing Inc.</w:t>
            </w:r>
          </w:p>
          <w:p>
            <w:pPr>
              <w:pStyle w:val="TableContents"/>
              <w:spacing w:before="0" w:after="0"/>
              <w:rPr>
                <w:rFonts w:ascii="arial" w:hAnsi="arial"/>
                <w:sz w:val="18"/>
              </w:rPr>
            </w:pPr>
            <w:r>
              <w:rPr>
                <w:rFonts w:ascii="arial" w:hAnsi="arial"/>
                <w:sz w:val="18"/>
              </w:rPr>
              <w:t>CGI Group Inc.</w:t>
            </w:r>
          </w:p>
          <w:p>
            <w:pPr>
              <w:pStyle w:val="TableContents"/>
              <w:spacing w:before="0" w:after="0"/>
              <w:rPr>
                <w:rFonts w:ascii="arial" w:hAnsi="arial"/>
                <w:sz w:val="18"/>
              </w:rPr>
            </w:pPr>
            <w:r>
              <w:rPr>
                <w:rFonts w:ascii="arial" w:hAnsi="arial"/>
                <w:sz w:val="18"/>
              </w:rPr>
              <w:t>eBay Inc.</w:t>
            </w:r>
          </w:p>
          <w:p>
            <w:pPr>
              <w:pStyle w:val="TableContents"/>
              <w:spacing w:before="0" w:after="0"/>
              <w:rPr>
                <w:rFonts w:ascii="arial" w:hAnsi="arial"/>
                <w:sz w:val="18"/>
              </w:rPr>
            </w:pPr>
            <w:r>
              <w:rPr>
                <w:rFonts w:ascii="arial" w:hAnsi="arial"/>
                <w:sz w:val="18"/>
              </w:rPr>
              <w:t>Equifax Inc.</w:t>
            </w:r>
          </w:p>
          <w:p>
            <w:pPr>
              <w:pStyle w:val="TableContents"/>
              <w:spacing w:before="0" w:after="0"/>
              <w:rPr>
                <w:rFonts w:ascii="arial" w:hAnsi="arial"/>
                <w:sz w:val="18"/>
              </w:rPr>
            </w:pPr>
            <w:r>
              <w:rPr>
                <w:rFonts w:ascii="arial" w:hAnsi="arial"/>
                <w:sz w:val="18"/>
              </w:rPr>
              <w:t>Experian Plc</w:t>
            </w:r>
          </w:p>
          <w:p>
            <w:pPr>
              <w:pStyle w:val="TableContents"/>
              <w:spacing w:before="0" w:after="20"/>
              <w:rPr>
                <w:rFonts w:ascii="arial" w:hAnsi="arial"/>
                <w:sz w:val="18"/>
              </w:rPr>
            </w:pPr>
            <w:r>
              <w:rPr>
                <w:rFonts w:ascii="arial" w:hAnsi="arial"/>
                <w:sz w:val="18"/>
              </w:rPr>
              <w:t>Gartner Inc.</w:t>
            </w:r>
          </w:p>
        </w:tc>
        <w:tc>
          <w:tcPr>
            <w:tcW w:w="120" w:type="dxa"/>
            <w:tcBorders>
              <w:top w:val="single" w:sz="8" w:space="0" w:color="B94831"/>
              <w:bottom w:val="single" w:sz="8" w:space="0" w:color="B94831"/>
            </w:tcBorders>
            <w:shd w:fill="auto" w:val="clear"/>
            <w:tcMar>
              <w:top w:w="28" w:type="dxa"/>
              <w:bottom w:w="28" w:type="dxa"/>
            </w:tcMar>
            <w:vAlign w:val="bottom"/>
          </w:tcPr>
          <w:p>
            <w:pPr>
              <w:pStyle w:val="TableContents"/>
              <w:spacing w:before="0" w:after="283"/>
              <w:rPr/>
            </w:pPr>
            <w:r>
              <w:rPr/>
              <w:t>  </w:t>
            </w:r>
          </w:p>
        </w:tc>
        <w:tc>
          <w:tcPr>
            <w:tcW w:w="3201" w:type="dxa"/>
            <w:tcBorders>
              <w:top w:val="single" w:sz="8" w:space="0" w:color="B94831"/>
              <w:bottom w:val="single" w:sz="8" w:space="0" w:color="B94831"/>
            </w:tcBorders>
            <w:shd w:fill="auto" w:val="clear"/>
            <w:tcMar>
              <w:top w:w="28" w:type="dxa"/>
              <w:bottom w:w="28" w:type="dxa"/>
            </w:tcMar>
          </w:tcPr>
          <w:p>
            <w:pPr>
              <w:pStyle w:val="TableContents"/>
              <w:spacing w:before="0" w:after="0"/>
              <w:rPr>
                <w:rFonts w:ascii="arial" w:hAnsi="arial"/>
                <w:sz w:val="18"/>
              </w:rPr>
            </w:pPr>
            <w:r>
              <w:rPr>
                <w:rFonts w:ascii="arial" w:hAnsi="arial"/>
                <w:sz w:val="18"/>
              </w:rPr>
              <w:t>The Interpublic Group of Companies, Inc.</w:t>
            </w:r>
          </w:p>
          <w:p>
            <w:pPr>
              <w:pStyle w:val="TableContents"/>
              <w:spacing w:before="0" w:after="0"/>
              <w:rPr>
                <w:rFonts w:ascii="arial" w:hAnsi="arial"/>
                <w:sz w:val="18"/>
              </w:rPr>
            </w:pPr>
            <w:r>
              <w:rPr>
                <w:rFonts w:ascii="arial" w:hAnsi="arial"/>
                <w:sz w:val="18"/>
              </w:rPr>
              <w:t>Intuit Inc.</w:t>
            </w:r>
          </w:p>
          <w:p>
            <w:pPr>
              <w:pStyle w:val="TableContents"/>
              <w:spacing w:before="0" w:after="0"/>
              <w:rPr>
                <w:rFonts w:ascii="arial" w:hAnsi="arial"/>
                <w:sz w:val="18"/>
              </w:rPr>
            </w:pPr>
            <w:r>
              <w:rPr>
                <w:rFonts w:ascii="arial" w:hAnsi="arial"/>
                <w:sz w:val="18"/>
              </w:rPr>
              <w:t>Moodys Corp.</w:t>
            </w:r>
          </w:p>
          <w:p>
            <w:pPr>
              <w:pStyle w:val="TableContents"/>
              <w:spacing w:before="0" w:after="0"/>
              <w:rPr>
                <w:rFonts w:ascii="arial" w:hAnsi="arial"/>
                <w:sz w:val="18"/>
              </w:rPr>
            </w:pPr>
            <w:r>
              <w:rPr>
                <w:rFonts w:ascii="arial" w:hAnsi="arial"/>
                <w:sz w:val="18"/>
              </w:rPr>
              <w:t>Nielsen Holdings plc</w:t>
            </w:r>
          </w:p>
          <w:p>
            <w:pPr>
              <w:pStyle w:val="TableContents"/>
              <w:spacing w:before="0" w:after="0"/>
              <w:rPr>
                <w:rFonts w:ascii="arial" w:hAnsi="arial"/>
                <w:sz w:val="18"/>
              </w:rPr>
            </w:pPr>
            <w:r>
              <w:rPr>
                <w:rFonts w:ascii="arial" w:hAnsi="arial"/>
                <w:sz w:val="18"/>
              </w:rPr>
              <w:t>Omnicom Group Inc.</w:t>
            </w:r>
          </w:p>
          <w:p>
            <w:pPr>
              <w:pStyle w:val="TableContents"/>
              <w:spacing w:before="0" w:after="20"/>
              <w:rPr>
                <w:rFonts w:ascii="arial" w:hAnsi="arial"/>
                <w:sz w:val="18"/>
              </w:rPr>
            </w:pPr>
            <w:r>
              <w:rPr>
                <w:rFonts w:ascii="arial" w:hAnsi="arial"/>
                <w:sz w:val="18"/>
              </w:rPr>
              <w:t>RELX PLC</w:t>
            </w:r>
          </w:p>
        </w:tc>
        <w:tc>
          <w:tcPr>
            <w:tcW w:w="120" w:type="dxa"/>
            <w:tcBorders>
              <w:top w:val="single" w:sz="8" w:space="0" w:color="B94831"/>
              <w:bottom w:val="single" w:sz="8" w:space="0" w:color="B94831"/>
            </w:tcBorders>
            <w:shd w:fill="auto" w:val="clear"/>
            <w:tcMar>
              <w:top w:w="28" w:type="dxa"/>
              <w:bottom w:w="28" w:type="dxa"/>
            </w:tcMar>
            <w:vAlign w:val="bottom"/>
          </w:tcPr>
          <w:p>
            <w:pPr>
              <w:pStyle w:val="TableContents"/>
              <w:spacing w:before="0" w:after="283"/>
              <w:rPr/>
            </w:pPr>
            <w:r>
              <w:rPr/>
              <w:t>  </w:t>
            </w:r>
          </w:p>
        </w:tc>
        <w:tc>
          <w:tcPr>
            <w:tcW w:w="3304" w:type="dxa"/>
            <w:tcBorders>
              <w:top w:val="single" w:sz="8" w:space="0" w:color="B94831"/>
              <w:bottom w:val="single" w:sz="8" w:space="0" w:color="B94831"/>
            </w:tcBorders>
            <w:shd w:fill="auto" w:val="clear"/>
            <w:tcMar>
              <w:top w:w="28" w:type="dxa"/>
              <w:bottom w:w="28" w:type="dxa"/>
            </w:tcMar>
          </w:tcPr>
          <w:p>
            <w:pPr>
              <w:pStyle w:val="TableContents"/>
              <w:spacing w:before="0" w:after="0"/>
              <w:rPr/>
            </w:pPr>
            <w:r>
              <w:rPr/>
              <w:t>              </w:t>
            </w:r>
            <w:r>
              <w:rPr>
                <w:rFonts w:ascii="arial" w:hAnsi="arial"/>
                <w:sz w:val="18"/>
              </w:rPr>
              <w:t>S&amp;P Global Inc.</w:t>
            </w:r>
          </w:p>
          <w:p>
            <w:pPr>
              <w:pStyle w:val="TableContents"/>
              <w:spacing w:before="0" w:after="0"/>
              <w:rPr/>
            </w:pPr>
            <w:r>
              <w:rPr/>
              <w:t>              </w:t>
            </w:r>
            <w:r>
              <w:rPr>
                <w:rFonts w:ascii="arial" w:hAnsi="arial"/>
                <w:sz w:val="18"/>
              </w:rPr>
              <w:t>TransUnion</w:t>
            </w:r>
          </w:p>
          <w:p>
            <w:pPr>
              <w:pStyle w:val="TableContents"/>
              <w:spacing w:before="0" w:after="0"/>
              <w:rPr/>
            </w:pPr>
            <w:r>
              <w:rPr/>
              <w:t>              </w:t>
            </w:r>
            <w:r>
              <w:rPr>
                <w:rFonts w:ascii="arial" w:hAnsi="arial"/>
                <w:sz w:val="18"/>
              </w:rPr>
              <w:t>Verisk Analytics, Inc.</w:t>
            </w:r>
          </w:p>
          <w:p>
            <w:pPr>
              <w:pStyle w:val="TableContents"/>
              <w:spacing w:before="0" w:after="20"/>
              <w:rPr/>
            </w:pPr>
            <w:r>
              <w:rPr/>
              <w:t>              </w:t>
            </w:r>
            <w:r>
              <w:rPr>
                <w:rFonts w:ascii="arial" w:hAnsi="arial"/>
                <w:sz w:val="18"/>
              </w:rPr>
              <w:t>Wolters Kluwer NV</w:t>
            </w:r>
          </w:p>
        </w:tc>
      </w:tr>
    </w:tbl>
    <w:p>
      <w:pPr>
        <w:pStyle w:val="TextBody"/>
        <w:spacing w:before="120" w:after="0"/>
        <w:jc w:val="left"/>
        <w:rPr>
          <w:rFonts w:ascii="arial" w:hAnsi="arial"/>
          <w:color w:val="B94831"/>
          <w:sz w:val="28"/>
        </w:rPr>
      </w:pPr>
      <w:r>
        <w:rPr>
          <w:rFonts w:ascii="arial" w:hAnsi="arial"/>
          <w:color w:val="B94831"/>
          <w:sz w:val="28"/>
        </w:rPr>
        <w:t xml:space="preserve">Total Director Compensation </w:t>
      </w:r>
    </w:p>
    <w:p>
      <w:pPr>
        <w:pStyle w:val="TextBody"/>
        <w:spacing w:before="40" w:after="0"/>
        <w:jc w:val="left"/>
        <w:rPr>
          <w:rFonts w:ascii="arial" w:hAnsi="arial"/>
          <w:sz w:val="20"/>
        </w:rPr>
      </w:pPr>
      <w:r>
        <w:rPr>
          <w:rFonts w:ascii="arial" w:hAnsi="arial"/>
          <w:sz w:val="20"/>
        </w:rPr>
        <w:t xml:space="preserve">The table below reflects compensation earned by our directors in 2022. Approximately 98% of 2022 director compensation was paid in DSUs and common shares. </w:t>
      </w:r>
    </w:p>
    <w:p>
      <w:pPr>
        <w:pStyle w:val="TextBody"/>
        <w:spacing w:before="120" w:after="0"/>
        <w:jc w:val="left"/>
        <w:rPr>
          <w:rFonts w:ascii="arial" w:hAnsi="arial"/>
          <w:sz w:val="20"/>
        </w:rPr>
      </w:pPr>
      <w:r>
        <w:rPr>
          <w:rFonts w:ascii="arial" w:hAnsi="arial"/>
          <w:sz w:val="20"/>
        </w:rPr>
        <w:t xml:space="preserve">As President and CEO of Thomson Reuters, Steve Hasker does not receive compensation for his service as a director. We discuss aspects of Steve Haskers compensation in the Compensation Discussion and Analysis section of this circular.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85"/>
        <w:gridCol w:w="155"/>
        <w:gridCol w:w="760"/>
        <w:gridCol w:w="184"/>
        <w:gridCol w:w="60"/>
        <w:gridCol w:w="1087"/>
        <w:gridCol w:w="135"/>
        <w:gridCol w:w="184"/>
        <w:gridCol w:w="1957"/>
        <w:gridCol w:w="155"/>
        <w:gridCol w:w="2072"/>
        <w:gridCol w:w="183"/>
        <w:gridCol w:w="60"/>
        <w:gridCol w:w="1087"/>
        <w:gridCol w:w="141"/>
      </w:tblGrid>
      <w:tr>
        <w:trPr/>
        <w:tc>
          <w:tcPr>
            <w:tcW w:w="19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985" w:type="dxa"/>
            <w:tcBorders/>
            <w:shd w:fill="auto" w:val="clear"/>
            <w:vAlign w:val="center"/>
          </w:tcPr>
          <w:p>
            <w:pPr>
              <w:pStyle w:val="TableContents"/>
              <w:spacing w:before="0" w:after="283"/>
              <w:rPr>
                <w:sz w:val="4"/>
                <w:szCs w:val="4"/>
              </w:rPr>
            </w:pPr>
            <w:r>
              <w:rPr>
                <w:sz w:val="4"/>
                <w:szCs w:val="4"/>
              </w:rPr>
            </w:r>
          </w:p>
        </w:tc>
        <w:tc>
          <w:tcPr>
            <w:tcW w:w="8220" w:type="dxa"/>
            <w:gridSpan w:val="14"/>
            <w:tcBorders/>
            <w:shd w:fill="BFBFBF" w:val="clear"/>
            <w:vAlign w:val="center"/>
          </w:tcPr>
          <w:p>
            <w:pPr>
              <w:pStyle w:val="TableContents"/>
              <w:spacing w:before="0" w:after="283"/>
              <w:rPr>
                <w:sz w:val="4"/>
                <w:szCs w:val="4"/>
              </w:rPr>
            </w:pPr>
            <w:r>
              <w:rPr>
                <w:sz w:val="4"/>
                <w:szCs w:val="4"/>
              </w:rPr>
            </w:r>
          </w:p>
        </w:tc>
      </w:tr>
      <w:tr>
        <w:trPr/>
        <w:tc>
          <w:tcPr>
            <w:tcW w:w="1985" w:type="dxa"/>
            <w:tcBorders/>
            <w:shd w:fill="auto" w:val="clear"/>
            <w:vAlign w:val="bottom"/>
          </w:tcPr>
          <w:p>
            <w:pPr>
              <w:pStyle w:val="TableContents"/>
              <w:spacing w:before="0" w:after="283"/>
              <w:rPr/>
            </w:pPr>
            <w:r>
              <w:rPr/>
              <w:t> </w:t>
            </w:r>
          </w:p>
        </w:tc>
        <w:tc>
          <w:tcPr>
            <w:tcW w:w="155" w:type="dxa"/>
            <w:tcBorders/>
            <w:shd w:fill="BFBFBF" w:val="clear"/>
            <w:vAlign w:val="bottom"/>
          </w:tcPr>
          <w:p>
            <w:pPr>
              <w:pStyle w:val="TableContents"/>
              <w:spacing w:before="0" w:after="283"/>
              <w:rPr/>
            </w:pPr>
            <w:r>
              <w:rPr/>
              <w:t>  </w:t>
            </w:r>
          </w:p>
        </w:tc>
        <w:tc>
          <w:tcPr>
            <w:tcW w:w="7924" w:type="dxa"/>
            <w:gridSpan w:val="12"/>
            <w:tcBorders/>
            <w:shd w:fill="BFBFBF" w:val="clear"/>
            <w:vAlign w:val="bottom"/>
          </w:tcPr>
          <w:p>
            <w:pPr>
              <w:pStyle w:val="TableContents"/>
              <w:spacing w:before="0" w:after="283"/>
              <w:jc w:val="center"/>
              <w:rPr>
                <w:rFonts w:ascii="Arial" w:hAnsi="Arial"/>
                <w:b/>
              </w:rPr>
            </w:pPr>
            <w:r>
              <w:rPr>
                <w:rFonts w:ascii="Arial" w:hAnsi="Arial"/>
                <w:b/>
              </w:rPr>
              <w:t>Fees Earned ($)</w:t>
            </w:r>
          </w:p>
        </w:tc>
        <w:tc>
          <w:tcPr>
            <w:tcW w:w="141" w:type="dxa"/>
            <w:tcBorders/>
            <w:shd w:fill="BFBFBF" w:val="clear"/>
            <w:vAlign w:val="bottom"/>
          </w:tcPr>
          <w:p>
            <w:pPr>
              <w:pStyle w:val="TableContents"/>
              <w:spacing w:before="0" w:after="283"/>
              <w:rPr/>
            </w:pPr>
            <w:r>
              <w:rPr/>
              <w:t> </w:t>
            </w:r>
          </w:p>
        </w:tc>
      </w:tr>
      <w:tr>
        <w:trPr>
          <w:trHeight w:val="30" w:hRule="atLeast"/>
        </w:trPr>
        <w:tc>
          <w:tcPr>
            <w:tcW w:w="1985" w:type="dxa"/>
            <w:tcBorders/>
            <w:shd w:fill="262626" w:val="clear"/>
            <w:vAlign w:val="center"/>
          </w:tcPr>
          <w:p>
            <w:pPr>
              <w:pStyle w:val="TableContents"/>
              <w:spacing w:before="0" w:after="283"/>
              <w:rPr>
                <w:sz w:val="4"/>
                <w:szCs w:val="4"/>
              </w:rPr>
            </w:pPr>
            <w:r>
              <w:rPr>
                <w:sz w:val="4"/>
                <w:szCs w:val="4"/>
              </w:rPr>
            </w:r>
          </w:p>
        </w:tc>
        <w:tc>
          <w:tcPr>
            <w:tcW w:w="915"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466"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2141"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227"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471"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985" w:type="dxa"/>
            <w:tcBorders>
              <w:bottom w:val="single" w:sz="8" w:space="0" w:color="B94831"/>
            </w:tcBorders>
            <w:shd w:fill="262626" w:val="clear"/>
            <w:tcMar>
              <w:bottom w:w="28" w:type="dxa"/>
            </w:tcMar>
          </w:tcPr>
          <w:p>
            <w:pPr>
              <w:pStyle w:val="TableContents"/>
              <w:spacing w:before="0" w:after="0"/>
              <w:rPr>
                <w:color w:val="FFFFFF"/>
              </w:rPr>
            </w:pPr>
            <w:r>
              <w:rPr>
                <w:color w:val="FFFFFF"/>
              </w:rPr>
              <w:t>   </w:t>
            </w:r>
            <w:r>
              <w:rPr>
                <w:rFonts w:ascii="Arial" w:hAnsi="Arial"/>
                <w:b/>
                <w:color w:val="FFFFFF"/>
                <w:sz w:val="16"/>
              </w:rPr>
              <w:t>Director</w:t>
            </w:r>
          </w:p>
        </w:tc>
        <w:tc>
          <w:tcPr>
            <w:tcW w:w="155"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760" w:type="dxa"/>
            <w:tcBorders>
              <w:bottom w:val="single" w:sz="8" w:space="0" w:color="B94831"/>
            </w:tcBorders>
            <w:shd w:fill="262626" w:val="clear"/>
            <w:tcMar>
              <w:bottom w:w="28" w:type="dxa"/>
            </w:tcMar>
          </w:tcPr>
          <w:p>
            <w:pPr>
              <w:pStyle w:val="TableContents"/>
              <w:spacing w:before="0" w:after="283"/>
              <w:jc w:val="center"/>
              <w:rPr>
                <w:rFonts w:ascii="Arial" w:hAnsi="Arial"/>
                <w:b/>
                <w:color w:val="FFFFFF"/>
              </w:rPr>
            </w:pPr>
            <w:r>
              <w:rPr>
                <w:rFonts w:ascii="Arial" w:hAnsi="Arial"/>
                <w:b/>
                <w:color w:val="FFFFFF"/>
              </w:rPr>
              <w:t>Cash</w:t>
            </w:r>
          </w:p>
        </w:tc>
        <w:tc>
          <w:tcPr>
            <w:tcW w:w="184"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tcPr>
          <w:p>
            <w:pPr>
              <w:pStyle w:val="TableContents"/>
              <w:spacing w:before="0" w:after="283"/>
              <w:rPr>
                <w:color w:val="FFFFFF"/>
              </w:rPr>
            </w:pPr>
            <w:r>
              <w:rPr>
                <w:color w:val="FFFFFF"/>
              </w:rPr>
              <w:t> </w:t>
            </w:r>
          </w:p>
        </w:tc>
        <w:tc>
          <w:tcPr>
            <w:tcW w:w="1087" w:type="dxa"/>
            <w:tcBorders>
              <w:bottom w:val="single" w:sz="8" w:space="0" w:color="B94831"/>
            </w:tcBorders>
            <w:shd w:fill="262626" w:val="clear"/>
            <w:tcMar>
              <w:bottom w:w="28" w:type="dxa"/>
            </w:tcMar>
          </w:tcPr>
          <w:p>
            <w:pPr>
              <w:pStyle w:val="TableContents"/>
              <w:spacing w:before="0" w:after="283"/>
              <w:jc w:val="center"/>
              <w:rPr>
                <w:rFonts w:ascii="Arial" w:hAnsi="Arial"/>
                <w:b/>
                <w:color w:val="FFFFFF"/>
              </w:rPr>
            </w:pPr>
            <w:r>
              <w:rPr>
                <w:rFonts w:ascii="Arial" w:hAnsi="Arial"/>
                <w:b/>
                <w:color w:val="FFFFFF"/>
              </w:rPr>
              <w:t>DSUs</w:t>
            </w:r>
          </w:p>
        </w:tc>
        <w:tc>
          <w:tcPr>
            <w:tcW w:w="135" w:type="dxa"/>
            <w:tcBorders>
              <w:bottom w:val="single" w:sz="8" w:space="0" w:color="B94831"/>
            </w:tcBorders>
            <w:shd w:fill="262626" w:val="clear"/>
            <w:tcMar>
              <w:bottom w:w="28" w:type="dxa"/>
            </w:tcMar>
          </w:tcPr>
          <w:p>
            <w:pPr>
              <w:pStyle w:val="TableContents"/>
              <w:spacing w:before="0" w:after="283"/>
              <w:rPr>
                <w:color w:val="FFFFFF"/>
              </w:rPr>
            </w:pPr>
            <w:r>
              <w:rPr>
                <w:color w:val="FFFFFF"/>
              </w:rPr>
              <w:t> </w:t>
            </w:r>
          </w:p>
        </w:tc>
        <w:tc>
          <w:tcPr>
            <w:tcW w:w="184"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957" w:type="dxa"/>
            <w:tcBorders>
              <w:bottom w:val="single" w:sz="8" w:space="0" w:color="B94831"/>
            </w:tcBorders>
            <w:shd w:fill="262626" w:val="clear"/>
            <w:tcMar>
              <w:bottom w:w="28" w:type="dxa"/>
            </w:tcMar>
          </w:tcPr>
          <w:p>
            <w:pPr>
              <w:pStyle w:val="TableContents"/>
              <w:spacing w:before="0" w:after="283"/>
              <w:jc w:val="center"/>
              <w:rPr>
                <w:rFonts w:ascii="Arial" w:hAnsi="Arial"/>
                <w:b/>
                <w:color w:val="FFFFFF"/>
              </w:rPr>
            </w:pPr>
            <w:r>
              <w:rPr>
                <w:rFonts w:ascii="Arial" w:hAnsi="Arial"/>
                <w:b/>
                <w:color w:val="FFFFFF"/>
              </w:rPr>
              <w:t>Common Shares</w:t>
            </w:r>
          </w:p>
        </w:tc>
        <w:tc>
          <w:tcPr>
            <w:tcW w:w="155"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2072" w:type="dxa"/>
            <w:tcBorders>
              <w:bottom w:val="single" w:sz="8" w:space="0" w:color="B94831"/>
            </w:tcBorders>
            <w:shd w:fill="262626" w:val="clear"/>
            <w:tcMar>
              <w:bottom w:w="28" w:type="dxa"/>
            </w:tcMar>
          </w:tcPr>
          <w:p>
            <w:pPr>
              <w:pStyle w:val="TableContents"/>
              <w:spacing w:before="0" w:after="283"/>
              <w:jc w:val="center"/>
              <w:rPr>
                <w:rFonts w:ascii="Arial" w:hAnsi="Arial"/>
                <w:b/>
                <w:color w:val="FFFFFF"/>
              </w:rPr>
            </w:pPr>
            <w:r>
              <w:rPr>
                <w:rFonts w:ascii="Arial" w:hAnsi="Arial"/>
                <w:b/>
                <w:color w:val="FFFFFF"/>
              </w:rPr>
              <w:t>All Other</w:t>
              <w:br/>
              <w:t>Compensation ($)</w:t>
            </w:r>
          </w:p>
        </w:tc>
        <w:tc>
          <w:tcPr>
            <w:tcW w:w="18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tcPr>
          <w:p>
            <w:pPr>
              <w:pStyle w:val="TableContents"/>
              <w:spacing w:before="0" w:after="283"/>
              <w:rPr>
                <w:color w:val="FFFFFF"/>
              </w:rPr>
            </w:pPr>
            <w:r>
              <w:rPr>
                <w:color w:val="FFFFFF"/>
              </w:rPr>
              <w:t> </w:t>
            </w:r>
          </w:p>
        </w:tc>
        <w:tc>
          <w:tcPr>
            <w:tcW w:w="1087" w:type="dxa"/>
            <w:tcBorders>
              <w:bottom w:val="single" w:sz="8" w:space="0" w:color="B94831"/>
            </w:tcBorders>
            <w:shd w:fill="262626" w:val="clear"/>
            <w:tcMar>
              <w:bottom w:w="28" w:type="dxa"/>
            </w:tcMar>
          </w:tcPr>
          <w:p>
            <w:pPr>
              <w:pStyle w:val="TableContents"/>
              <w:spacing w:before="0" w:after="283"/>
              <w:jc w:val="center"/>
              <w:rPr>
                <w:rFonts w:ascii="Arial" w:hAnsi="Arial"/>
                <w:b/>
                <w:color w:val="FFFFFF"/>
              </w:rPr>
            </w:pPr>
            <w:r>
              <w:rPr>
                <w:rFonts w:ascii="Arial" w:hAnsi="Arial"/>
                <w:b/>
                <w:color w:val="FFFFFF"/>
              </w:rPr>
              <w:t>Total ($)</w:t>
            </w:r>
          </w:p>
        </w:tc>
        <w:tc>
          <w:tcPr>
            <w:tcW w:w="141" w:type="dxa"/>
            <w:tcBorders>
              <w:bottom w:val="single" w:sz="8" w:space="0" w:color="B94831"/>
            </w:tcBorders>
            <w:shd w:fill="262626" w:val="clear"/>
            <w:tcMar>
              <w:bottom w:w="28" w:type="dxa"/>
            </w:tcMar>
          </w:tcPr>
          <w:p>
            <w:pPr>
              <w:pStyle w:val="TableContents"/>
              <w:spacing w:before="0" w:after="283"/>
              <w:rPr>
                <w:color w:val="FFFFFF"/>
              </w:rPr>
            </w:pPr>
            <w:r>
              <w:rPr>
                <w:color w:val="FFFFFF"/>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David Thomson1</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600,000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600,000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Kirk Arnold2</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275,000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275,000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David W. Binet3</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375,000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375,000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LaVerne Council</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218,219</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rPr/>
            </w:pPr>
            <w:r>
              <w:rPr/>
              <w:t> </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rPr/>
            </w:pPr>
            <w:r>
              <w:rPr/>
              <w:t> </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218,219</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W. Edmund Clark, C.M.4</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275,000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275,000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Michael E. Daniels5</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360,068</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360,068</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Kirk Koenigsbauer</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Deanna Oppenheimer</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Simon Paris</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Kim M. Rivera</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Barry Salzberg6</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75,000</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200,000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275,000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Peter J. Thomson</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75,000</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150,000</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225,000</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Beth Wilson</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127,603</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127,603</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Former directors</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rPr/>
            </w:pPr>
            <w:r>
              <w:rPr/>
              <w:t> </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rPr/>
            </w:pPr>
            <w:r>
              <w:rPr/>
              <w:t> </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rPr/>
            </w:pPr>
            <w:r>
              <w:rPr/>
              <w:t> </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rPr/>
            </w:pPr>
            <w:r>
              <w:rPr/>
              <w:t> </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Vance Opperman7</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98,014</w:t>
            </w:r>
          </w:p>
        </w:tc>
        <w:tc>
          <w:tcPr>
            <w:tcW w:w="135" w:type="dxa"/>
            <w:tcBorders>
              <w:bottom w:val="single" w:sz="2" w:space="0" w:color="AFAFAF"/>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95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72"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87" w:type="dxa"/>
            <w:tcBorders>
              <w:bottom w:val="single" w:sz="2" w:space="0" w:color="AFAFAF"/>
            </w:tcBorders>
            <w:shd w:fill="auto" w:val="clear"/>
            <w:tcMar>
              <w:bottom w:w="28" w:type="dxa"/>
            </w:tcMar>
            <w:vAlign w:val="bottom"/>
          </w:tcPr>
          <w:p>
            <w:pPr>
              <w:pStyle w:val="TableContents"/>
              <w:spacing w:before="0" w:after="283"/>
              <w:jc w:val="right"/>
              <w:rPr/>
            </w:pPr>
            <w:r>
              <w:rPr/>
              <w:t>98,014</w:t>
            </w:r>
          </w:p>
        </w:tc>
        <w:tc>
          <w:tcPr>
            <w:tcW w:w="141"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985" w:type="dxa"/>
            <w:tcBorders>
              <w:bottom w:val="single" w:sz="8" w:space="0" w:color="B94831"/>
            </w:tcBorders>
            <w:shd w:fill="auto" w:val="clear"/>
            <w:tcMar>
              <w:bottom w:w="28" w:type="dxa"/>
            </w:tcMar>
          </w:tcPr>
          <w:p>
            <w:pPr>
              <w:pStyle w:val="TableContents"/>
              <w:spacing w:before="0" w:after="0"/>
              <w:rPr/>
            </w:pPr>
            <w:r>
              <w:rPr/>
              <w:t>   </w:t>
            </w:r>
            <w:r>
              <w:rPr>
                <w:rFonts w:ascii="Arial" w:hAnsi="Arial"/>
                <w:b/>
                <w:sz w:val="16"/>
              </w:rPr>
              <w:t>Wulf von Schimmelmann8</w:t>
            </w:r>
          </w:p>
        </w:tc>
        <w:tc>
          <w:tcPr>
            <w:tcW w:w="15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18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87" w:type="dxa"/>
            <w:tcBorders>
              <w:bottom w:val="single" w:sz="8" w:space="0" w:color="B94831"/>
            </w:tcBorders>
            <w:shd w:fill="auto" w:val="clear"/>
            <w:tcMar>
              <w:bottom w:w="28" w:type="dxa"/>
            </w:tcMar>
            <w:vAlign w:val="bottom"/>
          </w:tcPr>
          <w:p>
            <w:pPr>
              <w:pStyle w:val="TableContents"/>
              <w:spacing w:before="0" w:after="283"/>
              <w:jc w:val="right"/>
              <w:rPr/>
            </w:pPr>
            <w:r>
              <w:rPr/>
              <w:t>163,356</w:t>
            </w:r>
          </w:p>
        </w:tc>
        <w:tc>
          <w:tcPr>
            <w:tcW w:w="135" w:type="dxa"/>
            <w:tcBorders>
              <w:bottom w:val="single" w:sz="8" w:space="0" w:color="B94831"/>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95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15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072"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18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87" w:type="dxa"/>
            <w:tcBorders>
              <w:bottom w:val="single" w:sz="8" w:space="0" w:color="B94831"/>
            </w:tcBorders>
            <w:shd w:fill="auto" w:val="clear"/>
            <w:tcMar>
              <w:bottom w:w="28" w:type="dxa"/>
            </w:tcMar>
            <w:vAlign w:val="bottom"/>
          </w:tcPr>
          <w:p>
            <w:pPr>
              <w:pStyle w:val="TableContents"/>
              <w:spacing w:before="0" w:after="283"/>
              <w:jc w:val="right"/>
              <w:rPr/>
            </w:pPr>
            <w:r>
              <w:rPr/>
              <w:t>163,356</w:t>
            </w:r>
          </w:p>
        </w:tc>
        <w:tc>
          <w:tcPr>
            <w:tcW w:w="141"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985" w:type="dxa"/>
            <w:tcBorders>
              <w:bottom w:val="single" w:sz="8" w:space="0" w:color="B94831"/>
            </w:tcBorders>
            <w:shd w:fill="auto" w:val="clear"/>
            <w:tcMar>
              <w:bottom w:w="28" w:type="dxa"/>
            </w:tcMar>
          </w:tcPr>
          <w:p>
            <w:pPr>
              <w:pStyle w:val="TableContents"/>
              <w:spacing w:before="0" w:after="0"/>
              <w:rPr/>
            </w:pPr>
            <w:r>
              <w:rPr/>
              <w:t>   </w:t>
            </w:r>
            <w:r>
              <w:rPr>
                <w:rFonts w:ascii="Arial" w:hAnsi="Arial"/>
                <w:b/>
                <w:sz w:val="16"/>
              </w:rPr>
              <w:t>Total</w:t>
            </w:r>
          </w:p>
        </w:tc>
        <w:tc>
          <w:tcPr>
            <w:tcW w:w="15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60"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75,000</w:t>
            </w:r>
          </w:p>
        </w:tc>
        <w:tc>
          <w:tcPr>
            <w:tcW w:w="18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87" w:type="dxa"/>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3,667,260</w:t>
            </w:r>
          </w:p>
        </w:tc>
        <w:tc>
          <w:tcPr>
            <w:tcW w:w="135" w:type="dxa"/>
            <w:tcBorders>
              <w:bottom w:val="single" w:sz="8" w:space="0" w:color="B94831"/>
            </w:tcBorders>
            <w:shd w:fill="auto" w:val="clear"/>
            <w:tcMar>
              <w:bottom w:w="28" w:type="dxa"/>
            </w:tcMar>
            <w:vAlign w:val="bottom"/>
          </w:tcPr>
          <w:p>
            <w:pPr>
              <w:pStyle w:val="TableContents"/>
              <w:spacing w:before="0" w:after="283"/>
              <w:rPr/>
            </w:pPr>
            <w:r>
              <w:rPr/>
              <w:t> </w:t>
            </w:r>
          </w:p>
        </w:tc>
        <w:tc>
          <w:tcPr>
            <w:tcW w:w="18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957"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150,000</w:t>
            </w:r>
          </w:p>
        </w:tc>
        <w:tc>
          <w:tcPr>
            <w:tcW w:w="15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072" w:type="dxa"/>
            <w:tcBorders>
              <w:bottom w:val="single" w:sz="8"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w:t>
            </w:r>
          </w:p>
        </w:tc>
        <w:tc>
          <w:tcPr>
            <w:tcW w:w="18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87" w:type="dxa"/>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3,892,260</w:t>
            </w:r>
          </w:p>
        </w:tc>
        <w:tc>
          <w:tcPr>
            <w:tcW w:w="141"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1</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David Thomsons compensation reflects fees for serving as Chairman.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2</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Kirk Arnolds compensation includes fees for serving as Chair of the Risk Committee.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3</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David Binets compensation includes fees for serving as Deputy Chairman.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4</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Ed Clarks compensation includes fees for serving as Chair of the HR Committee.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5</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Mike Daniels compensation includes fees for serving as Chair of the Corporate Governance Committee and Lead Independent Director from June 8, 2022 through December 31, 2022.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6</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Barry Salzbergs compensation includes fees for serving as Chair of the Audit Committee.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7</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Vance Opperman served as a director through June 8, 2022. Vances compensation also includes fees for serving as Lead Independent Director from January 1, 2022 through June 8, 2022. </w:t>
            </w:r>
          </w:p>
        </w:tc>
      </w:tr>
    </w:tbl>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right"/>
              <w:rPr/>
            </w:pPr>
            <w:r>
              <w:rPr/>
              <w:t>8</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Wulf von Schimmelmann served as a director through June 8, 2022.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Stock Option and RSU Grants </w:t>
      </w:r>
    </w:p>
    <w:p>
      <w:pPr>
        <w:pStyle w:val="TextBody"/>
        <w:spacing w:before="40" w:after="0"/>
        <w:jc w:val="left"/>
        <w:rPr>
          <w:rFonts w:ascii="arial" w:hAnsi="arial"/>
          <w:sz w:val="20"/>
        </w:rPr>
      </w:pPr>
      <w:r>
        <w:rPr>
          <w:rFonts w:ascii="arial" w:hAnsi="arial"/>
          <w:sz w:val="20"/>
        </w:rPr>
        <w:t xml:space="preserve">Our non-management directors are not eligible to receive stock option grants and no non-management director currently holds any options. None of our non-management directors currently hold RSUs. Options and RSUs held by Steve Hasker are described later in the circular. </w:t>
      </w:r>
    </w:p>
    <w:p>
      <w:pPr>
        <w:pStyle w:val="TextBody"/>
        <w:spacing w:before="120" w:after="0"/>
        <w:jc w:val="left"/>
        <w:rPr>
          <w:rFonts w:ascii="arial" w:hAnsi="arial"/>
          <w:color w:val="B94831"/>
          <w:sz w:val="28"/>
        </w:rPr>
      </w:pPr>
      <w:r>
        <w:rPr>
          <w:rFonts w:ascii="arial" w:hAnsi="arial"/>
          <w:color w:val="B94831"/>
          <w:sz w:val="28"/>
        </w:rPr>
        <w:t xml:space="preserve">Share Ownership Guidelines </w:t>
      </w:r>
    </w:p>
    <w:p>
      <w:pPr>
        <w:pStyle w:val="TextBody"/>
        <w:spacing w:before="40" w:after="0"/>
        <w:jc w:val="left"/>
        <w:rPr>
          <w:rFonts w:ascii="arial" w:hAnsi="arial"/>
          <w:sz w:val="20"/>
        </w:rPr>
      </w:pPr>
      <w:r>
        <w:rPr>
          <w:rFonts w:ascii="arial" w:hAnsi="arial"/>
          <w:sz w:val="20"/>
        </w:rPr>
        <w:t xml:space="preserve">Directors are currently required to hold common shares and/or DSUs with a value equal to three times their annual retainer, which is currently $675,000. Directors are required to meet their ownership requirement within five years of the date of their initial appointment to the Thomson Reuters Board. Share prices of all public companies are subject to market volatility. As a result, director share ownership guidelines reflect a once met, always met standard. This means that if a director has met his or her applicable ownership guideline multiple and a subsequent decline in the Thomson Reuters share price causes the value of his or her ownership to fall below the applicable threshold, the director will be considered to be in compliance with the guidelines so long as he or she continues to hold the number of shares that were owned at the time when he or she achieved the guidelines. </w:t>
      </w:r>
    </w:p>
    <w:p>
      <w:pPr>
        <w:pStyle w:val="TextBody"/>
        <w:spacing w:before="120" w:after="0"/>
        <w:jc w:val="left"/>
        <w:rPr>
          <w:rFonts w:ascii="arial" w:hAnsi="arial"/>
          <w:sz w:val="20"/>
        </w:rPr>
      </w:pPr>
      <w:r>
        <w:rPr>
          <w:rFonts w:ascii="arial" w:hAnsi="arial"/>
          <w:sz w:val="20"/>
        </w:rPr>
        <w:t xml:space="preserve">Ownership of common shares and DSUs by our director nominees can be found in each nominees biography in this circular. David Thomson and Peter Thomson are substantial shareholders of our company as members of the family that owns the equity of Woodbridge. As of April 21, 2023, Woodbridge beneficially owned approximately 69% of our common shares. For more information, see the Principal Shareholder and Share Capital section of this circular. The following table shows each non-management directors progress towards his or her share ownership guidelines. All ownership multiples and each directors ownership are as of April 21,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52"/>
        <w:gridCol w:w="23"/>
        <w:gridCol w:w="671"/>
        <w:gridCol w:w="671"/>
        <w:gridCol w:w="671"/>
        <w:gridCol w:w="673"/>
        <w:gridCol w:w="23"/>
        <w:gridCol w:w="5421"/>
      </w:tblGrid>
      <w:tr>
        <w:trPr/>
        <w:tc>
          <w:tcPr>
            <w:tcW w:w="205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542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052" w:type="dxa"/>
            <w:tcBorders>
              <w:left w:val="single" w:sz="2" w:space="0" w:color="FFFFFF"/>
            </w:tcBorders>
            <w:shd w:fill="262626" w:val="clear"/>
            <w:tcMar>
              <w:left w:w="160" w:type="dxa"/>
            </w:tcMar>
            <w:vAlign w:val="center"/>
          </w:tcPr>
          <w:p>
            <w:pPr>
              <w:pStyle w:val="TableContents"/>
              <w:spacing w:before="0" w:after="283"/>
              <w:rPr/>
            </w:pPr>
            <w:r>
              <w:rPr/>
              <w:t> </w:t>
            </w:r>
          </w:p>
        </w:tc>
        <w:tc>
          <w:tcPr>
            <w:tcW w:w="270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5444"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052" w:type="dxa"/>
            <w:tcBorders>
              <w:left w:val="single" w:sz="2" w:space="0" w:color="FFFFFF"/>
              <w:bottom w:val="single" w:sz="8" w:space="0" w:color="B94831"/>
            </w:tcBorders>
            <w:shd w:fill="262626" w:val="clear"/>
            <w:tcMar>
              <w:left w:w="160" w:type="dxa"/>
              <w:bottom w:w="28" w:type="dxa"/>
            </w:tcMar>
          </w:tcPr>
          <w:p>
            <w:pPr>
              <w:pStyle w:val="TableContents"/>
              <w:spacing w:before="0" w:after="283"/>
              <w:rPr>
                <w:color w:val="FFFFFF"/>
              </w:rPr>
            </w:pPr>
            <w:r>
              <w:rPr>
                <w:color w:val="FFFFFF"/>
              </w:rPr>
              <w:t>   </w:t>
            </w:r>
            <w:r>
              <w:rPr>
                <w:rFonts w:ascii="Arial" w:hAnsi="Arial"/>
                <w:b/>
                <w:color w:val="FFFFFF"/>
              </w:rPr>
              <w:t>Name</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Ownership multiple of   </w:t>
              <w:br/>
              <w:t>annual retainer</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8" w:space="0" w:color="B94831"/>
            </w:tcBorders>
            <w:shd w:fill="262626" w:val="clear"/>
            <w:tcMar>
              <w:bottom w:w="28" w:type="dxa"/>
            </w:tcMar>
          </w:tcPr>
          <w:p>
            <w:pPr>
              <w:pStyle w:val="TableContents"/>
              <w:spacing w:before="0" w:after="283"/>
              <w:rPr>
                <w:rFonts w:ascii="Arial" w:hAnsi="Arial"/>
                <w:b/>
                <w:color w:val="FFFFFF"/>
              </w:rPr>
            </w:pPr>
            <w:r>
              <w:rPr>
                <w:rFonts w:ascii="Arial" w:hAnsi="Arial"/>
                <w:b/>
                <w:color w:val="FFFFFF"/>
              </w:rPr>
              <w:t>Progress towards guidelines</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David Thomson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r>
              <w:rPr/>
              <w:t>, through Woodbridges ownership</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Kirk E. Arnold</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5.4x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David W. Binet</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178.6x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W. Edmund Clark, C.M.</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42.1x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LaVerne Council</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1.5x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Required by January 12, 2027; 49.66% towards goal</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Michael E. Daniels</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23.2x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Kirk Koenigsbauer</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4.5x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Deanna Oppenheimer</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3.1x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0"/>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Simon Paris</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3.1x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0"/>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Kim M. Rivera</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5.0x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Barry Salzberg</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15.8x</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205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Peter J. Thomson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2" w:space="0" w:color="AFAFAF"/>
            </w:tcBorders>
            <w:shd w:fill="auto" w:val="clear"/>
            <w:tcMar>
              <w:bottom w:w="28" w:type="dxa"/>
            </w:tcMar>
            <w:vAlign w:val="bottom"/>
          </w:tcPr>
          <w:p>
            <w:pPr>
              <w:pStyle w:val="TableContents"/>
              <w:spacing w:before="0" w:after="283"/>
              <w:rPr/>
            </w:pPr>
            <w:r>
              <w:rPr/>
              <w:t>✓</w:t>
            </w:r>
            <w:r>
              <w:rPr/>
              <w:t>, through Woodbridges ownership</w:t>
            </w:r>
          </w:p>
        </w:tc>
      </w:tr>
      <w:tr>
        <w:trPr/>
        <w:tc>
          <w:tcPr>
            <w:tcW w:w="2052" w:type="dxa"/>
            <w:tcBorders>
              <w:bottom w:val="single" w:sz="8" w:space="0" w:color="B94831"/>
            </w:tcBorders>
            <w:shd w:fill="auto" w:val="clear"/>
            <w:tcMar>
              <w:bottom w:w="28" w:type="dxa"/>
            </w:tcMar>
          </w:tcPr>
          <w:p>
            <w:pPr>
              <w:pStyle w:val="TableContents"/>
              <w:spacing w:before="0" w:after="0"/>
              <w:rPr/>
            </w:pPr>
            <w:r>
              <w:rPr/>
              <w:t>   </w:t>
            </w:r>
            <w:r>
              <w:rPr>
                <w:rFonts w:ascii="Arial" w:hAnsi="Arial"/>
                <w:b/>
                <w:sz w:val="16"/>
              </w:rPr>
              <w:t>Beth Wilson</w:t>
            </w:r>
          </w:p>
        </w:tc>
        <w:tc>
          <w:tcPr>
            <w:tcW w:w="2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686" w:type="dxa"/>
            <w:gridSpan w:val="4"/>
            <w:tcBorders>
              <w:bottom w:val="single" w:sz="8" w:space="0" w:color="B94831"/>
            </w:tcBorders>
            <w:shd w:fill="auto" w:val="clear"/>
            <w:tcMar>
              <w:bottom w:w="28" w:type="dxa"/>
            </w:tcMar>
            <w:vAlign w:val="bottom"/>
          </w:tcPr>
          <w:p>
            <w:pPr>
              <w:pStyle w:val="TableContents"/>
              <w:spacing w:before="0" w:after="283"/>
              <w:jc w:val="center"/>
              <w:rPr/>
            </w:pPr>
            <w:r>
              <w:rPr/>
              <w:t>0.9x</w:t>
            </w:r>
          </w:p>
        </w:tc>
        <w:tc>
          <w:tcPr>
            <w:tcW w:w="2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421" w:type="dxa"/>
            <w:tcBorders>
              <w:bottom w:val="single" w:sz="8" w:space="0" w:color="B94831"/>
            </w:tcBorders>
            <w:shd w:fill="auto" w:val="clear"/>
            <w:tcMar>
              <w:bottom w:w="28" w:type="dxa"/>
            </w:tcMar>
            <w:vAlign w:val="bottom"/>
          </w:tcPr>
          <w:p>
            <w:pPr>
              <w:pStyle w:val="TableContents"/>
              <w:spacing w:before="0" w:after="283"/>
              <w:rPr/>
            </w:pPr>
            <w:r>
              <w:rPr/>
              <w:t>Required by June 8, 2027; 31.58% towards goal</w:t>
            </w:r>
          </w:p>
        </w:tc>
      </w:tr>
    </w:tbl>
    <w:p>
      <w:pPr>
        <w:pStyle w:val="TextBody"/>
        <w:spacing w:before="120" w:after="0"/>
        <w:jc w:val="left"/>
        <w:rPr>
          <w:rFonts w:ascii="arial" w:hAnsi="arial"/>
          <w:sz w:val="20"/>
        </w:rPr>
      </w:pPr>
      <w:r>
        <w:rPr>
          <w:rFonts w:ascii="arial" w:hAnsi="arial"/>
          <w:sz w:val="20"/>
        </w:rPr>
        <w:t xml:space="preserve">Steve Hasker is subject to separate ownership guidelines as CEO of our company. For more information, see the Compensation Discussion and Analysis section of this circular. </w:t>
      </w:r>
    </w:p>
    <w:p>
      <w:pPr>
        <w:pStyle w:val="TextBody"/>
        <w:spacing w:before="120" w:after="0"/>
        <w:jc w:val="left"/>
        <w:rPr>
          <w:rFonts w:ascii="arial" w:hAnsi="arial"/>
          <w:color w:val="B94831"/>
          <w:sz w:val="28"/>
        </w:rPr>
      </w:pPr>
      <w:r>
        <w:rPr>
          <w:rFonts w:ascii="arial" w:hAnsi="arial"/>
          <w:color w:val="B94831"/>
          <w:sz w:val="28"/>
        </w:rPr>
        <w:t xml:space="preserve">Pensions </w:t>
      </w:r>
    </w:p>
    <w:p>
      <w:pPr>
        <w:pStyle w:val="TextBody"/>
        <w:spacing w:before="40" w:after="0"/>
        <w:jc w:val="left"/>
        <w:rPr>
          <w:rFonts w:ascii="arial" w:hAnsi="arial"/>
          <w:sz w:val="20"/>
        </w:rPr>
      </w:pPr>
      <w:r>
        <w:rPr>
          <w:rFonts w:ascii="arial" w:hAnsi="arial"/>
          <w:sz w:val="20"/>
        </w:rPr>
        <w:t xml:space="preserve">Non-management directors do not receive any pension benefits from our company. Steve Haskers retirement benefits are described in the Executive Compensation  Pension and Other Retirement Benefits section of this circular. </w:t>
      </w:r>
    </w:p>
    <w:p>
      <w:pPr>
        <w:pStyle w:val="TextBody"/>
        <w:spacing w:before="120" w:after="0"/>
        <w:jc w:val="left"/>
        <w:rPr>
          <w:rFonts w:ascii="arial" w:hAnsi="arial"/>
          <w:color w:val="B94831"/>
          <w:sz w:val="28"/>
        </w:rPr>
      </w:pPr>
      <w:r>
        <w:rPr>
          <w:rFonts w:ascii="arial" w:hAnsi="arial"/>
          <w:color w:val="B94831"/>
          <w:sz w:val="28"/>
        </w:rPr>
        <w:t xml:space="preserve">Service Contracts </w:t>
      </w:r>
    </w:p>
    <w:p>
      <w:pPr>
        <w:pStyle w:val="TextBody"/>
        <w:spacing w:before="40" w:after="0"/>
        <w:jc w:val="left"/>
        <w:rPr>
          <w:rFonts w:ascii="arial" w:hAnsi="arial"/>
          <w:sz w:val="20"/>
        </w:rPr>
      </w:pPr>
      <w:r>
        <w:rPr>
          <w:rFonts w:ascii="arial" w:hAnsi="arial"/>
          <w:sz w:val="20"/>
        </w:rPr>
        <w:t xml:space="preserve">We have not entered into service contracts with our non-management directors. Our agreement with Steve Hasker regarding termination benefits is described in the Executive Compensation  Termination Benefits section of this circular. </w:t>
      </w:r>
    </w:p>
    <w:p>
      <w:pPr>
        <w:pStyle w:val="TextBody"/>
        <w:spacing w:before="120" w:after="0"/>
        <w:jc w:val="left"/>
        <w:rPr>
          <w:rFonts w:ascii="arial" w:hAnsi="arial"/>
          <w:color w:val="B94831"/>
          <w:sz w:val="28"/>
        </w:rPr>
      </w:pPr>
      <w:r>
        <w:rPr>
          <w:rFonts w:ascii="arial" w:hAnsi="arial"/>
          <w:color w:val="B94831"/>
          <w:sz w:val="28"/>
        </w:rPr>
        <w:t xml:space="preserve">Liability Insurance </w:t>
      </w:r>
    </w:p>
    <w:p>
      <w:pPr>
        <w:pStyle w:val="TextBody"/>
        <w:spacing w:before="40" w:after="0"/>
        <w:jc w:val="left"/>
        <w:rPr>
          <w:rFonts w:ascii="arial" w:hAnsi="arial"/>
          <w:sz w:val="20"/>
        </w:rPr>
      </w:pPr>
      <w:r>
        <w:rPr>
          <w:rFonts w:ascii="arial" w:hAnsi="arial"/>
          <w:sz w:val="20"/>
        </w:rPr>
        <w:t xml:space="preserve">We provide our directors with liability insurance in connection with their service on the Board. </w:t>
      </w:r>
    </w:p>
    <w:p>
      <w:pPr>
        <w:pStyle w:val="TextBody"/>
        <w:spacing w:before="120" w:after="0"/>
        <w:jc w:val="left"/>
        <w:rPr>
          <w:rFonts w:ascii="arial" w:hAnsi="arial"/>
          <w:color w:val="B94831"/>
          <w:sz w:val="28"/>
        </w:rPr>
      </w:pPr>
      <w:r>
        <w:rPr>
          <w:rFonts w:ascii="arial" w:hAnsi="arial"/>
          <w:color w:val="B94831"/>
          <w:sz w:val="28"/>
        </w:rPr>
        <w:t xml:space="preserve">Director Expenses </w:t>
      </w:r>
    </w:p>
    <w:p>
      <w:pPr>
        <w:pStyle w:val="TextBody"/>
        <w:spacing w:before="40" w:after="0"/>
        <w:jc w:val="left"/>
        <w:rPr>
          <w:rFonts w:ascii="arial" w:hAnsi="arial"/>
          <w:sz w:val="20"/>
        </w:rPr>
      </w:pPr>
      <w:r>
        <w:rPr>
          <w:rFonts w:ascii="arial" w:hAnsi="arial"/>
          <w:sz w:val="20"/>
        </w:rPr>
        <w:t xml:space="preserve">We reimburse directors for reasonable travel and out-of-pocket expenses incurred in connection with their Thomson Reuters duties.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6" w:name="tx494196_22"/>
      <w:bookmarkEnd w:id="16"/>
      <w:r>
        <w:rPr>
          <w:rFonts w:ascii="arial" w:hAnsi="arial"/>
          <w:color w:val="B94831"/>
          <w:sz w:val="52"/>
        </w:rPr>
        <w:t xml:space="preserve">Corporate Governance Practices </w:t>
      </w:r>
    </w:p>
    <w:p>
      <w:pPr>
        <w:pStyle w:val="TextBody"/>
        <w:spacing w:before="480" w:after="0"/>
        <w:jc w:val="left"/>
        <w:rPr>
          <w:rFonts w:ascii="arial" w:hAnsi="arial"/>
          <w:sz w:val="20"/>
        </w:rPr>
      </w:pPr>
      <w:r>
        <w:rPr>
          <w:rFonts w:ascii="arial" w:hAnsi="arial"/>
          <w:sz w:val="20"/>
        </w:rPr>
        <w:t xml:space="preserve">Our Board is committed to high standards of corporate governance and believes that sound corporate governance practices are essential to the well-being of our company and for the promotion and protection of our shareholders interests. We believe that sustainable value creation for all shareholders is fostered through a Board that is informed and engaged and that functions independently of management. </w:t>
      </w:r>
    </w:p>
    <w:p>
      <w:pPr>
        <w:pStyle w:val="TextBody"/>
        <w:spacing w:before="120" w:after="0"/>
        <w:jc w:val="left"/>
        <w:rPr>
          <w:rFonts w:ascii="arial" w:hAnsi="arial"/>
          <w:sz w:val="20"/>
        </w:rPr>
      </w:pPr>
      <w:r>
        <w:rPr>
          <w:rFonts w:ascii="arial" w:hAnsi="arial"/>
          <w:sz w:val="20"/>
        </w:rPr>
        <w:t xml:space="preserve">As a public company with shares listed in Canada on the TSX and in the United States on the NYSE, our corporate governance practices are generally consistent with the best practice guidelines of the Canadian securities regulatory authorities and the SEC. In addition, our corporate governance practices comply with most of the corporate governance listing standards of the NYSE, notwithstanding that we are exempt from most of those standards as a foreign private issuer.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28"/>
        </w:rPr>
      </w:pPr>
      <w:r>
        <w:rPr>
          <w:rFonts w:ascii="arial" w:hAnsi="arial"/>
          <w:color w:val="B94831"/>
          <w:sz w:val="28"/>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b/>
                <w:sz w:val="20"/>
              </w:rPr>
              <w:t>Independence -</w:t>
            </w:r>
            <w:r>
              <w:rPr>
                <w:rFonts w:ascii="arial" w:hAnsi="arial"/>
                <w:sz w:val="20"/>
              </w:rPr>
              <w:t xml:space="preserve"> A majority of our directors are independent and only one director (our CEO) is a member of management. All of the Boards committees are comprised of a majority of independent directors. Our independent directors meet without management at each Board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b/>
                <w:sz w:val="20"/>
              </w:rPr>
              <w:t>Separation of Chairman and CEO -</w:t>
            </w:r>
            <w:r>
              <w:rPr>
                <w:rFonts w:ascii="arial" w:hAnsi="arial"/>
                <w:sz w:val="20"/>
              </w:rPr>
              <w:t xml:space="preserve"> The roles and responsibilities of the Chairman and the CEO are separate;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b/>
                <w:sz w:val="20"/>
              </w:rPr>
              <w:t xml:space="preserve">Share ownership guidelines - </w:t>
            </w:r>
            <w:r>
              <w:rPr>
                <w:rFonts w:ascii="arial" w:hAnsi="arial"/>
                <w:sz w:val="20"/>
              </w:rPr>
              <w:t xml:space="preserve">Our directors and executive officers are required to maintain equity interests in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b/>
                <w:sz w:val="20"/>
              </w:rPr>
              <w:t xml:space="preserve">Risk oversight - </w:t>
            </w:r>
            <w:r>
              <w:rPr>
                <w:rFonts w:ascii="arial" w:hAnsi="arial"/>
                <w:sz w:val="20"/>
              </w:rPr>
              <w:t xml:space="preserve">We have a separate Risk Committee that helps oversee our enterprise risk management (ERM) program and other risks not overseen by the Board and its other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b/>
                <w:sz w:val="20"/>
              </w:rPr>
              <w:t xml:space="preserve">ESG oversight - </w:t>
            </w:r>
            <w:r>
              <w:rPr>
                <w:rFonts w:ascii="arial" w:hAnsi="arial"/>
                <w:sz w:val="20"/>
              </w:rPr>
              <w:t xml:space="preserve">ESG is overseen by our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b/>
                <w:sz w:val="20"/>
              </w:rPr>
              <w:t xml:space="preserve">Voting structure - </w:t>
            </w:r>
            <w:r>
              <w:rPr>
                <w:rFonts w:ascii="arial" w:hAnsi="arial"/>
                <w:sz w:val="20"/>
              </w:rPr>
              <w:t xml:space="preserve">We do not have dual class or subordinate voting structures;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b/>
                <w:sz w:val="20"/>
              </w:rPr>
              <w:t xml:space="preserve">Code of Business Conduct and Ethics - </w:t>
            </w:r>
            <w:r>
              <w:rPr>
                <w:rFonts w:ascii="arial" w:hAnsi="arial"/>
                <w:sz w:val="20"/>
              </w:rPr>
              <w:t xml:space="preserve">Our directors and executive officers must comply with our Code and other corporate governance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b/>
                <w:sz w:val="20"/>
              </w:rPr>
              <w:t xml:space="preserve">Director orientation - </w:t>
            </w:r>
            <w:r>
              <w:rPr>
                <w:rFonts w:ascii="arial" w:hAnsi="arial"/>
                <w:sz w:val="20"/>
              </w:rPr>
              <w:t xml:space="preserve">We have an orientation program to onboard our new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b/>
                <w:sz w:val="20"/>
              </w:rPr>
              <w:t xml:space="preserve">Independent advice - </w:t>
            </w:r>
            <w:r>
              <w:rPr>
                <w:rFonts w:ascii="arial" w:hAnsi="arial"/>
                <w:sz w:val="20"/>
              </w:rPr>
              <w:t xml:space="preserve">The Board and each of its committees have the ability to retain independent advisors.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b/>
          <w:sz w:val="28"/>
        </w:rPr>
      </w:pPr>
      <w:bookmarkStart w:id="17" w:name="tx494196_23"/>
      <w:bookmarkEnd w:id="17"/>
      <w:r>
        <w:rPr>
          <w:rFonts w:ascii="Arial" w:hAnsi="Arial"/>
          <w:b/>
          <w:sz w:val="28"/>
        </w:rPr>
        <w:t xml:space="preserve">Board Composition and Responsibilities </w:t>
      </w:r>
    </w:p>
    <w:p>
      <w:pPr>
        <w:pStyle w:val="TextBody"/>
        <w:spacing w:before="120" w:after="0"/>
        <w:jc w:val="left"/>
        <w:rPr>
          <w:rFonts w:ascii="arial" w:hAnsi="arial"/>
          <w:color w:val="B94831"/>
          <w:sz w:val="28"/>
        </w:rPr>
      </w:pPr>
      <w:r>
        <w:rPr>
          <w:rFonts w:ascii="arial" w:hAnsi="arial"/>
          <w:color w:val="B94831"/>
          <w:sz w:val="28"/>
        </w:rPr>
        <w:t xml:space="preserve">Governance Structure </w:t>
      </w:r>
    </w:p>
    <w:p>
      <w:pPr>
        <w:pStyle w:val="TextBody"/>
        <w:spacing w:before="40" w:after="0"/>
        <w:jc w:val="left"/>
        <w:rPr>
          <w:rFonts w:ascii="arial" w:hAnsi="arial"/>
          <w:sz w:val="20"/>
        </w:rPr>
      </w:pPr>
      <w:r>
        <w:rPr>
          <w:rFonts w:ascii="arial" w:hAnsi="arial"/>
          <w:sz w:val="20"/>
        </w:rPr>
        <w:t xml:space="preserve">The Board oversees our corporate governance structure, in part, through the work of the Corporate Governance Committee. Board practices are set out in Corporate Governance Guidelines, which the Corporate Governance Committee reviews annually. The Corporate Governance Guidelines deal with issues such as the Boards duties and responsibilities, share ownership guidelines and conflicts of interest. In addition, each of the Boards four standing committees (Audit, Corporate Governance, HR and Risk) has a charter. The charters are reviewed annually by the relevant committee and the Corporate Governance Committee.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The Boards principal responsibilities include strategic planning, risk management, financial reporting, disclosure and corporate governance.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Code of Business Conduct and Ethics (Code) applies to our employees, directors and officers, including our CEO, CFO and Controller. Our employees, directors and officers are required to submit an acknowledgment that they have received and read a copy of the Code and understand their obligations to comply with the principles and policies outlined in it. The Corporate Governance Committee receives an annual report regarding the Code from the Chief Legal Officer.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Board Size </w:t>
      </w:r>
    </w:p>
    <w:p>
      <w:pPr>
        <w:pStyle w:val="TextBody"/>
        <w:spacing w:before="40" w:after="0"/>
        <w:jc w:val="left"/>
        <w:rPr>
          <w:rFonts w:ascii="arial" w:hAnsi="arial"/>
          <w:sz w:val="20"/>
        </w:rPr>
      </w:pPr>
      <w:r>
        <w:rPr>
          <w:rFonts w:ascii="arial" w:hAnsi="arial"/>
          <w:sz w:val="20"/>
        </w:rPr>
        <w:t xml:space="preserve">The Board currently consists of 14 individuals and functions independently of management. The Board is currently comprised of 13 non-management directors and the CEO. Individual directors are proposed for election annually. We have proposed that 14 directors be nominated for election at the meeting, all of whom are currently directors. Each of the Boards committees is discussed in more detail later in this circular.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215" cy="13589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77215" cy="135890"/>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Key Responsibilities of the Board </w:t>
      </w:r>
    </w:p>
    <w:p>
      <w:pPr>
        <w:pStyle w:val="TextBody"/>
        <w:spacing w:before="120" w:after="0"/>
        <w:jc w:val="left"/>
        <w:rPr>
          <w:rFonts w:ascii="arial" w:hAnsi="arial"/>
          <w:sz w:val="20"/>
        </w:rPr>
      </w:pPr>
      <w:r>
        <w:rPr>
          <w:rFonts w:ascii="arial" w:hAnsi="arial"/>
          <w:sz w:val="20"/>
        </w:rPr>
        <w:t xml:space="preserve">The fundamental responsibility of the Board is to supervise the management of the business and affairs of Thomson Reuters. The table below highlights primary activities and topics from the Boards 2022 work plan. Five of the Boards meetings in 2022 were regularly scheduled and two special meetings were held during the year.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01"/>
        <w:gridCol w:w="215"/>
        <w:gridCol w:w="8689"/>
      </w:tblGrid>
      <w:tr>
        <w:trPr/>
        <w:tc>
          <w:tcPr>
            <w:tcW w:w="130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8689"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301" w:type="dxa"/>
            <w:tcBorders/>
            <w:shd w:fill="262626" w:val="clear"/>
            <w:vAlign w:val="center"/>
          </w:tcPr>
          <w:p>
            <w:pPr>
              <w:pStyle w:val="TableContents"/>
              <w:spacing w:before="0" w:after="283"/>
              <w:rPr>
                <w:sz w:val="4"/>
                <w:szCs w:val="4"/>
              </w:rPr>
            </w:pPr>
            <w:r>
              <w:rPr>
                <w:sz w:val="4"/>
                <w:szCs w:val="4"/>
              </w:rPr>
            </w:r>
          </w:p>
        </w:tc>
        <w:tc>
          <w:tcPr>
            <w:tcW w:w="8904" w:type="dxa"/>
            <w:gridSpan w:val="2"/>
            <w:tcBorders/>
            <w:shd w:fill="262626" w:val="clear"/>
            <w:vAlign w:val="center"/>
          </w:tcPr>
          <w:p>
            <w:pPr>
              <w:pStyle w:val="TableContents"/>
              <w:spacing w:before="0" w:after="283"/>
              <w:rPr>
                <w:sz w:val="4"/>
                <w:szCs w:val="4"/>
              </w:rPr>
            </w:pPr>
            <w:r>
              <w:rPr>
                <w:sz w:val="4"/>
                <w:szCs w:val="4"/>
              </w:rPr>
            </w:r>
          </w:p>
        </w:tc>
      </w:tr>
      <w:tr>
        <w:trPr/>
        <w:tc>
          <w:tcPr>
            <w:tcW w:w="1301" w:type="dxa"/>
            <w:tcBorders>
              <w:bottom w:val="single" w:sz="8" w:space="0" w:color="B94831"/>
            </w:tcBorders>
            <w:shd w:fill="262626" w:val="clear"/>
            <w:tcMar>
              <w:bottom w:w="28" w:type="dxa"/>
            </w:tcMar>
            <w:vAlign w:val="bottom"/>
          </w:tcPr>
          <w:p>
            <w:pPr>
              <w:pStyle w:val="TableContents"/>
              <w:spacing w:before="0" w:after="0"/>
              <w:rPr>
                <w:color w:val="FFFFFF"/>
              </w:rPr>
            </w:pPr>
            <w:r>
              <w:rPr>
                <w:color w:val="FFFFFF"/>
              </w:rPr>
              <w:t>   </w:t>
            </w:r>
            <w:r>
              <w:rPr>
                <w:rFonts w:ascii="Arial" w:hAnsi="Arial"/>
                <w:b/>
                <w:color w:val="FFFFFF"/>
                <w:sz w:val="17"/>
              </w:rPr>
              <w:t>Meeting</w:t>
            </w:r>
          </w:p>
        </w:tc>
        <w:tc>
          <w:tcPr>
            <w:tcW w:w="215" w:type="dxa"/>
            <w:tcBorders>
              <w:bottom w:val="single" w:sz="8" w:space="0" w:color="B94831"/>
            </w:tcBorders>
            <w:shd w:fill="262626" w:val="clear"/>
            <w:tcMar>
              <w:bottom w:w="28" w:type="dxa"/>
            </w:tcMar>
            <w:vAlign w:val="bottom"/>
          </w:tcPr>
          <w:p>
            <w:pPr>
              <w:pStyle w:val="TableContents"/>
              <w:spacing w:before="0" w:after="283"/>
              <w:rPr/>
            </w:pPr>
            <w:r>
              <w:rPr/>
              <w:t>  </w:t>
            </w:r>
          </w:p>
        </w:tc>
        <w:tc>
          <w:tcPr>
            <w:tcW w:w="8689"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2022 Primary Activities/Topics</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January</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 Annual operating plan (which included the Change Program)</w:t>
            </w:r>
          </w:p>
          <w:p>
            <w:pPr>
              <w:pStyle w:val="TableContents"/>
              <w:spacing w:before="0" w:after="0"/>
              <w:rPr>
                <w:rFonts w:ascii="arial" w:hAnsi="arial"/>
                <w:sz w:val="16"/>
              </w:rPr>
            </w:pPr>
            <w:r>
              <w:rPr>
                <w:rFonts w:ascii="SYMBOL" w:hAnsi="SYMBOL"/>
                <w:color w:val="B94831"/>
                <w:sz w:val="12"/>
              </w:rPr>
              <w:t>·</w:t>
            </w:r>
            <w:r>
              <w:rPr>
                <w:rFonts w:ascii="arial" w:hAnsi="arial"/>
                <w:sz w:val="16"/>
              </w:rPr>
              <w:t> Dividend policy</w:t>
            </w:r>
          </w:p>
          <w:p>
            <w:pPr>
              <w:pStyle w:val="TableContents"/>
              <w:spacing w:before="0" w:after="20"/>
              <w:rPr>
                <w:rFonts w:ascii="arial" w:hAnsi="arial"/>
                <w:sz w:val="16"/>
              </w:rPr>
            </w:pPr>
            <w:r>
              <w:rPr>
                <w:rFonts w:ascii="SYMBOL" w:hAnsi="SYMBOL"/>
                <w:color w:val="B94831"/>
                <w:sz w:val="12"/>
              </w:rPr>
              <w:t>·</w:t>
            </w:r>
            <w:r>
              <w:rPr>
                <w:rFonts w:ascii="arial" w:hAnsi="arial"/>
                <w:sz w:val="16"/>
              </w:rPr>
              <w:t> New director appointment</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March</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 Annual disclosure and corporate governance documents (annual report/financial statements and proxy circular)</w:t>
            </w:r>
          </w:p>
          <w:p>
            <w:pPr>
              <w:pStyle w:val="TableContents"/>
              <w:spacing w:before="0" w:after="0"/>
              <w:rPr>
                <w:rFonts w:ascii="arial" w:hAnsi="arial"/>
                <w:sz w:val="16"/>
              </w:rPr>
            </w:pPr>
            <w:r>
              <w:rPr>
                <w:rFonts w:ascii="SYMBOL" w:hAnsi="SYMBOL"/>
                <w:color w:val="B94831"/>
                <w:sz w:val="12"/>
              </w:rPr>
              <w:t>·</w:t>
            </w:r>
            <w:r>
              <w:rPr>
                <w:rFonts w:ascii="arial" w:hAnsi="arial"/>
                <w:sz w:val="16"/>
              </w:rPr>
              <w:t> Change Program update</w:t>
            </w:r>
          </w:p>
          <w:p>
            <w:pPr>
              <w:pStyle w:val="TableContents"/>
              <w:spacing w:before="0" w:after="0"/>
              <w:rPr>
                <w:rFonts w:ascii="arial" w:hAnsi="arial"/>
                <w:sz w:val="16"/>
              </w:rPr>
            </w:pPr>
            <w:r>
              <w:rPr>
                <w:rFonts w:ascii="SYMBOL" w:hAnsi="SYMBOL"/>
                <w:color w:val="B94831"/>
                <w:sz w:val="12"/>
              </w:rPr>
              <w:t>·</w:t>
            </w:r>
            <w:r>
              <w:rPr>
                <w:rFonts w:ascii="arial" w:hAnsi="arial"/>
                <w:sz w:val="16"/>
              </w:rPr>
              <w:t> Growth strategy update</w:t>
            </w:r>
          </w:p>
          <w:p>
            <w:pPr>
              <w:pStyle w:val="TableContents"/>
              <w:spacing w:before="0" w:after="0"/>
              <w:rPr>
                <w:rFonts w:ascii="arial" w:hAnsi="arial"/>
                <w:sz w:val="16"/>
              </w:rPr>
            </w:pPr>
            <w:r>
              <w:rPr>
                <w:rFonts w:ascii="SYMBOL" w:hAnsi="SYMBOL"/>
                <w:color w:val="B94831"/>
                <w:sz w:val="12"/>
              </w:rPr>
              <w:t>·</w:t>
            </w:r>
            <w:r>
              <w:rPr>
                <w:rFonts w:ascii="arial" w:hAnsi="arial"/>
                <w:sz w:val="16"/>
              </w:rPr>
              <w:t> Legal Professionals segment update</w:t>
            </w:r>
          </w:p>
          <w:p>
            <w:pPr>
              <w:pStyle w:val="TableContents"/>
              <w:spacing w:before="0" w:after="0"/>
              <w:rPr>
                <w:rFonts w:ascii="arial" w:hAnsi="arial"/>
                <w:sz w:val="16"/>
              </w:rPr>
            </w:pPr>
            <w:r>
              <w:rPr>
                <w:rFonts w:ascii="SYMBOL" w:hAnsi="SYMBOL"/>
                <w:color w:val="B94831"/>
                <w:sz w:val="12"/>
              </w:rPr>
              <w:t>·</w:t>
            </w:r>
            <w:r>
              <w:rPr>
                <w:rFonts w:ascii="arial" w:hAnsi="arial"/>
                <w:sz w:val="16"/>
              </w:rPr>
              <w:t> M&amp;A update</w:t>
            </w:r>
          </w:p>
          <w:p>
            <w:pPr>
              <w:pStyle w:val="TableContents"/>
              <w:spacing w:before="0" w:after="20"/>
              <w:rPr>
                <w:rFonts w:ascii="arial" w:hAnsi="arial"/>
                <w:sz w:val="16"/>
              </w:rPr>
            </w:pPr>
            <w:r>
              <w:rPr>
                <w:rFonts w:ascii="SYMBOL" w:hAnsi="SYMBOL"/>
                <w:color w:val="B94831"/>
                <w:sz w:val="12"/>
              </w:rPr>
              <w:t>·</w:t>
            </w:r>
            <w:r>
              <w:rPr>
                <w:rFonts w:ascii="arial" w:hAnsi="arial"/>
                <w:sz w:val="16"/>
              </w:rPr>
              <w:t> Executive compensation</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April</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 New director nomination</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June</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 Change Program update</w:t>
            </w:r>
          </w:p>
          <w:p>
            <w:pPr>
              <w:pStyle w:val="TableContents"/>
              <w:spacing w:before="0" w:after="0"/>
              <w:rPr>
                <w:rFonts w:ascii="arial" w:hAnsi="arial"/>
                <w:sz w:val="16"/>
              </w:rPr>
            </w:pPr>
            <w:r>
              <w:rPr>
                <w:rFonts w:ascii="SYMBOL" w:hAnsi="SYMBOL"/>
                <w:color w:val="B94831"/>
                <w:sz w:val="12"/>
              </w:rPr>
              <w:t>·</w:t>
            </w:r>
            <w:r>
              <w:rPr>
                <w:rFonts w:ascii="arial" w:hAnsi="arial"/>
                <w:sz w:val="16"/>
              </w:rPr>
              <w:t> People update</w:t>
            </w:r>
          </w:p>
          <w:p>
            <w:pPr>
              <w:pStyle w:val="TableContents"/>
              <w:spacing w:before="0" w:after="0"/>
              <w:rPr>
                <w:rFonts w:ascii="arial" w:hAnsi="arial"/>
                <w:sz w:val="16"/>
              </w:rPr>
            </w:pPr>
            <w:r>
              <w:rPr>
                <w:rFonts w:ascii="SYMBOL" w:hAnsi="SYMBOL"/>
                <w:color w:val="B94831"/>
                <w:sz w:val="12"/>
              </w:rPr>
              <w:t>·</w:t>
            </w:r>
            <w:r>
              <w:rPr>
                <w:rFonts w:ascii="arial" w:hAnsi="arial"/>
                <w:sz w:val="16"/>
              </w:rPr>
              <w:t> Financial and investor relations update</w:t>
            </w:r>
          </w:p>
          <w:p>
            <w:pPr>
              <w:pStyle w:val="TableContents"/>
              <w:spacing w:before="0" w:after="20"/>
              <w:rPr>
                <w:rFonts w:ascii="arial" w:hAnsi="arial"/>
                <w:sz w:val="16"/>
              </w:rPr>
            </w:pPr>
            <w:r>
              <w:rPr>
                <w:rFonts w:ascii="SYMBOL" w:hAnsi="SYMBOL"/>
                <w:color w:val="B94831"/>
                <w:sz w:val="12"/>
              </w:rPr>
              <w:t>·</w:t>
            </w:r>
            <w:r>
              <w:rPr>
                <w:rFonts w:ascii="arial" w:hAnsi="arial"/>
                <w:sz w:val="16"/>
              </w:rPr>
              <w:t> M&amp;A update</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September</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 Change Program update</w:t>
            </w:r>
          </w:p>
          <w:p>
            <w:pPr>
              <w:pStyle w:val="TableContents"/>
              <w:spacing w:before="0" w:after="0"/>
              <w:rPr>
                <w:rFonts w:ascii="arial" w:hAnsi="arial"/>
                <w:sz w:val="16"/>
              </w:rPr>
            </w:pPr>
            <w:r>
              <w:rPr>
                <w:rFonts w:ascii="SYMBOL" w:hAnsi="SYMBOL"/>
                <w:color w:val="B94831"/>
                <w:sz w:val="12"/>
              </w:rPr>
              <w:t>·</w:t>
            </w:r>
            <w:r>
              <w:rPr>
                <w:rFonts w:ascii="arial" w:hAnsi="arial"/>
                <w:sz w:val="16"/>
              </w:rPr>
              <w:t> Financial and capital strategy update</w:t>
            </w:r>
          </w:p>
          <w:p>
            <w:pPr>
              <w:pStyle w:val="TableContents"/>
              <w:spacing w:before="0" w:after="0"/>
              <w:rPr>
                <w:rFonts w:ascii="arial" w:hAnsi="arial"/>
                <w:sz w:val="16"/>
              </w:rPr>
            </w:pPr>
            <w:r>
              <w:rPr>
                <w:rFonts w:ascii="SYMBOL" w:hAnsi="SYMBOL"/>
                <w:color w:val="B94831"/>
                <w:sz w:val="12"/>
              </w:rPr>
              <w:t>·</w:t>
            </w:r>
            <w:r>
              <w:rPr>
                <w:rFonts w:ascii="arial" w:hAnsi="arial"/>
                <w:sz w:val="16"/>
              </w:rPr>
              <w:t> Customer Markets update</w:t>
            </w:r>
          </w:p>
          <w:p>
            <w:pPr>
              <w:pStyle w:val="TableContents"/>
              <w:spacing w:before="0" w:after="0"/>
              <w:rPr>
                <w:rFonts w:ascii="arial" w:hAnsi="arial"/>
                <w:sz w:val="16"/>
              </w:rPr>
            </w:pPr>
            <w:r>
              <w:rPr>
                <w:rFonts w:ascii="SYMBOL" w:hAnsi="SYMBOL"/>
                <w:color w:val="B94831"/>
                <w:sz w:val="12"/>
              </w:rPr>
              <w:t>·</w:t>
            </w:r>
            <w:r>
              <w:rPr>
                <w:rFonts w:ascii="arial" w:hAnsi="arial"/>
                <w:sz w:val="16"/>
              </w:rPr>
              <w:t> M&amp;A update</w:t>
            </w:r>
          </w:p>
          <w:p>
            <w:pPr>
              <w:pStyle w:val="TableContents"/>
              <w:spacing w:before="0" w:after="0"/>
              <w:rPr>
                <w:rFonts w:ascii="arial" w:hAnsi="arial"/>
                <w:sz w:val="16"/>
              </w:rPr>
            </w:pPr>
            <w:r>
              <w:rPr>
                <w:rFonts w:ascii="SYMBOL" w:hAnsi="SYMBOL"/>
                <w:color w:val="B94831"/>
                <w:sz w:val="12"/>
              </w:rPr>
              <w:t>·</w:t>
            </w:r>
            <w:r>
              <w:rPr>
                <w:rFonts w:ascii="arial" w:hAnsi="arial"/>
                <w:sz w:val="16"/>
              </w:rPr>
              <w:t> Risk, Fraud and Compliance business update</w:t>
            </w:r>
          </w:p>
          <w:p>
            <w:pPr>
              <w:pStyle w:val="TableContents"/>
              <w:spacing w:before="0" w:after="20"/>
              <w:rPr>
                <w:rFonts w:ascii="arial" w:hAnsi="arial"/>
                <w:sz w:val="16"/>
              </w:rPr>
            </w:pPr>
            <w:r>
              <w:rPr>
                <w:rFonts w:ascii="SYMBOL" w:hAnsi="SYMBOL"/>
                <w:color w:val="B94831"/>
                <w:sz w:val="12"/>
              </w:rPr>
              <w:t>·</w:t>
            </w:r>
            <w:r>
              <w:rPr>
                <w:rFonts w:ascii="arial" w:hAnsi="arial"/>
                <w:sz w:val="16"/>
              </w:rPr>
              <w:t> Tax &amp; Accounting Professionals segment update</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October</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 Legal and Compliance update</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November</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 Change Program update</w:t>
            </w:r>
          </w:p>
          <w:p>
            <w:pPr>
              <w:pStyle w:val="TableContents"/>
              <w:spacing w:before="0" w:after="0"/>
              <w:rPr>
                <w:rFonts w:ascii="arial" w:hAnsi="arial"/>
                <w:sz w:val="16"/>
              </w:rPr>
            </w:pPr>
            <w:r>
              <w:rPr>
                <w:rFonts w:ascii="SYMBOL" w:hAnsi="SYMBOL"/>
                <w:color w:val="B94831"/>
                <w:sz w:val="12"/>
              </w:rPr>
              <w:t>·</w:t>
            </w:r>
            <w:r>
              <w:rPr>
                <w:rFonts w:ascii="arial" w:hAnsi="arial"/>
                <w:sz w:val="16"/>
              </w:rPr>
              <w:t> Growth strategy update</w:t>
            </w:r>
          </w:p>
          <w:p>
            <w:pPr>
              <w:pStyle w:val="TableContents"/>
              <w:spacing w:before="0" w:after="0"/>
              <w:rPr>
                <w:rFonts w:ascii="arial" w:hAnsi="arial"/>
                <w:sz w:val="16"/>
              </w:rPr>
            </w:pPr>
            <w:r>
              <w:rPr>
                <w:rFonts w:ascii="SYMBOL" w:hAnsi="SYMBOL"/>
                <w:color w:val="B94831"/>
                <w:sz w:val="12"/>
              </w:rPr>
              <w:t>·</w:t>
            </w:r>
            <w:r>
              <w:rPr>
                <w:rFonts w:ascii="arial" w:hAnsi="arial"/>
                <w:sz w:val="16"/>
              </w:rPr>
              <w:t> Financial update</w:t>
            </w:r>
          </w:p>
          <w:p>
            <w:pPr>
              <w:pStyle w:val="TableContents"/>
              <w:spacing w:before="0" w:after="0"/>
              <w:rPr>
                <w:rFonts w:ascii="arial" w:hAnsi="arial"/>
                <w:sz w:val="16"/>
              </w:rPr>
            </w:pPr>
            <w:r>
              <w:rPr>
                <w:rFonts w:ascii="SYMBOL" w:hAnsi="SYMBOL"/>
                <w:color w:val="B94831"/>
                <w:sz w:val="12"/>
              </w:rPr>
              <w:t>·</w:t>
            </w:r>
            <w:r>
              <w:rPr>
                <w:rFonts w:ascii="arial" w:hAnsi="arial"/>
                <w:sz w:val="16"/>
              </w:rPr>
              <w:t> M&amp;A update</w:t>
            </w:r>
          </w:p>
          <w:p>
            <w:pPr>
              <w:pStyle w:val="TableContents"/>
              <w:spacing w:before="0" w:after="20"/>
              <w:rPr>
                <w:rFonts w:ascii="arial" w:hAnsi="arial"/>
                <w:sz w:val="16"/>
              </w:rPr>
            </w:pPr>
            <w:r>
              <w:rPr>
                <w:rFonts w:ascii="SYMBOL" w:hAnsi="SYMBOL"/>
                <w:color w:val="B94831"/>
                <w:sz w:val="12"/>
              </w:rPr>
              <w:t>·</w:t>
            </w:r>
            <w:r>
              <w:rPr>
                <w:rFonts w:ascii="arial" w:hAnsi="arial"/>
                <w:sz w:val="16"/>
              </w:rPr>
              <w:t> Product update</w:t>
            </w:r>
          </w:p>
        </w:tc>
      </w:tr>
      <w:tr>
        <w:trPr/>
        <w:tc>
          <w:tcPr>
            <w:tcW w:w="1301"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Each meeting</w:t>
            </w:r>
          </w:p>
        </w:tc>
        <w:tc>
          <w:tcPr>
            <w:tcW w:w="215" w:type="dxa"/>
            <w:tcBorders>
              <w:bottom w:val="single" w:sz="2" w:space="0" w:color="AFAFAF"/>
            </w:tcBorders>
            <w:shd w:fill="auto" w:val="clear"/>
            <w:tcMar>
              <w:bottom w:w="28" w:type="dxa"/>
            </w:tcMar>
            <w:vAlign w:val="bottom"/>
          </w:tcPr>
          <w:p>
            <w:pPr>
              <w:pStyle w:val="TableContents"/>
              <w:spacing w:before="0" w:after="283"/>
              <w:rPr/>
            </w:pPr>
            <w:r>
              <w:rPr/>
              <w:t>  </w:t>
            </w:r>
          </w:p>
        </w:tc>
        <w:tc>
          <w:tcPr>
            <w:tcW w:w="8689"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 In-camera meetings with the CEO only (typically at the start and end of each meeting)</w:t>
            </w:r>
          </w:p>
          <w:p>
            <w:pPr>
              <w:pStyle w:val="TableContents"/>
              <w:spacing w:before="0" w:after="0"/>
              <w:rPr>
                <w:rFonts w:ascii="arial" w:hAnsi="arial"/>
                <w:sz w:val="16"/>
              </w:rPr>
            </w:pPr>
            <w:r>
              <w:rPr>
                <w:rFonts w:ascii="SYMBOL" w:hAnsi="SYMBOL"/>
                <w:color w:val="B94831"/>
                <w:sz w:val="12"/>
              </w:rPr>
              <w:t>·</w:t>
            </w:r>
            <w:r>
              <w:rPr>
                <w:rFonts w:ascii="arial" w:hAnsi="arial"/>
                <w:sz w:val="16"/>
              </w:rPr>
              <w:t> In-camera meetings of non-management directors only</w:t>
            </w:r>
          </w:p>
          <w:p>
            <w:pPr>
              <w:pStyle w:val="TableContents"/>
              <w:spacing w:before="0" w:after="20"/>
              <w:rPr>
                <w:rFonts w:ascii="arial" w:hAnsi="arial"/>
                <w:sz w:val="16"/>
              </w:rPr>
            </w:pPr>
            <w:r>
              <w:rPr>
                <w:rFonts w:ascii="SYMBOL" w:hAnsi="SYMBOL"/>
                <w:color w:val="B94831"/>
                <w:sz w:val="12"/>
              </w:rPr>
              <w:t>·</w:t>
            </w:r>
            <w:r>
              <w:rPr>
                <w:rFonts w:ascii="arial" w:hAnsi="arial"/>
                <w:sz w:val="16"/>
              </w:rPr>
              <w:t> In-camera meetings of independent directors only</w:t>
            </w:r>
          </w:p>
        </w:tc>
      </w:tr>
      <w:tr>
        <w:trPr/>
        <w:tc>
          <w:tcPr>
            <w:tcW w:w="1301" w:type="dxa"/>
            <w:tcBorders/>
            <w:shd w:fill="auto" w:val="clear"/>
          </w:tcPr>
          <w:p>
            <w:pPr>
              <w:pStyle w:val="TableContents"/>
              <w:spacing w:before="0" w:after="0"/>
              <w:rPr/>
            </w:pPr>
            <w:r>
              <w:rPr/>
              <w:t>   </w:t>
            </w:r>
            <w:r>
              <w:rPr>
                <w:rFonts w:ascii="Arial" w:hAnsi="Arial"/>
                <w:b/>
                <w:sz w:val="16"/>
              </w:rPr>
              <w:t>Periodically</w:t>
            </w:r>
          </w:p>
        </w:tc>
        <w:tc>
          <w:tcPr>
            <w:tcW w:w="215" w:type="dxa"/>
            <w:tcBorders/>
            <w:shd w:fill="auto" w:val="clear"/>
            <w:vAlign w:val="bottom"/>
          </w:tcPr>
          <w:p>
            <w:pPr>
              <w:pStyle w:val="TableContents"/>
              <w:spacing w:before="0" w:after="283"/>
              <w:rPr/>
            </w:pPr>
            <w:r>
              <w:rPr/>
              <w:t>  </w:t>
            </w:r>
          </w:p>
        </w:tc>
        <w:tc>
          <w:tcPr>
            <w:tcW w:w="8689" w:type="dxa"/>
            <w:tcBorders/>
            <w:shd w:fill="auto" w:val="cle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 Strategic and management discussions related to individual businesses or sectors</w:t>
            </w:r>
          </w:p>
          <w:p>
            <w:pPr>
              <w:pStyle w:val="TableContents"/>
              <w:spacing w:before="0" w:after="0"/>
              <w:rPr>
                <w:rFonts w:ascii="arial" w:hAnsi="arial"/>
                <w:sz w:val="16"/>
              </w:rPr>
            </w:pPr>
            <w:r>
              <w:rPr>
                <w:rFonts w:ascii="SYMBOL" w:hAnsi="SYMBOL"/>
                <w:color w:val="B94831"/>
                <w:sz w:val="12"/>
              </w:rPr>
              <w:t>·</w:t>
            </w:r>
            <w:r>
              <w:rPr>
                <w:rFonts w:ascii="arial" w:hAnsi="arial"/>
                <w:sz w:val="16"/>
              </w:rPr>
              <w:t> Reports from the Chairs of the Audit, Corporate Governance, HR and Risk Committees</w:t>
            </w:r>
          </w:p>
          <w:p>
            <w:pPr>
              <w:pStyle w:val="TableContents"/>
              <w:spacing w:before="0" w:after="0"/>
              <w:rPr>
                <w:rFonts w:ascii="arial" w:hAnsi="arial"/>
                <w:sz w:val="16"/>
              </w:rPr>
            </w:pPr>
            <w:r>
              <w:rPr>
                <w:rFonts w:ascii="SYMBOL" w:hAnsi="SYMBOL"/>
                <w:color w:val="B94831"/>
                <w:sz w:val="12"/>
              </w:rPr>
              <w:t>·</w:t>
            </w:r>
            <w:r>
              <w:rPr>
                <w:rFonts w:ascii="arial" w:hAnsi="arial"/>
                <w:sz w:val="16"/>
              </w:rPr>
              <w:t> ERM</w:t>
            </w:r>
          </w:p>
          <w:p>
            <w:pPr>
              <w:pStyle w:val="TableContents"/>
              <w:spacing w:before="0" w:after="0"/>
              <w:rPr>
                <w:rFonts w:ascii="arial" w:hAnsi="arial"/>
                <w:sz w:val="16"/>
              </w:rPr>
            </w:pPr>
            <w:r>
              <w:rPr>
                <w:rFonts w:ascii="SYMBOL" w:hAnsi="SYMBOL"/>
                <w:color w:val="B94831"/>
                <w:sz w:val="12"/>
              </w:rPr>
              <w:t>·</w:t>
            </w:r>
            <w:r>
              <w:rPr>
                <w:rFonts w:ascii="arial" w:hAnsi="arial"/>
                <w:sz w:val="16"/>
              </w:rPr>
              <w:t> Proposed significant acquisitions and dispositions</w:t>
            </w:r>
          </w:p>
          <w:p>
            <w:pPr>
              <w:pStyle w:val="TableContents"/>
              <w:spacing w:before="0" w:after="0"/>
              <w:rPr>
                <w:rFonts w:ascii="arial" w:hAnsi="arial"/>
                <w:sz w:val="16"/>
              </w:rPr>
            </w:pPr>
            <w:r>
              <w:rPr>
                <w:rFonts w:ascii="SYMBOL" w:hAnsi="SYMBOL"/>
                <w:color w:val="B94831"/>
                <w:sz w:val="12"/>
              </w:rPr>
              <w:t>·</w:t>
            </w:r>
            <w:r>
              <w:rPr>
                <w:rFonts w:ascii="arial" w:hAnsi="arial"/>
                <w:sz w:val="16"/>
              </w:rPr>
              <w:t> Product updates</w:t>
            </w:r>
          </w:p>
          <w:p>
            <w:pPr>
              <w:pStyle w:val="TableContents"/>
              <w:spacing w:before="0" w:after="0"/>
              <w:rPr>
                <w:rFonts w:ascii="arial" w:hAnsi="arial"/>
                <w:sz w:val="16"/>
              </w:rPr>
            </w:pPr>
            <w:r>
              <w:rPr>
                <w:rFonts w:ascii="SYMBOL" w:hAnsi="SYMBOL"/>
                <w:color w:val="B94831"/>
                <w:sz w:val="12"/>
              </w:rPr>
              <w:t>·</w:t>
            </w:r>
            <w:r>
              <w:rPr>
                <w:rFonts w:ascii="arial" w:hAnsi="arial"/>
                <w:sz w:val="16"/>
              </w:rPr>
              <w:t> Proposed capital markets transactions</w:t>
            </w:r>
          </w:p>
          <w:p>
            <w:pPr>
              <w:pStyle w:val="TableContents"/>
              <w:spacing w:before="0" w:after="20"/>
              <w:rPr>
                <w:rFonts w:ascii="arial" w:hAnsi="arial"/>
                <w:sz w:val="16"/>
              </w:rPr>
            </w:pPr>
            <w:r>
              <w:rPr>
                <w:rFonts w:ascii="SYMBOL" w:hAnsi="SYMBOL"/>
                <w:color w:val="B94831"/>
                <w:sz w:val="12"/>
              </w:rPr>
              <w:t>·</w:t>
            </w:r>
            <w:r>
              <w:rPr>
                <w:rFonts w:ascii="arial" w:hAnsi="arial"/>
                <w:sz w:val="16"/>
              </w:rPr>
              <w:t> Competitive analysis</w:t>
            </w:r>
          </w:p>
        </w:tc>
      </w:tr>
    </w:tbl>
    <w:p>
      <w:pPr>
        <w:pStyle w:val="TextBody"/>
        <w:pBdr>
          <w:bottom w:val="single" w:sz="8" w:space="1" w:color="B94831"/>
        </w:pBdr>
        <w:spacing w:lineRule="atLeast" w:line="141" w:before="0" w:after="4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Strategic Planning </w:t>
      </w:r>
    </w:p>
    <w:p>
      <w:pPr>
        <w:pStyle w:val="TextBody"/>
        <w:spacing w:before="40" w:after="0"/>
        <w:jc w:val="left"/>
        <w:rPr>
          <w:rFonts w:ascii="arial" w:hAnsi="arial"/>
          <w:sz w:val="20"/>
        </w:rPr>
      </w:pPr>
      <w:r>
        <w:rPr>
          <w:rFonts w:ascii="arial" w:hAnsi="arial"/>
          <w:sz w:val="20"/>
        </w:rPr>
        <w:t xml:space="preserve">The Board plays an important role in strategic planning and direction throughout the year. </w:t>
      </w:r>
    </w:p>
    <w:p>
      <w:pPr>
        <w:pStyle w:val="TextBody"/>
        <w:spacing w:before="120" w:after="0"/>
        <w:jc w:val="left"/>
        <w:rPr>
          <w:rFonts w:ascii="arial" w:hAnsi="arial"/>
          <w:sz w:val="20"/>
        </w:rPr>
      </w:pPr>
      <w:r>
        <w:rPr>
          <w:rFonts w:ascii="arial" w:hAnsi="arial"/>
          <w:sz w:val="20"/>
        </w:rPr>
        <w:t xml:space="preserve">In January, the Board meets with management to review, discuss and approve the final version of our annual operating plan, which is prepared by our CEO, CFO and other senior executives. The plan typically addresses: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Competitive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Business outlook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Preliminary full-year financial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Financial projections for a three-year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Other key performance indicators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Annual dividend and share repurchase program recommendations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Risks </w:t>
            </w:r>
          </w:p>
        </w:tc>
      </w:tr>
    </w:tbl>
    <w:p>
      <w:pPr>
        <w:pStyle w:val="TextBody"/>
        <w:spacing w:before="120" w:after="0"/>
        <w:jc w:val="left"/>
        <w:rPr>
          <w:rFonts w:ascii="arial" w:hAnsi="arial"/>
          <w:sz w:val="20"/>
        </w:rPr>
      </w:pPr>
      <w:r>
        <w:rPr>
          <w:rFonts w:ascii="arial" w:hAnsi="arial"/>
          <w:sz w:val="20"/>
        </w:rPr>
        <w:t xml:space="preserve">Throughout the year, the Board and management discuss our progress against the plan. In 2022, the Board focused its meeting in September on corporate strategy. As part of this meeting, directors had an in-depth discussion about our companys strategic plans with our CEO and CFO and other senior executives. Strategy discussions typically cover topics such as technology, the current condition of our business segments, future growth potential of our businesses and the key market segments that we serve, and how we are seeking to increase shareholder value. </w:t>
      </w:r>
    </w:p>
    <w:p>
      <w:pPr>
        <w:pStyle w:val="TextBody"/>
        <w:spacing w:before="120" w:after="0"/>
        <w:jc w:val="left"/>
        <w:rPr>
          <w:rFonts w:ascii="arial" w:hAnsi="arial"/>
          <w:sz w:val="20"/>
        </w:rPr>
      </w:pPr>
      <w:r>
        <w:rPr>
          <w:rFonts w:ascii="arial" w:hAnsi="arial"/>
          <w:sz w:val="20"/>
        </w:rPr>
        <w:t xml:space="preserve">The Board also discusses various strategic issues with management at other meetings during the year. For example, the Board discussed our capital strategy with the CFO in September. In addition, various presidents of our business segments provide updates to the Board at meetings during the year and those discussions typically address the segments current operations and strategic objectives. </w:t>
      </w:r>
    </w:p>
    <w:p>
      <w:pPr>
        <w:pStyle w:val="TextBody"/>
        <w:spacing w:before="120" w:after="0"/>
        <w:jc w:val="left"/>
        <w:rPr>
          <w:rFonts w:ascii="arial" w:hAnsi="arial"/>
          <w:color w:val="B94831"/>
          <w:sz w:val="28"/>
        </w:rPr>
      </w:pPr>
      <w:r>
        <w:rPr>
          <w:rFonts w:ascii="arial" w:hAnsi="arial"/>
          <w:color w:val="B94831"/>
          <w:sz w:val="28"/>
        </w:rPr>
        <w:t xml:space="preserve">Risk Oversight </w:t>
      </w:r>
    </w:p>
    <w:p>
      <w:pPr>
        <w:pStyle w:val="TextBody"/>
        <w:spacing w:before="120" w:after="0"/>
        <w:jc w:val="left"/>
        <w:rPr>
          <w:rFonts w:ascii="arial" w:hAnsi="arial"/>
          <w:sz w:val="20"/>
        </w:rPr>
      </w:pPr>
      <w:r>
        <w:rPr>
          <w:rFonts w:ascii="arial" w:hAnsi="arial"/>
          <w:sz w:val="20"/>
        </w:rPr>
        <w:t xml:space="preserve">Our management team is responsible for day-to-day risk identification and risk management. The Board is responsible for confirming that a system is in place to identify the principal risks facing Thomson Reuters and that appropriate procedures and systems are in place to monitor, mitigate and manage those risks. </w:t>
      </w:r>
    </w:p>
    <w:p>
      <w:pPr>
        <w:pStyle w:val="TextBody"/>
        <w:spacing w:before="120" w:after="0"/>
        <w:jc w:val="left"/>
        <w:rPr>
          <w:rFonts w:ascii="arial" w:hAnsi="arial"/>
          <w:sz w:val="20"/>
        </w:rPr>
      </w:pPr>
      <w:r>
        <w:rPr>
          <w:rFonts w:ascii="arial" w:hAnsi="arial"/>
          <w:sz w:val="20"/>
        </w:rPr>
        <w:t xml:space="preserve">The ERM process at our company is intended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identify the most significant operational, strategic, trust, financial and other risks in each of our business segments as well as for our corporate center, considering both the external environment as well as internal changes related to structure, strategy, people and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assess which of these risks individually or together with other identified risks could have a significant impact on Thomson Reuters as an enterprise if they were to materialize;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develop and implement action plans for the enterprise risks and review them periodically at a corporate and Board level.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240" w:after="0"/>
        <w:jc w:val="left"/>
        <w:rPr>
          <w:rFonts w:ascii="arial" w:hAnsi="arial"/>
          <w:sz w:val="30"/>
        </w:rPr>
      </w:pPr>
      <w:r>
        <w:rPr>
          <w:rFonts w:ascii="arial" w:hAnsi="arial"/>
          <w:sz w:val="30"/>
        </w:rPr>
        <w:t xml:space="preserve">Our ERM process is designed to enhance the identification and response to risk throughout Thomson Reuters and assist the Board and its committees with oversight responsibility for risk management.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Each year, we conduct an enterprise top risk assessment exercise. The risk governance team conducts risk identification and assessment workshops throughout Thomson Reuters utilizing the prior years top identified risks and inputs from Board interviews (which are discussed below). Relevant business segments and enabling functions then create their own lists of applicable top risks. These risk assessments and lists then roll up into an enterprise top risk profile. The ERM process owner and the chairs of our management enterprise risk committee, who track and monitor enterprise risks, utilize this information to create a proposed consolidated top enterprise risks list across Thomson Reuters. The management enterprise risk committee is comprised of various Thomson Reuters senior leaders from Corporate functional departments and each business segment and is co-chaired by the Chief Legal Officer and Chief Operations and Technology Officer. This committee assesses the status of identified risks and reviews the adequacy of applicable response plans, and then submits a list of proposed top enterprise risks to the CEOs operating leadership network.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As part of the ERM process, directors are interviewed before the Boards first meeting of the year in January. Directors are asked to consider certain risk factors and definitions of impact and likelihood related to the ERM process, considering their own knowledge of our company and business experience. Directors then provide input for Thomson Reuters business segments and enabling functions to consider in assessing enterprise risks for the year. Utilizing this information and an anonymized list of risks and input from the Board interviews, the management enterprise risk committee reviews and agrees upon the top enterprise risks to present to the Boards Risk Committee for review, input and approval. In addition, ownership for each of the top risks is assigned to members of the CEOs operating leadership network and delegates are designated among the management enterprise risk committee. The ERM process owner and their team hold regular touchpoints with the risk owners and their delegates to monitor the management of the risk profile as well as the execution of the risk response and associated action plans. </w:t>
      </w:r>
    </w:p>
    <w:p>
      <w:pPr>
        <w:pStyle w:val="TextBody"/>
        <w:spacing w:before="120" w:after="0"/>
        <w:jc w:val="left"/>
        <w:rPr>
          <w:rFonts w:ascii="arial" w:hAnsi="arial"/>
          <w:sz w:val="20"/>
        </w:rPr>
      </w:pPr>
      <w:r>
        <w:rPr>
          <w:rFonts w:ascii="arial" w:hAnsi="arial"/>
          <w:sz w:val="20"/>
        </w:rPr>
        <w:t xml:space="preserve">Throughout the year, the management enterprise risk committee also provides direction, prioritization, executive support and communication to others at the company involved in the ERM process. Executives responsible for specific risk response periodically report to the management enterprise risk committee, the Boards Risk Committee, the full Board of Directors or other Board committees, as appropriate, during the year. For our business segments and enabling functions, ERM is an ongoing process under continuous management review and the ERM process owners are asked to keep their risk lists current and to provide updates on risk levels. We involve our Corporate Compliance and Audit department in the review of certain identified risks, as appropriate or upon request. </w:t>
      </w:r>
    </w:p>
    <w:p>
      <w:pPr>
        <w:pStyle w:val="TextBody"/>
        <w:spacing w:before="120" w:after="0"/>
        <w:jc w:val="left"/>
        <w:rPr>
          <w:rFonts w:ascii="arial" w:hAnsi="arial"/>
          <w:sz w:val="20"/>
        </w:rPr>
      </w:pPr>
      <w:r>
        <w:rPr>
          <w:rFonts w:ascii="arial" w:hAnsi="arial"/>
          <w:sz w:val="20"/>
        </w:rPr>
        <w:t xml:space="preserve">While the Board discusses various enterprise risks throughout the year with management, the Risk Committee is primarily responsible for overseeing managements ERM process and progress with responding to top enterprise risks. The Audit Committee oversees overall risk assessment and risk management and focuses primarily on financial risks. </w:t>
      </w:r>
    </w:p>
    <w:p>
      <w:pPr>
        <w:pStyle w:val="TextBody"/>
        <w:spacing w:before="120" w:after="0"/>
        <w:jc w:val="left"/>
        <w:rPr>
          <w:rFonts w:ascii="arial" w:hAnsi="arial"/>
          <w:sz w:val="20"/>
        </w:rPr>
      </w:pPr>
      <w:r>
        <w:rPr>
          <w:rFonts w:ascii="arial" w:hAnsi="arial"/>
          <w:sz w:val="20"/>
        </w:rPr>
        <w:t xml:space="preserve">The HR Committees responsibilities include establishing, implementing and overseeing our compensation and talent policies and programs. We have designed our compensation programs to provide an appropriate balance of risk and reward in relation to the companys overall business strategy and culture. Please see the Compensation Discussion and Analysis section of this circular for additional information regarding why we believe that our compensation programs do not incentivize our executives to take unnecessary or excessive risks. </w:t>
      </w:r>
    </w:p>
    <w:p>
      <w:pPr>
        <w:pStyle w:val="TextBody"/>
        <w:spacing w:before="120" w:after="0"/>
        <w:jc w:val="left"/>
        <w:rPr>
          <w:rFonts w:ascii="arial" w:hAnsi="arial"/>
          <w:sz w:val="20"/>
        </w:rPr>
      </w:pPr>
      <w:r>
        <w:rPr>
          <w:rFonts w:ascii="arial" w:hAnsi="arial"/>
          <w:sz w:val="20"/>
        </w:rPr>
        <w:t xml:space="preserve">The chairs of the Risk Committee, Audit Committee and HR Committee each report to the Board after their respective committee meetings. </w:t>
      </w:r>
    </w:p>
    <w:p>
      <w:pPr>
        <w:pStyle w:val="TextBody"/>
        <w:spacing w:before="120" w:after="0"/>
        <w:jc w:val="left"/>
        <w:rPr>
          <w:rFonts w:ascii="arial" w:hAnsi="arial"/>
          <w:sz w:val="20"/>
        </w:rPr>
      </w:pPr>
      <w:r>
        <w:rPr>
          <w:rFonts w:ascii="arial" w:hAnsi="arial"/>
          <w:sz w:val="20"/>
        </w:rPr>
        <w:t xml:space="preserve">The table below reflects oversight responsibilities for each of the 2022 enterprise risks listed.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77"/>
        <w:gridCol w:w="207"/>
        <w:gridCol w:w="2136"/>
        <w:gridCol w:w="226"/>
        <w:gridCol w:w="1836"/>
        <w:gridCol w:w="226"/>
        <w:gridCol w:w="1677"/>
        <w:gridCol w:w="226"/>
        <w:gridCol w:w="894"/>
      </w:tblGrid>
      <w:tr>
        <w:trPr/>
        <w:tc>
          <w:tcPr>
            <w:tcW w:w="277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r>
      <w:tr>
        <w:trPr/>
        <w:tc>
          <w:tcPr>
            <w:tcW w:w="2777"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r>
              <w:rPr>
                <w:rFonts w:ascii="Arial" w:hAnsi="Arial"/>
                <w:b/>
                <w:color w:val="FFFFFF"/>
              </w:rPr>
              <w:t>Enterprise Risk</w:t>
            </w:r>
          </w:p>
        </w:tc>
        <w:tc>
          <w:tcPr>
            <w:tcW w:w="207" w:type="dxa"/>
            <w:tcBorders>
              <w:bottom w:val="single" w:sz="8" w:space="0" w:color="B94831"/>
            </w:tcBorders>
            <w:shd w:fill="262626" w:val="clear"/>
            <w:tcMar>
              <w:bottom w:w="28" w:type="dxa"/>
            </w:tcMar>
            <w:vAlign w:val="bottom"/>
          </w:tcPr>
          <w:p>
            <w:pPr>
              <w:pStyle w:val="TableContents"/>
              <w:spacing w:before="0" w:after="283"/>
              <w:rPr/>
            </w:pPr>
            <w:r>
              <w:rPr/>
              <w:t>  </w:t>
            </w:r>
          </w:p>
        </w:tc>
        <w:tc>
          <w:tcPr>
            <w:tcW w:w="2136"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Board of Directors</w:t>
            </w:r>
          </w:p>
        </w:tc>
        <w:tc>
          <w:tcPr>
            <w:tcW w:w="226" w:type="dxa"/>
            <w:tcBorders>
              <w:bottom w:val="single" w:sz="8" w:space="0" w:color="B94831"/>
            </w:tcBorders>
            <w:shd w:fill="262626" w:val="clear"/>
            <w:tcMar>
              <w:bottom w:w="28" w:type="dxa"/>
            </w:tcMar>
            <w:vAlign w:val="bottom"/>
          </w:tcPr>
          <w:p>
            <w:pPr>
              <w:pStyle w:val="TableContents"/>
              <w:spacing w:before="0" w:after="283"/>
              <w:rPr/>
            </w:pPr>
            <w:r>
              <w:rPr/>
              <w:t>  </w:t>
            </w:r>
          </w:p>
        </w:tc>
        <w:tc>
          <w:tcPr>
            <w:tcW w:w="1836"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Risk Committee</w:t>
            </w:r>
          </w:p>
        </w:tc>
        <w:tc>
          <w:tcPr>
            <w:tcW w:w="226" w:type="dxa"/>
            <w:tcBorders>
              <w:bottom w:val="single" w:sz="8" w:space="0" w:color="B94831"/>
            </w:tcBorders>
            <w:shd w:fill="262626" w:val="clear"/>
            <w:tcMar>
              <w:bottom w:w="28" w:type="dxa"/>
            </w:tcMar>
            <w:vAlign w:val="bottom"/>
          </w:tcPr>
          <w:p>
            <w:pPr>
              <w:pStyle w:val="TableContents"/>
              <w:spacing w:before="0" w:after="283"/>
              <w:rPr/>
            </w:pPr>
            <w:r>
              <w:rPr/>
              <w:t>  </w:t>
            </w:r>
          </w:p>
        </w:tc>
        <w:tc>
          <w:tcPr>
            <w:tcW w:w="1677"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HR Committee</w:t>
            </w:r>
          </w:p>
        </w:tc>
        <w:tc>
          <w:tcPr>
            <w:tcW w:w="226" w:type="dxa"/>
            <w:tcBorders>
              <w:bottom w:val="single" w:sz="8" w:space="0" w:color="B94831"/>
            </w:tcBorders>
            <w:shd w:fill="262626" w:val="clear"/>
            <w:tcMar>
              <w:bottom w:w="28" w:type="dxa"/>
            </w:tcMar>
            <w:vAlign w:val="bottom"/>
          </w:tcPr>
          <w:p>
            <w:pPr>
              <w:pStyle w:val="TableContents"/>
              <w:spacing w:before="0" w:after="283"/>
              <w:rPr/>
            </w:pPr>
            <w:r>
              <w:rPr/>
              <w:t>  </w:t>
            </w:r>
          </w:p>
        </w:tc>
        <w:tc>
          <w:tcPr>
            <w:tcW w:w="894" w:type="dxa"/>
            <w:tcBorders>
              <w:bottom w:val="single" w:sz="8" w:space="0" w:color="B94831"/>
            </w:tcBorders>
            <w:shd w:fill="262626" w:val="clear"/>
            <w:tcMar>
              <w:bottom w:w="28" w:type="dxa"/>
            </w:tcMar>
            <w:vAlign w:val="bottom"/>
          </w:tcPr>
          <w:p>
            <w:pPr>
              <w:pStyle w:val="TableContents"/>
              <w:spacing w:before="0" w:after="0"/>
              <w:jc w:val="center"/>
              <w:rPr>
                <w:rFonts w:ascii="Arial" w:hAnsi="Arial"/>
                <w:b/>
                <w:color w:val="FFFFFF"/>
                <w:sz w:val="16"/>
              </w:rPr>
            </w:pPr>
            <w:r>
              <w:rPr>
                <w:rFonts w:ascii="Arial" w:hAnsi="Arial"/>
                <w:b/>
                <w:color w:val="FFFFFF"/>
                <w:sz w:val="16"/>
              </w:rPr>
              <w:t>Audit</w:t>
            </w:r>
          </w:p>
          <w:p>
            <w:pPr>
              <w:pStyle w:val="TableContents"/>
              <w:spacing w:before="0" w:after="20"/>
              <w:jc w:val="center"/>
              <w:rPr>
                <w:rFonts w:ascii="Arial" w:hAnsi="Arial"/>
                <w:b/>
                <w:color w:val="FFFFFF"/>
                <w:sz w:val="16"/>
              </w:rPr>
            </w:pPr>
            <w:r>
              <w:rPr>
                <w:rFonts w:ascii="Arial" w:hAnsi="Arial"/>
                <w:b/>
                <w:color w:val="FFFFFF"/>
                <w:sz w:val="16"/>
              </w:rPr>
              <w:t>Committee</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Talent and culture</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Future of Work</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Dependency on relationship ecosystem</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Erosion of trust in institutions and media</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Information security</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Platform and product stability and resiliency</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Data governance (including privacy)</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Competition, market and technology changes</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Geo-political environment</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Inability to acquire, integrate and innovate</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rPr/>
            </w:pPr>
            <w:r>
              <w:rPr/>
              <w:t> </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Change Program</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c>
          <w:tcPr>
            <w:tcW w:w="2777"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Compliance with laws and regulations</w:t>
            </w:r>
          </w:p>
        </w:tc>
        <w:tc>
          <w:tcPr>
            <w:tcW w:w="207" w:type="dxa"/>
            <w:tcBorders>
              <w:bottom w:val="single" w:sz="2" w:space="0" w:color="AFAFAF"/>
            </w:tcBorders>
            <w:shd w:fill="auto" w:val="clear"/>
            <w:tcMar>
              <w:bottom w:w="28" w:type="dxa"/>
            </w:tcMar>
            <w:vAlign w:val="bottom"/>
          </w:tcPr>
          <w:p>
            <w:pPr>
              <w:pStyle w:val="TableContents"/>
              <w:spacing w:before="0" w:after="283"/>
              <w:rPr/>
            </w:pPr>
            <w:r>
              <w:rPr/>
              <w:t>  </w:t>
            </w:r>
          </w:p>
        </w:tc>
        <w:tc>
          <w:tcPr>
            <w:tcW w:w="21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836"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167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226" w:type="dxa"/>
            <w:tcBorders>
              <w:bottom w:val="single" w:sz="2" w:space="0" w:color="AFAFAF"/>
            </w:tcBorders>
            <w:shd w:fill="auto" w:val="clear"/>
            <w:tcMar>
              <w:bottom w:w="28" w:type="dxa"/>
            </w:tcMar>
            <w:vAlign w:val="bottom"/>
          </w:tcPr>
          <w:p>
            <w:pPr>
              <w:pStyle w:val="TableContents"/>
              <w:spacing w:before="0" w:after="283"/>
              <w:rPr/>
            </w:pPr>
            <w:r>
              <w:rPr/>
              <w:t>  </w:t>
            </w:r>
          </w:p>
        </w:tc>
        <w:tc>
          <w:tcPr>
            <w:tcW w:w="894" w:type="dxa"/>
            <w:tcBorders>
              <w:bottom w:val="single" w:sz="2" w:space="0" w:color="AFAFAF"/>
            </w:tcBorders>
            <w:shd w:fill="auto" w:val="clear"/>
            <w:tcMar>
              <w:bottom w:w="28" w:type="dxa"/>
            </w:tcMar>
            <w:vAlign w:val="bottom"/>
          </w:tcPr>
          <w:p>
            <w:pPr>
              <w:pStyle w:val="TableContents"/>
              <w:spacing w:before="0" w:after="283"/>
              <w:jc w:val="center"/>
              <w:rPr/>
            </w:pPr>
            <w:r>
              <w:rPr/>
              <w:t>✓</w:t>
            </w:r>
          </w:p>
        </w:tc>
      </w:tr>
      <w:tr>
        <w:trPr/>
        <w:tc>
          <w:tcPr>
            <w:tcW w:w="2777" w:type="dxa"/>
            <w:tcBorders>
              <w:bottom w:val="single" w:sz="8" w:space="0" w:color="B94831"/>
            </w:tcBorders>
            <w:shd w:fill="auto" w:val="clear"/>
            <w:tcMar>
              <w:bottom w:w="28" w:type="dxa"/>
            </w:tcMar>
          </w:tcPr>
          <w:p>
            <w:pPr>
              <w:pStyle w:val="TableContents"/>
              <w:spacing w:before="0" w:after="0"/>
              <w:rPr/>
            </w:pPr>
            <w:r>
              <w:rPr/>
              <w:t>   </w:t>
            </w:r>
            <w:r>
              <w:rPr>
                <w:rFonts w:ascii="Arial" w:hAnsi="Arial"/>
                <w:b/>
                <w:sz w:val="16"/>
              </w:rPr>
              <w:t>Safety of personnel</w:t>
            </w:r>
          </w:p>
        </w:tc>
        <w:tc>
          <w:tcPr>
            <w:tcW w:w="207" w:type="dxa"/>
            <w:tcBorders>
              <w:bottom w:val="single" w:sz="8" w:space="0" w:color="B94831"/>
            </w:tcBorders>
            <w:shd w:fill="auto" w:val="clear"/>
            <w:tcMar>
              <w:bottom w:w="28" w:type="dxa"/>
            </w:tcMar>
            <w:vAlign w:val="bottom"/>
          </w:tcPr>
          <w:p>
            <w:pPr>
              <w:pStyle w:val="TableContents"/>
              <w:spacing w:before="0" w:after="283"/>
              <w:rPr/>
            </w:pPr>
            <w:r>
              <w:rPr/>
              <w:t>  </w:t>
            </w:r>
          </w:p>
        </w:tc>
        <w:tc>
          <w:tcPr>
            <w:tcW w:w="2136"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226" w:type="dxa"/>
            <w:tcBorders>
              <w:bottom w:val="single" w:sz="8" w:space="0" w:color="B94831"/>
            </w:tcBorders>
            <w:shd w:fill="auto" w:val="clear"/>
            <w:tcMar>
              <w:bottom w:w="28" w:type="dxa"/>
            </w:tcMar>
            <w:vAlign w:val="bottom"/>
          </w:tcPr>
          <w:p>
            <w:pPr>
              <w:pStyle w:val="TableContents"/>
              <w:spacing w:before="0" w:after="283"/>
              <w:rPr/>
            </w:pPr>
            <w:r>
              <w:rPr/>
              <w:t>  </w:t>
            </w:r>
          </w:p>
        </w:tc>
        <w:tc>
          <w:tcPr>
            <w:tcW w:w="1836"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226" w:type="dxa"/>
            <w:tcBorders>
              <w:bottom w:val="single" w:sz="8" w:space="0" w:color="B94831"/>
            </w:tcBorders>
            <w:shd w:fill="auto" w:val="clear"/>
            <w:tcMar>
              <w:bottom w:w="28" w:type="dxa"/>
            </w:tcMar>
            <w:vAlign w:val="bottom"/>
          </w:tcPr>
          <w:p>
            <w:pPr>
              <w:pStyle w:val="TableContents"/>
              <w:spacing w:before="0" w:after="283"/>
              <w:rPr/>
            </w:pPr>
            <w:r>
              <w:rPr/>
              <w:t>  </w:t>
            </w:r>
          </w:p>
        </w:tc>
        <w:tc>
          <w:tcPr>
            <w:tcW w:w="167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226" w:type="dxa"/>
            <w:tcBorders>
              <w:bottom w:val="single" w:sz="8" w:space="0" w:color="B94831"/>
            </w:tcBorders>
            <w:shd w:fill="auto" w:val="clear"/>
            <w:tcMar>
              <w:bottom w:w="28" w:type="dxa"/>
            </w:tcMar>
            <w:vAlign w:val="bottom"/>
          </w:tcPr>
          <w:p>
            <w:pPr>
              <w:pStyle w:val="TableContents"/>
              <w:spacing w:before="0" w:after="283"/>
              <w:rPr/>
            </w:pPr>
            <w:r>
              <w:rPr/>
              <w:t>  </w:t>
            </w:r>
          </w:p>
        </w:tc>
        <w:tc>
          <w:tcPr>
            <w:tcW w:w="894"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Environmental, Social and Governance (ESG) Oversight </w:t>
      </w:r>
    </w:p>
    <w:p>
      <w:pPr>
        <w:pStyle w:val="TextBody"/>
        <w:spacing w:before="40" w:after="0"/>
        <w:jc w:val="left"/>
        <w:rPr>
          <w:rFonts w:ascii="arial" w:hAnsi="arial"/>
          <w:sz w:val="20"/>
        </w:rPr>
      </w:pPr>
      <w:r>
        <w:rPr>
          <w:rFonts w:ascii="arial" w:hAnsi="arial"/>
          <w:sz w:val="20"/>
        </w:rPr>
        <w:t xml:space="preserve">ESG is overseen by the Board and its committees. Management is responsible for updating the Board and its committees on ESG topics and assessing ESG-related risks. For more information about our ESG initiatives, please see the ESG section of this circular. </w:t>
      </w:r>
    </w:p>
    <w:p>
      <w:pPr>
        <w:pStyle w:val="TextBody"/>
        <w:spacing w:before="120" w:after="0"/>
        <w:jc w:val="left"/>
        <w:rPr>
          <w:rFonts w:ascii="arial" w:hAnsi="arial"/>
          <w:sz w:val="20"/>
        </w:rPr>
      </w:pPr>
      <w:r>
        <w:rPr>
          <w:rFonts w:ascii="arial" w:hAnsi="arial"/>
          <w:sz w:val="20"/>
        </w:rPr>
        <w:t xml:space="preserve">The following table sets forth the division of primary ESG oversight responsibilities between the Board and its committees.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13"/>
        <w:gridCol w:w="121"/>
        <w:gridCol w:w="7671"/>
      </w:tblGrid>
      <w:tr>
        <w:trPr/>
        <w:tc>
          <w:tcPr>
            <w:tcW w:w="241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67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413" w:type="dxa"/>
            <w:tcBorders/>
            <w:shd w:fill="262626" w:val="clear"/>
            <w:vAlign w:val="center"/>
          </w:tcPr>
          <w:p>
            <w:pPr>
              <w:pStyle w:val="TableContents"/>
              <w:spacing w:before="0" w:after="283"/>
              <w:rPr>
                <w:sz w:val="4"/>
                <w:szCs w:val="4"/>
              </w:rPr>
            </w:pPr>
            <w:r>
              <w:rPr>
                <w:sz w:val="4"/>
                <w:szCs w:val="4"/>
              </w:rPr>
            </w:r>
          </w:p>
        </w:tc>
        <w:tc>
          <w:tcPr>
            <w:tcW w:w="7792" w:type="dxa"/>
            <w:gridSpan w:val="2"/>
            <w:tcBorders/>
            <w:shd w:fill="262626" w:val="clear"/>
            <w:vAlign w:val="center"/>
          </w:tcPr>
          <w:p>
            <w:pPr>
              <w:pStyle w:val="TableContents"/>
              <w:spacing w:before="0" w:after="283"/>
              <w:rPr>
                <w:sz w:val="4"/>
                <w:szCs w:val="4"/>
              </w:rPr>
            </w:pPr>
            <w:r>
              <w:rPr>
                <w:sz w:val="4"/>
                <w:szCs w:val="4"/>
              </w:rPr>
            </w:r>
          </w:p>
        </w:tc>
      </w:tr>
      <w:tr>
        <w:trPr/>
        <w:tc>
          <w:tcPr>
            <w:tcW w:w="2413" w:type="dxa"/>
            <w:tcBorders>
              <w:bottom w:val="single" w:sz="8" w:space="0" w:color="B94831"/>
            </w:tcBorders>
            <w:shd w:fill="262626" w:val="clear"/>
            <w:tcMar>
              <w:bottom w:w="28" w:type="dxa"/>
            </w:tcMar>
            <w:vAlign w:val="bottom"/>
          </w:tcPr>
          <w:p>
            <w:pPr>
              <w:pStyle w:val="TableContents"/>
              <w:spacing w:before="0" w:after="283"/>
              <w:rPr/>
            </w:pPr>
            <w:r>
              <w:rPr/>
              <w:t> </w:t>
            </w:r>
          </w:p>
        </w:tc>
        <w:tc>
          <w:tcPr>
            <w:tcW w:w="121" w:type="dxa"/>
            <w:tcBorders>
              <w:bottom w:val="single" w:sz="8" w:space="0" w:color="B94831"/>
            </w:tcBorders>
            <w:shd w:fill="262626" w:val="clear"/>
            <w:tcMar>
              <w:bottom w:w="28" w:type="dxa"/>
            </w:tcMar>
            <w:vAlign w:val="bottom"/>
          </w:tcPr>
          <w:p>
            <w:pPr>
              <w:pStyle w:val="TableContents"/>
              <w:spacing w:before="0" w:after="283"/>
              <w:rPr/>
            </w:pPr>
            <w:r>
              <w:rPr/>
              <w:t>  </w:t>
            </w:r>
          </w:p>
        </w:tc>
        <w:tc>
          <w:tcPr>
            <w:tcW w:w="7671"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Primary ESG Oversight Responsibilities</w:t>
            </w:r>
          </w:p>
        </w:tc>
      </w:tr>
      <w:tr>
        <w:trPr/>
        <w:tc>
          <w:tcPr>
            <w:tcW w:w="241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Corporate Governance Committee</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7671" w:type="dxa"/>
            <w:tcBorders>
              <w:bottom w:val="single" w:sz="2" w:space="0" w:color="AFAFAF"/>
            </w:tcBorders>
            <w:shd w:fill="auto" w:val="clear"/>
            <w:tcMar>
              <w:bottom w:w="28" w:type="dxa"/>
            </w:tcMar>
            <w:vAlign w:val="bottom"/>
          </w:tcPr>
          <w:p>
            <w:pPr>
              <w:pStyle w:val="TableContents"/>
              <w:spacing w:before="0" w:after="0"/>
              <w:rPr>
                <w:rFonts w:ascii="arial" w:hAnsi="arial"/>
                <w:sz w:val="20"/>
              </w:rPr>
            </w:pPr>
            <w:r>
              <w:rPr>
                <w:rFonts w:ascii="SYMBOL" w:hAnsi="SYMBOL"/>
                <w:color w:val="B94831"/>
                <w:sz w:val="12"/>
              </w:rPr>
              <w:t>·</w:t>
            </w:r>
            <w:r>
              <w:rPr>
                <w:rFonts w:ascii="arial" w:hAnsi="arial"/>
                <w:sz w:val="20"/>
              </w:rPr>
              <w:t>   Overall ESG oversight and coordination amongst the Boards four standing committees</w:t>
            </w:r>
          </w:p>
          <w:p>
            <w:pPr>
              <w:pStyle w:val="TableContents"/>
              <w:spacing w:before="0" w:after="0"/>
              <w:rPr>
                <w:rFonts w:ascii="arial" w:hAnsi="arial"/>
                <w:sz w:val="20"/>
              </w:rPr>
            </w:pPr>
            <w:r>
              <w:rPr>
                <w:rFonts w:ascii="SYMBOL" w:hAnsi="SYMBOL"/>
                <w:color w:val="B94831"/>
                <w:sz w:val="12"/>
              </w:rPr>
              <w:t>·</w:t>
            </w:r>
            <w:r>
              <w:rPr>
                <w:rFonts w:ascii="arial" w:hAnsi="arial"/>
                <w:sz w:val="20"/>
              </w:rPr>
              <w:t>   Environmental matters</w:t>
            </w:r>
          </w:p>
          <w:p>
            <w:pPr>
              <w:pStyle w:val="TableContents"/>
              <w:spacing w:before="0" w:after="0"/>
              <w:rPr>
                <w:rFonts w:ascii="arial" w:hAnsi="arial"/>
                <w:sz w:val="20"/>
              </w:rPr>
            </w:pPr>
            <w:r>
              <w:rPr>
                <w:rFonts w:ascii="SYMBOL" w:hAnsi="SYMBOL"/>
                <w:color w:val="B94831"/>
                <w:sz w:val="12"/>
              </w:rPr>
              <w:t>·</w:t>
            </w:r>
            <w:r>
              <w:rPr>
                <w:rFonts w:ascii="arial" w:hAnsi="arial"/>
                <w:sz w:val="20"/>
              </w:rPr>
              <w:t>   Governance matters</w:t>
            </w:r>
          </w:p>
          <w:p>
            <w:pPr>
              <w:pStyle w:val="TableContents"/>
              <w:spacing w:before="0" w:after="0"/>
              <w:rPr>
                <w:rFonts w:ascii="arial" w:hAnsi="arial"/>
                <w:sz w:val="20"/>
              </w:rPr>
            </w:pPr>
            <w:r>
              <w:rPr>
                <w:rFonts w:ascii="SYMBOL" w:hAnsi="SYMBOL"/>
                <w:color w:val="B94831"/>
                <w:sz w:val="12"/>
              </w:rPr>
              <w:t>·</w:t>
            </w:r>
            <w:r>
              <w:rPr>
                <w:rFonts w:ascii="arial" w:hAnsi="arial"/>
                <w:sz w:val="20"/>
              </w:rPr>
              <w:t>   Board diversity and inclusion initiatives related to ESG</w:t>
            </w:r>
          </w:p>
          <w:p>
            <w:pPr>
              <w:pStyle w:val="TableContents"/>
              <w:spacing w:before="0" w:after="0"/>
              <w:rPr>
                <w:rFonts w:ascii="arial" w:hAnsi="arial"/>
                <w:sz w:val="20"/>
              </w:rPr>
            </w:pPr>
            <w:r>
              <w:rPr>
                <w:rFonts w:ascii="SYMBOL" w:hAnsi="SYMBOL"/>
                <w:color w:val="B94831"/>
                <w:sz w:val="12"/>
              </w:rPr>
              <w:t>·</w:t>
            </w:r>
            <w:r>
              <w:rPr>
                <w:rFonts w:ascii="arial" w:hAnsi="arial"/>
                <w:sz w:val="20"/>
              </w:rPr>
              <w:t>   Stakeholder engagement related to ESG</w:t>
            </w:r>
          </w:p>
          <w:p>
            <w:pPr>
              <w:pStyle w:val="TableContents"/>
              <w:spacing w:before="0" w:after="0"/>
              <w:rPr>
                <w:rFonts w:ascii="arial" w:hAnsi="arial"/>
                <w:sz w:val="20"/>
              </w:rPr>
            </w:pPr>
            <w:r>
              <w:rPr>
                <w:rFonts w:ascii="SYMBOL" w:hAnsi="SYMBOL"/>
                <w:color w:val="B94831"/>
                <w:sz w:val="12"/>
              </w:rPr>
              <w:t>·</w:t>
            </w:r>
            <w:r>
              <w:rPr>
                <w:rFonts w:ascii="arial" w:hAnsi="arial"/>
                <w:sz w:val="20"/>
              </w:rPr>
              <w:t>   Human rights risks/supply chain</w:t>
            </w:r>
          </w:p>
          <w:p>
            <w:pPr>
              <w:pStyle w:val="TableContents"/>
              <w:spacing w:before="0" w:after="20"/>
              <w:rPr>
                <w:rFonts w:ascii="arial" w:hAnsi="arial"/>
                <w:sz w:val="20"/>
              </w:rPr>
            </w:pPr>
            <w:r>
              <w:rPr>
                <w:rFonts w:ascii="SYMBOL" w:hAnsi="SYMBOL"/>
                <w:color w:val="B94831"/>
                <w:sz w:val="12"/>
              </w:rPr>
              <w:t>·</w:t>
            </w:r>
            <w:r>
              <w:rPr>
                <w:rFonts w:ascii="arial" w:hAnsi="arial"/>
                <w:sz w:val="20"/>
              </w:rPr>
              <w:t>   Thomson Reuters Foundation</w:t>
            </w:r>
          </w:p>
        </w:tc>
      </w:tr>
      <w:tr>
        <w:trPr/>
        <w:tc>
          <w:tcPr>
            <w:tcW w:w="241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Board of Directors</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7671" w:type="dxa"/>
            <w:tcBorders>
              <w:bottom w:val="single" w:sz="2" w:space="0" w:color="AFAFAF"/>
            </w:tcBorders>
            <w:shd w:fill="auto" w:val="clear"/>
            <w:tcMar>
              <w:bottom w:w="28" w:type="dxa"/>
            </w:tcMar>
            <w:vAlign w:val="bottom"/>
          </w:tcPr>
          <w:p>
            <w:pPr>
              <w:pStyle w:val="TableContents"/>
              <w:spacing w:before="0" w:after="0"/>
              <w:rPr>
                <w:rFonts w:ascii="arial" w:hAnsi="arial"/>
                <w:sz w:val="20"/>
              </w:rPr>
            </w:pPr>
            <w:r>
              <w:rPr>
                <w:rFonts w:ascii="SYMBOL" w:hAnsi="SYMBOL"/>
                <w:color w:val="B94831"/>
                <w:sz w:val="12"/>
              </w:rPr>
              <w:t>·</w:t>
            </w:r>
            <w:r>
              <w:rPr>
                <w:rFonts w:ascii="arial" w:hAnsi="arial"/>
                <w:sz w:val="20"/>
              </w:rPr>
              <w:t>   Periodic updates regarding ESG strategy and alignment with Thomson Reuters long-term business strategy</w:t>
            </w:r>
          </w:p>
          <w:p>
            <w:pPr>
              <w:pStyle w:val="TableContents"/>
              <w:spacing w:before="0" w:after="20"/>
              <w:rPr>
                <w:rFonts w:ascii="arial" w:hAnsi="arial"/>
                <w:sz w:val="20"/>
              </w:rPr>
            </w:pPr>
            <w:r>
              <w:rPr>
                <w:rFonts w:ascii="SYMBOL" w:hAnsi="SYMBOL"/>
                <w:color w:val="B94831"/>
                <w:sz w:val="12"/>
              </w:rPr>
              <w:t>·</w:t>
            </w:r>
            <w:r>
              <w:rPr>
                <w:rFonts w:ascii="arial" w:hAnsi="arial"/>
                <w:sz w:val="20"/>
              </w:rPr>
              <w:t>   Material ESG risks</w:t>
            </w:r>
          </w:p>
        </w:tc>
      </w:tr>
      <w:tr>
        <w:trPr/>
        <w:tc>
          <w:tcPr>
            <w:tcW w:w="241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Audit Committee</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7671" w:type="dxa"/>
            <w:tcBorders>
              <w:bottom w:val="single" w:sz="2" w:space="0" w:color="AFAFAF"/>
            </w:tcBorders>
            <w:shd w:fill="auto" w:val="clear"/>
            <w:tcMar>
              <w:bottom w:w="28" w:type="dxa"/>
            </w:tcMar>
            <w:vAlign w:val="bottom"/>
          </w:tcPr>
          <w:p>
            <w:pPr>
              <w:pStyle w:val="TableContents"/>
              <w:spacing w:before="0" w:after="0"/>
              <w:rPr>
                <w:rFonts w:ascii="arial" w:hAnsi="arial"/>
                <w:sz w:val="20"/>
              </w:rPr>
            </w:pPr>
            <w:r>
              <w:rPr>
                <w:rFonts w:ascii="SYMBOL" w:hAnsi="SYMBOL"/>
                <w:color w:val="B94831"/>
                <w:sz w:val="12"/>
              </w:rPr>
              <w:t>·</w:t>
            </w:r>
            <w:r>
              <w:rPr>
                <w:rFonts w:ascii="arial" w:hAnsi="arial"/>
                <w:sz w:val="20"/>
              </w:rPr>
              <w:t>   Overall reporting/disclosure processes related to ESG</w:t>
            </w:r>
          </w:p>
          <w:p>
            <w:pPr>
              <w:pStyle w:val="TableContents"/>
              <w:spacing w:before="0" w:after="0"/>
              <w:rPr>
                <w:rFonts w:ascii="arial" w:hAnsi="arial"/>
                <w:sz w:val="20"/>
              </w:rPr>
            </w:pPr>
            <w:r>
              <w:rPr>
                <w:rFonts w:ascii="SYMBOL" w:hAnsi="SYMBOL"/>
                <w:color w:val="B94831"/>
                <w:sz w:val="12"/>
              </w:rPr>
              <w:t>·</w:t>
            </w:r>
            <w:r>
              <w:rPr>
                <w:rFonts w:ascii="arial" w:hAnsi="arial"/>
                <w:sz w:val="20"/>
              </w:rPr>
              <w:t>   Internal controls/procedures related to ESG</w:t>
            </w:r>
          </w:p>
          <w:p>
            <w:pPr>
              <w:pStyle w:val="TableContents"/>
              <w:spacing w:before="0" w:after="20"/>
              <w:rPr>
                <w:rFonts w:ascii="arial" w:hAnsi="arial"/>
                <w:sz w:val="20"/>
              </w:rPr>
            </w:pPr>
            <w:r>
              <w:rPr>
                <w:rFonts w:ascii="SYMBOL" w:hAnsi="SYMBOL"/>
                <w:color w:val="B94831"/>
                <w:sz w:val="12"/>
              </w:rPr>
              <w:t>·</w:t>
            </w:r>
            <w:r>
              <w:rPr>
                <w:rFonts w:ascii="arial" w:hAnsi="arial"/>
                <w:sz w:val="20"/>
              </w:rPr>
              <w:t>   Finance initiatives related to ESG</w:t>
            </w:r>
          </w:p>
        </w:tc>
      </w:tr>
      <w:tr>
        <w:trPr/>
        <w:tc>
          <w:tcPr>
            <w:tcW w:w="241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HR Committee</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7671" w:type="dxa"/>
            <w:tcBorders>
              <w:bottom w:val="single" w:sz="2" w:space="0" w:color="AFAFAF"/>
            </w:tcBorders>
            <w:shd w:fill="auto" w:val="clear"/>
            <w:tcMar>
              <w:bottom w:w="28" w:type="dxa"/>
            </w:tcMar>
            <w:vAlign w:val="bottom"/>
          </w:tcPr>
          <w:p>
            <w:pPr>
              <w:pStyle w:val="TableContents"/>
              <w:spacing w:before="0" w:after="0"/>
              <w:rPr>
                <w:rFonts w:ascii="arial" w:hAnsi="arial"/>
                <w:sz w:val="20"/>
              </w:rPr>
            </w:pPr>
            <w:r>
              <w:rPr>
                <w:rFonts w:ascii="SYMBOL" w:hAnsi="SYMBOL"/>
                <w:color w:val="B94831"/>
                <w:sz w:val="12"/>
              </w:rPr>
              <w:t>·</w:t>
            </w:r>
            <w:r>
              <w:rPr>
                <w:rFonts w:ascii="arial" w:hAnsi="arial"/>
                <w:sz w:val="20"/>
              </w:rPr>
              <w:t>   Employee diversity and inclusion initiatives related to ESG</w:t>
            </w:r>
          </w:p>
          <w:p>
            <w:pPr>
              <w:pStyle w:val="TableContents"/>
              <w:spacing w:before="0" w:after="0"/>
              <w:rPr>
                <w:rFonts w:ascii="arial" w:hAnsi="arial"/>
                <w:sz w:val="20"/>
              </w:rPr>
            </w:pPr>
            <w:r>
              <w:rPr>
                <w:rFonts w:ascii="SYMBOL" w:hAnsi="SYMBOL"/>
                <w:color w:val="B94831"/>
                <w:sz w:val="12"/>
              </w:rPr>
              <w:t>·</w:t>
            </w:r>
            <w:r>
              <w:rPr>
                <w:rFonts w:ascii="arial" w:hAnsi="arial"/>
                <w:sz w:val="20"/>
              </w:rPr>
              <w:t>   Compensation considerations related to ESG</w:t>
            </w:r>
          </w:p>
          <w:p>
            <w:pPr>
              <w:pStyle w:val="TableContents"/>
              <w:spacing w:before="0" w:after="20"/>
              <w:rPr>
                <w:rFonts w:ascii="arial" w:hAnsi="arial"/>
                <w:sz w:val="20"/>
              </w:rPr>
            </w:pPr>
            <w:r>
              <w:rPr>
                <w:rFonts w:ascii="SYMBOL" w:hAnsi="SYMBOL"/>
                <w:color w:val="B94831"/>
                <w:sz w:val="12"/>
              </w:rPr>
              <w:t>·</w:t>
            </w:r>
            <w:r>
              <w:rPr>
                <w:rFonts w:ascii="arial" w:hAnsi="arial"/>
                <w:sz w:val="20"/>
              </w:rPr>
              <w:t>   Defined benefit/defined contribution plan considerations related to ESG</w:t>
            </w:r>
          </w:p>
        </w:tc>
      </w:tr>
      <w:tr>
        <w:trPr/>
        <w:tc>
          <w:tcPr>
            <w:tcW w:w="241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Risk Committee</w:t>
            </w:r>
          </w:p>
        </w:tc>
        <w:tc>
          <w:tcPr>
            <w:tcW w:w="121" w:type="dxa"/>
            <w:tcBorders>
              <w:bottom w:val="single" w:sz="8" w:space="0" w:color="B94831"/>
            </w:tcBorders>
            <w:shd w:fill="auto" w:val="clear"/>
            <w:tcMar>
              <w:bottom w:w="28" w:type="dxa"/>
            </w:tcMar>
            <w:vAlign w:val="bottom"/>
          </w:tcPr>
          <w:p>
            <w:pPr>
              <w:pStyle w:val="TableContents"/>
              <w:spacing w:before="0" w:after="283"/>
              <w:rPr/>
            </w:pPr>
            <w:r>
              <w:rPr/>
              <w:t>  </w:t>
            </w:r>
          </w:p>
        </w:tc>
        <w:tc>
          <w:tcPr>
            <w:tcW w:w="7671" w:type="dxa"/>
            <w:tcBorders>
              <w:bottom w:val="single" w:sz="8" w:space="0" w:color="B94831"/>
            </w:tcBorders>
            <w:shd w:fill="auto" w:val="clear"/>
            <w:tcMar>
              <w:bottom w:w="28" w:type="dxa"/>
            </w:tcMar>
            <w:vAlign w:val="bottom"/>
          </w:tcPr>
          <w:p>
            <w:pPr>
              <w:pStyle w:val="TableContents"/>
              <w:spacing w:before="0" w:after="0"/>
              <w:rPr>
                <w:rFonts w:ascii="arial" w:hAnsi="arial"/>
                <w:sz w:val="20"/>
              </w:rPr>
            </w:pPr>
            <w:r>
              <w:rPr>
                <w:rFonts w:ascii="SYMBOL" w:hAnsi="SYMBOL"/>
                <w:color w:val="B94831"/>
                <w:sz w:val="12"/>
              </w:rPr>
              <w:t>·</w:t>
            </w:r>
            <w:r>
              <w:rPr>
                <w:rFonts w:ascii="arial" w:hAnsi="arial"/>
                <w:sz w:val="20"/>
              </w:rPr>
              <w:t>   ERM considerations related to ESG</w:t>
            </w:r>
          </w:p>
          <w:p>
            <w:pPr>
              <w:pStyle w:val="TableContents"/>
              <w:spacing w:before="0" w:after="0"/>
              <w:rPr>
                <w:rFonts w:ascii="arial" w:hAnsi="arial"/>
                <w:sz w:val="20"/>
              </w:rPr>
            </w:pPr>
            <w:r>
              <w:rPr>
                <w:rFonts w:ascii="SYMBOL" w:hAnsi="SYMBOL"/>
                <w:color w:val="B94831"/>
                <w:sz w:val="12"/>
              </w:rPr>
              <w:t>·</w:t>
            </w:r>
            <w:r>
              <w:rPr>
                <w:rFonts w:ascii="arial" w:hAnsi="arial"/>
                <w:sz w:val="20"/>
              </w:rPr>
              <w:t>   AI and emerging technologies</w:t>
            </w:r>
          </w:p>
          <w:p>
            <w:pPr>
              <w:pStyle w:val="TableContents"/>
              <w:spacing w:before="0" w:after="20"/>
              <w:rPr>
                <w:rFonts w:ascii="arial" w:hAnsi="arial"/>
                <w:sz w:val="20"/>
              </w:rPr>
            </w:pPr>
            <w:r>
              <w:rPr>
                <w:rFonts w:ascii="SYMBOL" w:hAnsi="SYMBOL"/>
                <w:color w:val="B94831"/>
                <w:sz w:val="12"/>
              </w:rPr>
              <w:t>·</w:t>
            </w:r>
            <w:r>
              <w:rPr>
                <w:rFonts w:ascii="arial" w:hAnsi="arial"/>
                <w:sz w:val="20"/>
              </w:rPr>
              <w:t>   Certain product/services risks and considerations related to ESG</w:t>
            </w:r>
          </w:p>
        </w:tc>
      </w:tr>
    </w:tbl>
    <w:p>
      <w:pPr>
        <w:pStyle w:val="TextBody"/>
        <w:spacing w:before="120" w:after="0"/>
        <w:jc w:val="left"/>
        <w:rPr>
          <w:rFonts w:ascii="arial" w:hAnsi="arial"/>
          <w:color w:val="B94831"/>
          <w:sz w:val="28"/>
        </w:rPr>
      </w:pPr>
      <w:r>
        <w:rPr>
          <w:rFonts w:ascii="arial" w:hAnsi="arial"/>
          <w:color w:val="B94831"/>
          <w:sz w:val="28"/>
        </w:rPr>
        <w:t xml:space="preserve">Separate Chairman and CEO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The roles and responsibilities of the Chairman and the CEO of our company are separate to allow for more effective oversight and to hold management more accountable.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As Chairman, David Thomson seeks to ensure that the Board operates independently of senior management. The Chairman is responsible for chairing Board meetings, ensuring that the Board and its committees have the necessary resources to support their work (in particular, accurate, timely and relevant information), and maintaining an effective relationship between the Board and senior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As CEO, Steve Hasker is principally responsible for the management of the business and affairs of Thomson Reuters in accordance with the strategic plan and objectives approved by the Board. </w:t>
            </w:r>
          </w:p>
        </w:tc>
      </w:tr>
    </w:tbl>
    <w:p>
      <w:pPr>
        <w:pStyle w:val="TextBody"/>
        <w:spacing w:before="120" w:after="0"/>
        <w:jc w:val="left"/>
        <w:rPr>
          <w:rFonts w:ascii="arial" w:hAnsi="arial"/>
          <w:color w:val="B94831"/>
          <w:sz w:val="28"/>
        </w:rPr>
      </w:pPr>
      <w:r>
        <w:rPr>
          <w:rFonts w:ascii="arial" w:hAnsi="arial"/>
          <w:color w:val="B94831"/>
          <w:sz w:val="28"/>
        </w:rPr>
        <w:t xml:space="preserve">Deputy Chairman </w:t>
      </w:r>
    </w:p>
    <w:p>
      <w:pPr>
        <w:pStyle w:val="TextBody"/>
        <w:spacing w:before="40" w:after="0"/>
        <w:jc w:val="left"/>
        <w:rPr>
          <w:rFonts w:ascii="arial" w:hAnsi="arial"/>
          <w:sz w:val="20"/>
        </w:rPr>
      </w:pPr>
      <w:r>
        <w:rPr>
          <w:rFonts w:ascii="arial" w:hAnsi="arial"/>
          <w:sz w:val="20"/>
        </w:rPr>
        <w:t xml:space="preserve">David Binet is the Boards Deputy Chairman. The Deputy Chairman works collaboratively with the Chairman and assists the Chairman in fulfilling his responsibilities. The Deputy Chairman also engages in regular dialogue with the Chairman, the CEO and the Lead Independent Director to reinforce our culture of good governance; serves as an ambassador for Thomson Reuters; and performs additional duties as may be delegated to him by the Chairman or the Board from time to time. </w:t>
      </w:r>
    </w:p>
    <w:p>
      <w:pPr>
        <w:pStyle w:val="TextBody"/>
        <w:spacing w:before="120" w:after="0"/>
        <w:jc w:val="left"/>
        <w:rPr>
          <w:rFonts w:ascii="arial" w:hAnsi="arial"/>
          <w:color w:val="B94831"/>
          <w:sz w:val="28"/>
        </w:rPr>
      </w:pPr>
      <w:r>
        <w:rPr>
          <w:rFonts w:ascii="arial" w:hAnsi="arial"/>
          <w:color w:val="B94831"/>
          <w:sz w:val="28"/>
        </w:rPr>
        <w:t xml:space="preserve">Lead Independent Director </w:t>
      </w:r>
    </w:p>
    <w:p>
      <w:pPr>
        <w:pStyle w:val="TextBody"/>
        <w:spacing w:before="40" w:after="0"/>
        <w:jc w:val="left"/>
        <w:rPr>
          <w:rFonts w:ascii="arial" w:hAnsi="arial"/>
          <w:sz w:val="20"/>
        </w:rPr>
      </w:pPr>
      <w:r>
        <w:rPr>
          <w:rFonts w:ascii="arial" w:hAnsi="arial"/>
          <w:sz w:val="20"/>
        </w:rPr>
        <w:t xml:space="preserve">Michael E. Daniels was appointed as the Boards Lead Independent Director on June 8, 2022, following the retirement of Vance Opperman from the Board. Among other things, responsibilities of our Lead Independent Director include chairing meetings of the independent directors; in consultation with the Chairman, Deputy Chairman and CEO, approving meeting agendas for the Board; as requested, advising the CEO on the quality, quantity, appropriateness and timeliness of information sent by management to the Board; and being available for consultation with the other independent directors as required.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Position Descriptions </w:t>
      </w:r>
    </w:p>
    <w:p>
      <w:pPr>
        <w:pStyle w:val="TextBody"/>
        <w:spacing w:before="40" w:after="0"/>
        <w:jc w:val="left"/>
        <w:rPr>
          <w:rFonts w:ascii="arial" w:hAnsi="arial"/>
          <w:sz w:val="20"/>
        </w:rPr>
      </w:pPr>
      <w:r>
        <w:rPr>
          <w:rFonts w:ascii="arial" w:hAnsi="arial"/>
          <w:sz w:val="20"/>
        </w:rPr>
        <w:t xml:space="preserve">Position descriptions for the Chairman, the chair of each committee and the Lead Independent Director have been approved by the Board and help ensure the independent operations of the Board and its committees. </w:t>
      </w:r>
    </w:p>
    <w:p>
      <w:pPr>
        <w:pStyle w:val="TextBody"/>
        <w:spacing w:before="120" w:after="0"/>
        <w:jc w:val="left"/>
        <w:rPr>
          <w:rFonts w:ascii="arial" w:hAnsi="arial"/>
          <w:color w:val="B94831"/>
          <w:sz w:val="28"/>
        </w:rPr>
      </w:pPr>
      <w:r>
        <w:rPr>
          <w:rFonts w:ascii="arial" w:hAnsi="arial"/>
          <w:color w:val="B94831"/>
          <w:sz w:val="28"/>
        </w:rPr>
        <w:t xml:space="preserve">Meetings with and without the CEO/Management </w:t>
      </w:r>
    </w:p>
    <w:p>
      <w:pPr>
        <w:pStyle w:val="TextBody"/>
        <w:spacing w:before="40" w:after="0"/>
        <w:jc w:val="left"/>
        <w:rPr>
          <w:rFonts w:ascii="arial" w:hAnsi="arial"/>
          <w:sz w:val="20"/>
        </w:rPr>
      </w:pPr>
      <w:r>
        <w:rPr>
          <w:rFonts w:ascii="arial" w:hAnsi="arial"/>
          <w:sz w:val="20"/>
        </w:rPr>
        <w:t xml:space="preserve">At or near the beginning of each meeting, the Board has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held with the CEO at the end of the meeting, followed by a meeting of the Board without the CEO or other members of management present. Board committees also utilize in-camera meetings for discussions without the CEO or members of management present. </w:t>
      </w:r>
    </w:p>
    <w:p>
      <w:pPr>
        <w:pStyle w:val="TextBody"/>
        <w:spacing w:before="120" w:after="0"/>
        <w:jc w:val="left"/>
        <w:rPr>
          <w:rFonts w:ascii="arial" w:hAnsi="arial"/>
          <w:color w:val="B94831"/>
          <w:sz w:val="28"/>
        </w:rPr>
      </w:pPr>
      <w:r>
        <w:rPr>
          <w:rFonts w:ascii="arial" w:hAnsi="arial"/>
          <w:color w:val="B94831"/>
          <w:sz w:val="28"/>
        </w:rPr>
        <w:t xml:space="preserve">Meetings of Independent Directors </w:t>
      </w:r>
    </w:p>
    <w:p>
      <w:pPr>
        <w:pStyle w:val="TextBody"/>
        <w:spacing w:before="40" w:after="0"/>
        <w:jc w:val="left"/>
        <w:rPr>
          <w:rFonts w:ascii="arial" w:hAnsi="arial"/>
          <w:sz w:val="20"/>
        </w:rPr>
      </w:pPr>
      <w:r>
        <w:rPr>
          <w:rFonts w:ascii="arial" w:hAnsi="arial"/>
          <w:sz w:val="20"/>
        </w:rPr>
        <w:t xml:space="preserve">As part of each Board meeting, our independent directors meet as a group without the CEO and without the directors affiliated with Woodbridge. These meetings are chaired by the Lead Independent Director. The Lead Independent Director develops the agenda for these meetings, although discussion has not been limited to it. The agenda generally addresses any issues that might be specific to a public corporation with a controlling shareholder. The Lead Independent Director reports to the Chairman, Deputy Chairman and the CEO on the substance of these meetings to the extent that action is appropriate or required. Seven meetings of the independent directors took place in 2022, four of which were presided over by Vance Opperman, and three of which were presided over by Michael E. Daniels. </w:t>
      </w:r>
    </w:p>
    <w:p>
      <w:pPr>
        <w:pStyle w:val="TextBody"/>
        <w:spacing w:before="120" w:after="0"/>
        <w:jc w:val="left"/>
        <w:rPr>
          <w:rFonts w:ascii="arial" w:hAnsi="arial"/>
          <w:color w:val="B94831"/>
          <w:sz w:val="28"/>
        </w:rPr>
      </w:pPr>
      <w:r>
        <w:rPr>
          <w:rFonts w:ascii="arial" w:hAnsi="arial"/>
          <w:color w:val="B94831"/>
          <w:sz w:val="28"/>
        </w:rPr>
        <w:t xml:space="preserve">Company Secretary </w:t>
      </w:r>
    </w:p>
    <w:p>
      <w:pPr>
        <w:pStyle w:val="TextBody"/>
        <w:spacing w:before="40" w:after="0"/>
        <w:jc w:val="left"/>
        <w:rPr>
          <w:rFonts w:ascii="arial" w:hAnsi="arial"/>
          <w:sz w:val="20"/>
        </w:rPr>
      </w:pPr>
      <w:r>
        <w:rPr>
          <w:rFonts w:ascii="arial" w:hAnsi="arial"/>
          <w:sz w:val="20"/>
        </w:rPr>
        <w:t xml:space="preserve">Jimma Elliott-Stevens is also Interim Company Secretary to the Board. Directors have access to the advice and services of the Interim Company Secretary. </w:t>
      </w:r>
    </w:p>
    <w:p>
      <w:pPr>
        <w:pStyle w:val="TextBody"/>
        <w:spacing w:before="120" w:after="0"/>
        <w:jc w:val="left"/>
        <w:rPr>
          <w:rFonts w:ascii="arial" w:hAnsi="arial"/>
          <w:color w:val="B94831"/>
          <w:sz w:val="28"/>
        </w:rPr>
      </w:pPr>
      <w:r>
        <w:rPr>
          <w:rFonts w:ascii="arial" w:hAnsi="arial"/>
          <w:color w:val="B94831"/>
          <w:sz w:val="28"/>
        </w:rPr>
        <w:t xml:space="preserve">Access to Management and Professional Advisors </w:t>
      </w:r>
    </w:p>
    <w:p>
      <w:pPr>
        <w:pStyle w:val="TextBody"/>
        <w:spacing w:before="40" w:after="0"/>
        <w:jc w:val="left"/>
        <w:rPr>
          <w:rFonts w:ascii="arial" w:hAnsi="arial"/>
          <w:sz w:val="20"/>
        </w:rPr>
      </w:pPr>
      <w:r>
        <w:rPr>
          <w:rFonts w:ascii="arial" w:hAnsi="arial"/>
          <w:sz w:val="20"/>
        </w:rPr>
        <w:t xml:space="preserve">The Board has access to members of management and professional advisors. The Board and its committees may invite any member of senior management, employee, outside advisor or other person to attend or report at any of their meetings. The Board and any of its committees may retain an outside independent professional advisor at any time at the expense of our company and have the authority to determine the advisors fees and other retention terms. Individual directors may retain an outside independent professional advisor at the expense of our company subject to notifying the Corporate Governance Committee in advance. </w:t>
      </w:r>
    </w:p>
    <w:p>
      <w:pPr>
        <w:pStyle w:val="TextBody"/>
        <w:spacing w:before="120" w:after="0"/>
        <w:jc w:val="left"/>
        <w:rPr>
          <w:rFonts w:ascii="arial" w:hAnsi="arial"/>
          <w:sz w:val="20"/>
        </w:rPr>
      </w:pPr>
      <w:r>
        <w:rPr>
          <w:rFonts w:ascii="arial" w:hAnsi="arial"/>
          <w:sz w:val="20"/>
        </w:rPr>
        <w:t xml:space="preserve">The HR Committee retains an independent consulting firm to advise it on compensation matters relating to senior management. The independent consulting firm also reviews executive compensation programs and provides guidance and analysis on plan design and market trends and practices. </w:t>
      </w:r>
    </w:p>
    <w:p>
      <w:pPr>
        <w:pStyle w:val="TextBody"/>
        <w:spacing w:before="120" w:after="0"/>
        <w:jc w:val="left"/>
        <w:rPr>
          <w:rFonts w:ascii="arial" w:hAnsi="arial"/>
          <w:sz w:val="20"/>
        </w:rPr>
      </w:pPr>
      <w:r>
        <w:rPr>
          <w:rFonts w:ascii="arial" w:hAnsi="arial"/>
          <w:sz w:val="20"/>
        </w:rPr>
        <w:t xml:space="preserve">The HR Committee also utilizes and relies on market survey data provided by a consulting firm regarding executive compensation for organizations of comparable size and scope with which Thomson Reuters is most likely to compete for executive talent. Additional information is provided in the Compensation Discussion and Analysis section of this circular. </w:t>
      </w:r>
    </w:p>
    <w:p>
      <w:pPr>
        <w:pStyle w:val="TextBody"/>
        <w:spacing w:before="120" w:after="0"/>
        <w:jc w:val="left"/>
        <w:rPr>
          <w:rFonts w:ascii="arial" w:hAnsi="arial"/>
          <w:color w:val="B94831"/>
          <w:sz w:val="28"/>
        </w:rPr>
      </w:pPr>
      <w:r>
        <w:rPr>
          <w:rFonts w:ascii="arial" w:hAnsi="arial"/>
          <w:color w:val="B94831"/>
          <w:sz w:val="28"/>
        </w:rPr>
        <w:t xml:space="preserve">Delegation of Authority </w:t>
      </w:r>
    </w:p>
    <w:p>
      <w:pPr>
        <w:pStyle w:val="TextBody"/>
        <w:spacing w:before="40" w:after="0"/>
        <w:jc w:val="left"/>
        <w:rPr>
          <w:rFonts w:ascii="arial" w:hAnsi="arial"/>
          <w:sz w:val="20"/>
        </w:rPr>
      </w:pPr>
      <w:r>
        <w:rPr>
          <w:rFonts w:ascii="arial" w:hAnsi="arial"/>
          <w:sz w:val="20"/>
        </w:rPr>
        <w:t xml:space="preserve">To clarify the division of responsibility between the Board and management, the Board has adopted a delegation of authority policy. This policy delegates certain decision-making and operating authority to senior management and has been adopted by the Board to enhance our internal controls and allow management appropriate flexibility to deal with certain matters without obtaining specific Board approval. The Board also delegates certain responsibilities to the Audit Committee, Corporate Governance Committee, HR Committee and Risk Committee, and oversees the committees fulfillment of their responsibilities. The responsibilities of each committee are described in more detail below.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18" w:name="tx494196_24"/>
      <w:bookmarkEnd w:id="18"/>
      <w:r>
        <w:rPr>
          <w:rFonts w:ascii="Arial" w:hAnsi="Arial"/>
          <w:b/>
          <w:sz w:val="28"/>
        </w:rPr>
        <w:t xml:space="preserve">Director Attendance </w:t>
      </w:r>
    </w:p>
    <w:p>
      <w:pPr>
        <w:pStyle w:val="TextBody"/>
        <w:spacing w:before="40" w:after="0"/>
        <w:jc w:val="left"/>
        <w:rPr>
          <w:rFonts w:ascii="arial" w:hAnsi="arial"/>
          <w:sz w:val="20"/>
        </w:rPr>
      </w:pPr>
      <w:r>
        <w:rPr>
          <w:rFonts w:ascii="arial" w:hAnsi="arial"/>
          <w:sz w:val="20"/>
        </w:rPr>
        <w:t xml:space="preserve">The Board meets regularly in order to discharge its duties effectively. Directors are expected to attend all meetings of the Board including committee meetings, if applicable, and annual meetings of shareholders. The following table provides information about the number of Board and committee meetings in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15"/>
        <w:gridCol w:w="207"/>
        <w:gridCol w:w="7083"/>
      </w:tblGrid>
      <w:tr>
        <w:trPr/>
        <w:tc>
          <w:tcPr>
            <w:tcW w:w="29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7083"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shd w:fill="262626" w:val="clear"/>
            <w:vAlign w:val="center"/>
          </w:tcPr>
          <w:p>
            <w:pPr>
              <w:pStyle w:val="TableContents"/>
              <w:spacing w:before="0" w:after="283"/>
              <w:rPr>
                <w:sz w:val="4"/>
                <w:szCs w:val="4"/>
              </w:rPr>
            </w:pPr>
            <w:r>
              <w:rPr>
                <w:sz w:val="4"/>
                <w:szCs w:val="4"/>
              </w:rPr>
            </w:r>
          </w:p>
        </w:tc>
      </w:tr>
      <w:tr>
        <w:trPr/>
        <w:tc>
          <w:tcPr>
            <w:tcW w:w="2915"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207" w:type="dxa"/>
            <w:tcBorders>
              <w:bottom w:val="single" w:sz="8" w:space="0" w:color="B94831"/>
            </w:tcBorders>
            <w:shd w:fill="262626" w:val="clear"/>
            <w:tcMar>
              <w:bottom w:w="28" w:type="dxa"/>
            </w:tcMar>
            <w:vAlign w:val="bottom"/>
          </w:tcPr>
          <w:p>
            <w:pPr>
              <w:pStyle w:val="TableContents"/>
              <w:spacing w:before="0" w:after="283"/>
              <w:rPr/>
            </w:pPr>
            <w:r>
              <w:rPr/>
              <w:t>  </w:t>
            </w:r>
          </w:p>
        </w:tc>
        <w:tc>
          <w:tcPr>
            <w:tcW w:w="7083"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Number of Meetings</w:t>
            </w:r>
          </w:p>
        </w:tc>
      </w:tr>
      <w:tr>
        <w:trPr>
          <w:trHeight w:val="75"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15"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Board</w:t>
            </w:r>
          </w:p>
        </w:tc>
        <w:tc>
          <w:tcPr>
            <w:tcW w:w="20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83" w:type="dxa"/>
            <w:tcBorders>
              <w:bottom w:val="single" w:sz="2" w:space="0" w:color="AFAFAF"/>
            </w:tcBorders>
            <w:shd w:fill="auto" w:val="clear"/>
            <w:tcMar>
              <w:bottom w:w="60" w:type="dxa"/>
            </w:tcMar>
            <w:vAlign w:val="bottom"/>
          </w:tcPr>
          <w:p>
            <w:pPr>
              <w:pStyle w:val="TableContents"/>
              <w:spacing w:before="0" w:after="283"/>
              <w:jc w:val="center"/>
              <w:rPr/>
            </w:pPr>
            <w:r>
              <w:rPr/>
              <w:t>7</w:t>
            </w:r>
          </w:p>
        </w:tc>
      </w:tr>
      <w:tr>
        <w:trPr>
          <w:trHeight w:val="75"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15"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Audit Committee</w:t>
            </w:r>
          </w:p>
        </w:tc>
        <w:tc>
          <w:tcPr>
            <w:tcW w:w="20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83" w:type="dxa"/>
            <w:tcBorders>
              <w:bottom w:val="single" w:sz="2" w:space="0" w:color="AFAFAF"/>
            </w:tcBorders>
            <w:shd w:fill="auto" w:val="clear"/>
            <w:tcMar>
              <w:bottom w:w="60" w:type="dxa"/>
            </w:tcMar>
            <w:vAlign w:val="bottom"/>
          </w:tcPr>
          <w:p>
            <w:pPr>
              <w:pStyle w:val="TableContents"/>
              <w:spacing w:before="0" w:after="283"/>
              <w:jc w:val="center"/>
              <w:rPr/>
            </w:pPr>
            <w:r>
              <w:rPr/>
              <w:t>8</w:t>
            </w:r>
          </w:p>
        </w:tc>
      </w:tr>
      <w:tr>
        <w:trPr>
          <w:trHeight w:val="75"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15"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Corporate Governance Committee</w:t>
            </w:r>
          </w:p>
        </w:tc>
        <w:tc>
          <w:tcPr>
            <w:tcW w:w="20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83" w:type="dxa"/>
            <w:tcBorders>
              <w:bottom w:val="single" w:sz="2" w:space="0" w:color="AFAFAF"/>
            </w:tcBorders>
            <w:shd w:fill="auto" w:val="clear"/>
            <w:tcMar>
              <w:bottom w:w="60" w:type="dxa"/>
            </w:tcMar>
            <w:vAlign w:val="bottom"/>
          </w:tcPr>
          <w:p>
            <w:pPr>
              <w:pStyle w:val="TableContents"/>
              <w:spacing w:before="0" w:after="283"/>
              <w:jc w:val="center"/>
              <w:rPr/>
            </w:pPr>
            <w:r>
              <w:rPr/>
              <w:t>6</w:t>
            </w:r>
          </w:p>
        </w:tc>
      </w:tr>
      <w:tr>
        <w:trPr>
          <w:trHeight w:val="75"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15"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HR Committee</w:t>
            </w:r>
          </w:p>
        </w:tc>
        <w:tc>
          <w:tcPr>
            <w:tcW w:w="207"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83" w:type="dxa"/>
            <w:tcBorders>
              <w:bottom w:val="single" w:sz="2" w:space="0" w:color="AFAFAF"/>
            </w:tcBorders>
            <w:shd w:fill="auto" w:val="clear"/>
            <w:tcMar>
              <w:bottom w:w="60" w:type="dxa"/>
            </w:tcMar>
            <w:vAlign w:val="bottom"/>
          </w:tcPr>
          <w:p>
            <w:pPr>
              <w:pStyle w:val="TableContents"/>
              <w:spacing w:before="0" w:after="283"/>
              <w:jc w:val="center"/>
              <w:rPr/>
            </w:pPr>
            <w:r>
              <w:rPr/>
              <w:t>6</w:t>
            </w:r>
          </w:p>
        </w:tc>
      </w:tr>
      <w:tr>
        <w:trPr>
          <w:trHeight w:val="75" w:hRule="atLeast"/>
        </w:trPr>
        <w:tc>
          <w:tcPr>
            <w:tcW w:w="2915" w:type="dxa"/>
            <w:tcBorders/>
            <w:shd w:fill="auto" w:val="clear"/>
            <w:vAlign w:val="center"/>
          </w:tcPr>
          <w:p>
            <w:pPr>
              <w:pStyle w:val="TableContents"/>
              <w:spacing w:before="0" w:after="283"/>
              <w:rPr>
                <w:sz w:val="4"/>
                <w:szCs w:val="4"/>
              </w:rPr>
            </w:pPr>
            <w:r>
              <w:rPr>
                <w:sz w:val="4"/>
                <w:szCs w:val="4"/>
              </w:rPr>
            </w:r>
          </w:p>
        </w:tc>
        <w:tc>
          <w:tcPr>
            <w:tcW w:w="72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15" w:type="dxa"/>
            <w:tcBorders>
              <w:bottom w:val="single" w:sz="8" w:space="0" w:color="B94831"/>
            </w:tcBorders>
            <w:shd w:fill="auto" w:val="clear"/>
            <w:tcMar>
              <w:bottom w:w="60" w:type="dxa"/>
            </w:tcMar>
          </w:tcPr>
          <w:p>
            <w:pPr>
              <w:pStyle w:val="TableContents"/>
              <w:spacing w:before="0" w:after="0"/>
              <w:rPr>
                <w:rFonts w:ascii="Arial" w:hAnsi="Arial"/>
                <w:b/>
                <w:sz w:val="16"/>
              </w:rPr>
            </w:pPr>
            <w:r>
              <w:rPr>
                <w:rFonts w:ascii="Arial" w:hAnsi="Arial"/>
                <w:b/>
                <w:sz w:val="16"/>
              </w:rPr>
              <w:t>Risk Committee</w:t>
            </w:r>
          </w:p>
        </w:tc>
        <w:tc>
          <w:tcPr>
            <w:tcW w:w="207"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083" w:type="dxa"/>
            <w:tcBorders>
              <w:bottom w:val="single" w:sz="8" w:space="0" w:color="B94831"/>
            </w:tcBorders>
            <w:shd w:fill="auto" w:val="clear"/>
            <w:tcMar>
              <w:bottom w:w="60" w:type="dxa"/>
            </w:tcMar>
            <w:vAlign w:val="bottom"/>
          </w:tcPr>
          <w:p>
            <w:pPr>
              <w:pStyle w:val="TableContents"/>
              <w:spacing w:before="0" w:after="283"/>
              <w:jc w:val="center"/>
              <w:rPr/>
            </w:pPr>
            <w:r>
              <w:rPr/>
              <w:t>4</w:t>
            </w:r>
          </w:p>
        </w:tc>
      </w:tr>
    </w:tbl>
    <w:p>
      <w:pPr>
        <w:pStyle w:val="TextBody"/>
        <w:spacing w:before="120" w:after="0"/>
        <w:jc w:val="left"/>
        <w:rPr>
          <w:rFonts w:ascii="arial" w:hAnsi="arial"/>
          <w:sz w:val="20"/>
        </w:rPr>
      </w:pPr>
      <w:r>
        <w:rPr>
          <w:rFonts w:ascii="arial" w:hAnsi="arial"/>
          <w:sz w:val="20"/>
        </w:rPr>
        <w:t xml:space="preserve">Five of the Boards seven meetings in 2022 were regularly scheduled. Four of the Boards regularly scheduled meetings was held in person and one was held virtually. The Board also held two special meetings in 2022, which were both held virtually. </w:t>
      </w:r>
    </w:p>
    <w:p>
      <w:pPr>
        <w:pStyle w:val="TextBody"/>
        <w:spacing w:before="120" w:after="0"/>
        <w:jc w:val="left"/>
        <w:rPr>
          <w:rFonts w:ascii="arial" w:hAnsi="arial"/>
          <w:sz w:val="20"/>
        </w:rPr>
      </w:pPr>
      <w:r>
        <w:rPr>
          <w:rFonts w:ascii="arial" w:hAnsi="arial"/>
          <w:sz w:val="20"/>
        </w:rPr>
        <w:t xml:space="preserve">The following table sets forth the attendance of our directors at Board and committee meetings in 2022. In 2022, attendance for these individuals at all Board and committee meetings was approximately 99% and approximately 97%, respectively. </w:t>
      </w:r>
    </w:p>
    <w:p>
      <w:pPr>
        <w:pStyle w:val="TextBody"/>
        <w:spacing w:before="0" w:after="0"/>
        <w:jc w:val="left"/>
        <w:rPr/>
      </w:pPr>
      <w:r>
        <w:rPr/>
        <w:t> </w:t>
      </w:r>
    </w:p>
    <w:tbl>
      <w:tblPr>
        <w:tblW w:w="10995" w:type="dxa"/>
        <w:jc w:val="center"/>
        <w:tblInd w:w="0" w:type="dxa"/>
        <w:tblCellMar>
          <w:top w:w="0" w:type="dxa"/>
          <w:left w:w="0" w:type="dxa"/>
          <w:bottom w:w="0" w:type="dxa"/>
          <w:right w:w="0" w:type="dxa"/>
        </w:tblCellMar>
      </w:tblPr>
      <w:tblGrid>
        <w:gridCol w:w="1250"/>
        <w:gridCol w:w="23"/>
        <w:gridCol w:w="181"/>
        <w:gridCol w:w="181"/>
        <w:gridCol w:w="181"/>
        <w:gridCol w:w="182"/>
        <w:gridCol w:w="49"/>
        <w:gridCol w:w="335"/>
        <w:gridCol w:w="335"/>
        <w:gridCol w:w="335"/>
        <w:gridCol w:w="335"/>
        <w:gridCol w:w="49"/>
        <w:gridCol w:w="312"/>
        <w:gridCol w:w="312"/>
        <w:gridCol w:w="312"/>
        <w:gridCol w:w="314"/>
        <w:gridCol w:w="49"/>
        <w:gridCol w:w="245"/>
        <w:gridCol w:w="245"/>
        <w:gridCol w:w="245"/>
        <w:gridCol w:w="245"/>
        <w:gridCol w:w="49"/>
        <w:gridCol w:w="312"/>
        <w:gridCol w:w="312"/>
        <w:gridCol w:w="312"/>
        <w:gridCol w:w="314"/>
        <w:gridCol w:w="49"/>
        <w:gridCol w:w="222"/>
        <w:gridCol w:w="222"/>
        <w:gridCol w:w="222"/>
        <w:gridCol w:w="224"/>
        <w:gridCol w:w="49"/>
        <w:gridCol w:w="312"/>
        <w:gridCol w:w="312"/>
        <w:gridCol w:w="312"/>
        <w:gridCol w:w="314"/>
        <w:gridCol w:w="49"/>
        <w:gridCol w:w="263"/>
        <w:gridCol w:w="263"/>
        <w:gridCol w:w="263"/>
        <w:gridCol w:w="266"/>
        <w:gridCol w:w="49"/>
        <w:gridCol w:w="141"/>
        <w:gridCol w:w="141"/>
        <w:gridCol w:w="141"/>
        <w:gridCol w:w="167"/>
      </w:tblGrid>
      <w:tr>
        <w:trPr/>
        <w:tc>
          <w:tcPr>
            <w:tcW w:w="12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250" w:type="dxa"/>
            <w:tcBorders/>
            <w:shd w:fill="auto" w:val="clear"/>
            <w:vAlign w:val="center"/>
          </w:tcPr>
          <w:p>
            <w:pPr>
              <w:pStyle w:val="TableContents"/>
              <w:spacing w:before="0" w:after="283"/>
              <w:rPr>
                <w:sz w:val="4"/>
                <w:szCs w:val="4"/>
              </w:rPr>
            </w:pPr>
            <w:r>
              <w:rPr>
                <w:sz w:val="4"/>
                <w:szCs w:val="4"/>
              </w:rPr>
            </w:r>
          </w:p>
        </w:tc>
        <w:tc>
          <w:tcPr>
            <w:tcW w:w="9745" w:type="dxa"/>
            <w:gridSpan w:val="45"/>
            <w:tcBorders/>
            <w:shd w:fill="BFBFBF" w:val="clear"/>
            <w:vAlign w:val="center"/>
          </w:tcPr>
          <w:p>
            <w:pPr>
              <w:pStyle w:val="TableContents"/>
              <w:spacing w:before="0" w:after="283"/>
              <w:rPr>
                <w:sz w:val="4"/>
                <w:szCs w:val="4"/>
              </w:rPr>
            </w:pPr>
            <w:r>
              <w:rPr>
                <w:sz w:val="4"/>
                <w:szCs w:val="4"/>
              </w:rPr>
            </w:r>
          </w:p>
        </w:tc>
      </w:tr>
      <w:tr>
        <w:trPr/>
        <w:tc>
          <w:tcPr>
            <w:tcW w:w="1250" w:type="dxa"/>
            <w:tcBorders/>
            <w:shd w:fill="auto" w:val="clear"/>
            <w:vAlign w:val="bottom"/>
          </w:tcPr>
          <w:p>
            <w:pPr>
              <w:pStyle w:val="TableContents"/>
              <w:rPr/>
            </w:pPr>
            <w:r>
              <w:rPr/>
              <w:t> </w:t>
            </w:r>
          </w:p>
          <w:p>
            <w:pPr>
              <w:pStyle w:val="TableContents"/>
              <w:spacing w:before="0" w:after="0"/>
              <w:rPr/>
            </w:pPr>
            <w:r>
              <w:rPr/>
              <w:t> </w:t>
            </w:r>
          </w:p>
        </w:tc>
        <w:tc>
          <w:tcPr>
            <w:tcW w:w="23" w:type="dxa"/>
            <w:tcBorders/>
            <w:shd w:fill="BFBFBF" w:val="clear"/>
            <w:vAlign w:val="bottom"/>
          </w:tcPr>
          <w:p>
            <w:pPr>
              <w:pStyle w:val="TableContents"/>
              <w:spacing w:before="0" w:after="283"/>
              <w:rPr>
                <w:sz w:val="4"/>
                <w:szCs w:val="4"/>
              </w:rPr>
            </w:pPr>
            <w:r>
              <w:rPr>
                <w:sz w:val="4"/>
                <w:szCs w:val="4"/>
              </w:rPr>
            </w:r>
          </w:p>
        </w:tc>
        <w:tc>
          <w:tcPr>
            <w:tcW w:w="9722" w:type="dxa"/>
            <w:gridSpan w:val="44"/>
            <w:tcBorders/>
            <w:shd w:fill="BFBFBF" w:val="clear"/>
            <w:vAlign w:val="bottom"/>
          </w:tcPr>
          <w:p>
            <w:pPr>
              <w:pStyle w:val="TableContents"/>
              <w:spacing w:before="0" w:after="283"/>
              <w:jc w:val="center"/>
              <w:rPr>
                <w:rFonts w:ascii="Arial" w:hAnsi="Arial"/>
                <w:b/>
              </w:rPr>
            </w:pPr>
            <w:r>
              <w:rPr>
                <w:rFonts w:ascii="Arial" w:hAnsi="Arial"/>
                <w:b/>
              </w:rPr>
              <w:t>Meetings Attended</w:t>
            </w:r>
          </w:p>
        </w:tc>
      </w:tr>
      <w:tr>
        <w:trPr>
          <w:trHeight w:val="30" w:hRule="atLeast"/>
        </w:trPr>
        <w:tc>
          <w:tcPr>
            <w:tcW w:w="1250" w:type="dxa"/>
            <w:tcBorders>
              <w:left w:val="single" w:sz="2" w:space="0" w:color="FFFFFF"/>
            </w:tcBorders>
            <w:shd w:fill="262626" w:val="clear"/>
            <w:tcMar>
              <w:left w:w="160" w:type="dxa"/>
            </w:tcMar>
            <w:vAlign w:val="center"/>
          </w:tcPr>
          <w:p>
            <w:pPr>
              <w:pStyle w:val="TableContents"/>
              <w:spacing w:before="0" w:after="283"/>
              <w:rPr/>
            </w:pPr>
            <w:r>
              <w:rPr/>
              <w:t> </w:t>
            </w:r>
          </w:p>
        </w:tc>
        <w:tc>
          <w:tcPr>
            <w:tcW w:w="748"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38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29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02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29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93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299"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104"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639" w:type="dxa"/>
            <w:gridSpan w:val="5"/>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250" w:type="dxa"/>
            <w:tcBorders>
              <w:left w:val="single" w:sz="2" w:space="0" w:color="FFFFFF"/>
              <w:bottom w:val="single" w:sz="2" w:space="0" w:color="B94831"/>
            </w:tcBorders>
            <w:shd w:fill="262626" w:val="clear"/>
            <w:tcMar>
              <w:left w:w="160" w:type="dxa"/>
              <w:bottom w:w="60" w:type="dxa"/>
            </w:tcMar>
            <w:vAlign w:val="bottom"/>
          </w:tcPr>
          <w:p>
            <w:pPr>
              <w:pStyle w:val="TableContents"/>
              <w:spacing w:before="0" w:after="0"/>
              <w:rPr>
                <w:rFonts w:ascii="Arial" w:hAnsi="Arial"/>
                <w:b/>
                <w:color w:val="FFFFFF"/>
                <w:sz w:val="17"/>
              </w:rPr>
            </w:pPr>
            <w:r>
              <w:rPr>
                <w:rFonts w:ascii="Arial" w:hAnsi="Arial"/>
                <w:b/>
                <w:color w:val="FFFFFF"/>
                <w:sz w:val="17"/>
              </w:rPr>
              <w:t>Director</w:t>
            </w:r>
          </w:p>
        </w:tc>
        <w:tc>
          <w:tcPr>
            <w:tcW w:w="23"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Board</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 Board</w:t>
              <w:br/>
              <w:t>Attendance</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Audit</w:t>
              <w:br/>
              <w:t>Committee</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B94831"/>
            </w:tcBorders>
            <w:shd w:fill="262626" w:val="clear"/>
            <w:tcMar>
              <w:bottom w:w="60" w:type="dxa"/>
            </w:tcMar>
            <w:vAlign w:val="bottom"/>
          </w:tcPr>
          <w:p>
            <w:pPr>
              <w:pStyle w:val="TableContents"/>
              <w:jc w:val="center"/>
              <w:rPr>
                <w:rFonts w:ascii="Arial" w:hAnsi="Arial"/>
                <w:b/>
                <w:color w:val="FFFFFF"/>
              </w:rPr>
            </w:pPr>
            <w:r>
              <w:rPr>
                <w:rFonts w:ascii="Arial" w:hAnsi="Arial"/>
                <w:b/>
                <w:color w:val="FFFFFF"/>
              </w:rPr>
              <w:t>Corp.</w:t>
            </w:r>
          </w:p>
          <w:p>
            <w:pPr>
              <w:pStyle w:val="TableContents"/>
              <w:spacing w:before="0" w:after="20"/>
              <w:jc w:val="center"/>
              <w:rPr>
                <w:rFonts w:ascii="Arial" w:hAnsi="Arial"/>
                <w:b/>
                <w:color w:val="FFFFFF"/>
                <w:sz w:val="17"/>
              </w:rPr>
            </w:pPr>
            <w:r>
              <w:rPr>
                <w:rFonts w:ascii="Arial" w:hAnsi="Arial"/>
                <w:b/>
                <w:color w:val="FFFFFF"/>
                <w:sz w:val="17"/>
              </w:rPr>
              <w:t>Governance</w:t>
              <w:br/>
              <w:t>Committee</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HR</w:t>
              <w:br/>
              <w:t>Committee</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B94831"/>
            </w:tcBorders>
            <w:shd w:fill="262626" w:val="clear"/>
            <w:tcMar>
              <w:bottom w:w="60" w:type="dxa"/>
            </w:tcMar>
            <w:vAlign w:val="bottom"/>
          </w:tcPr>
          <w:p>
            <w:pPr>
              <w:pStyle w:val="TableContents"/>
              <w:jc w:val="center"/>
              <w:rPr>
                <w:rFonts w:ascii="Arial" w:hAnsi="Arial"/>
                <w:b/>
                <w:color w:val="FFFFFF"/>
              </w:rPr>
            </w:pPr>
            <w:r>
              <w:rPr>
                <w:rFonts w:ascii="Arial" w:hAnsi="Arial"/>
                <w:b/>
                <w:color w:val="FFFFFF"/>
              </w:rPr>
              <w:t>Risk</w:t>
            </w:r>
          </w:p>
          <w:p>
            <w:pPr>
              <w:pStyle w:val="TableContents"/>
              <w:spacing w:before="0" w:after="20"/>
              <w:jc w:val="center"/>
              <w:rPr>
                <w:rFonts w:ascii="Arial" w:hAnsi="Arial"/>
                <w:b/>
                <w:color w:val="FFFFFF"/>
                <w:sz w:val="17"/>
              </w:rPr>
            </w:pPr>
            <w:r>
              <w:rPr>
                <w:rFonts w:ascii="Arial" w:hAnsi="Arial"/>
                <w:b/>
                <w:color w:val="FFFFFF"/>
                <w:sz w:val="17"/>
              </w:rPr>
              <w:t>Committee</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Committee</w:t>
              <w:br/>
              <w:t>Total</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Total</w:t>
              <w:br/>
              <w:t>Meetings</w:t>
            </w:r>
          </w:p>
        </w:tc>
        <w:tc>
          <w:tcPr>
            <w:tcW w:w="4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Total%</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David Thomson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Steve Hasker</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Kirk Arnold</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86%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16 of 16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22 of 23</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96%</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David W. Binet</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16 of 16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23 of 23</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W. Edmund Clark, C.M.</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12 of 12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19 of 19</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Laverne Council</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2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9 of 10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16 of 17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94%</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Michael E. Daniels</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3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19 of 24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26 of 31</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84%</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Kirk Koenigsbauer</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2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10 of 10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17 of 17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Deanna Oppenheimer</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8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14 of 14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21 of 21</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Simon Paris</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8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2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2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12 of 12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19 of 19</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Kim M. Rivera</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8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12 of 12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19 of 19</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Barry Salzberg</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8 of 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18 of 18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25 of 25</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Peter J. Thomson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7 of 7</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6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13 of 13</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Beth Wilson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3 of 3</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5 of 6</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8 of 9</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89%</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Former Directors</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28" w:type="dxa"/>
            </w:tcMar>
            <w:vAlign w:val="bottom"/>
          </w:tcPr>
          <w:p>
            <w:pPr>
              <w:pStyle w:val="TableContents"/>
              <w:spacing w:before="0" w:after="0"/>
              <w:rPr/>
            </w:pPr>
            <w:r>
              <w:rPr/>
              <w:t> </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28" w:type="dxa"/>
            </w:tcMar>
            <w:vAlign w:val="bottom"/>
          </w:tcPr>
          <w:p>
            <w:pPr>
              <w:pStyle w:val="TableContents"/>
              <w:spacing w:before="0" w:after="0"/>
              <w:rPr/>
            </w:pPr>
            <w:r>
              <w:rPr/>
              <w:t> </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Vance Opperman</w:t>
            </w:r>
          </w:p>
        </w:tc>
        <w:tc>
          <w:tcPr>
            <w:tcW w:w="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2" w:space="0" w:color="AFAFAF"/>
            </w:tcBorders>
            <w:shd w:fill="auto" w:val="clear"/>
            <w:tcMar>
              <w:bottom w:w="60" w:type="dxa"/>
            </w:tcMar>
            <w:vAlign w:val="bottom"/>
          </w:tcPr>
          <w:p>
            <w:pPr>
              <w:pStyle w:val="TableContents"/>
              <w:spacing w:before="0" w:after="283"/>
              <w:jc w:val="center"/>
              <w:rPr/>
            </w:pPr>
            <w:r>
              <w:rPr/>
              <w:t>2 of 2</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2" w:space="0" w:color="AFAFAF"/>
            </w:tcBorders>
            <w:shd w:fill="auto" w:val="clear"/>
            <w:tcMar>
              <w:bottom w:w="60" w:type="dxa"/>
            </w:tcMar>
            <w:vAlign w:val="bottom"/>
          </w:tcPr>
          <w:p>
            <w:pPr>
              <w:pStyle w:val="TableContents"/>
              <w:spacing w:before="0" w:after="283"/>
              <w:jc w:val="center"/>
              <w:rPr/>
            </w:pPr>
            <w:r>
              <w:rPr/>
              <w:t>14 of 14</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2" w:space="0" w:color="AFAFAF"/>
            </w:tcBorders>
            <w:shd w:fill="auto" w:val="clear"/>
            <w:tcMar>
              <w:bottom w:w="60" w:type="dxa"/>
            </w:tcMar>
            <w:vAlign w:val="bottom"/>
          </w:tcPr>
          <w:p>
            <w:pPr>
              <w:pStyle w:val="TableContents"/>
              <w:spacing w:before="0" w:after="283"/>
              <w:jc w:val="center"/>
              <w:rPr/>
            </w:pPr>
            <w:r>
              <w:rPr/>
              <w:t>18 of 18</w:t>
            </w:r>
          </w:p>
        </w:tc>
        <w:tc>
          <w:tcPr>
            <w:tcW w:w="4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2" w:space="0" w:color="AFAFAF"/>
            </w:tcBorders>
            <w:shd w:fill="auto" w:val="clear"/>
            <w:tcMar>
              <w:bottom w:w="60" w:type="dxa"/>
            </w:tcMar>
            <w:vAlign w:val="bottom"/>
          </w:tcPr>
          <w:p>
            <w:pPr>
              <w:pStyle w:val="TableContents"/>
              <w:spacing w:before="0" w:after="283"/>
              <w:jc w:val="center"/>
              <w:rPr/>
            </w:pPr>
            <w:r>
              <w:rPr/>
              <w:t>100%</w:t>
            </w:r>
          </w:p>
        </w:tc>
      </w:tr>
      <w:tr>
        <w:trPr>
          <w:trHeight w:val="60" w:hRule="atLeast"/>
        </w:trPr>
        <w:tc>
          <w:tcPr>
            <w:tcW w:w="1250" w:type="dxa"/>
            <w:tcBorders/>
            <w:shd w:fill="auto" w:val="clear"/>
            <w:vAlign w:val="center"/>
          </w:tcPr>
          <w:p>
            <w:pPr>
              <w:pStyle w:val="TableContents"/>
              <w:spacing w:before="0" w:after="283"/>
              <w:rPr>
                <w:sz w:val="4"/>
                <w:szCs w:val="4"/>
              </w:rPr>
            </w:pPr>
            <w:r>
              <w:rPr>
                <w:sz w:val="4"/>
                <w:szCs w:val="4"/>
              </w:rPr>
            </w:r>
          </w:p>
        </w:tc>
        <w:tc>
          <w:tcPr>
            <w:tcW w:w="748"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38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02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93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299"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1104" w:type="dxa"/>
            <w:gridSpan w:val="5"/>
            <w:tcBorders>
              <w:left w:val="single" w:sz="2" w:space="0" w:color="AFAFAF"/>
            </w:tcBorders>
            <w:shd w:fill="auto" w:val="clear"/>
            <w:tcMar>
              <w:left w:w="28" w:type="dxa"/>
            </w:tcMar>
            <w:vAlign w:val="center"/>
          </w:tcPr>
          <w:p>
            <w:pPr>
              <w:pStyle w:val="TableContents"/>
              <w:spacing w:before="0" w:after="283"/>
              <w:rPr/>
            </w:pPr>
            <w:r>
              <w:rPr/>
              <w:t> </w:t>
            </w:r>
          </w:p>
        </w:tc>
        <w:tc>
          <w:tcPr>
            <w:tcW w:w="639" w:type="dxa"/>
            <w:gridSpan w:val="5"/>
            <w:tcBorders>
              <w:left w:val="single" w:sz="2" w:space="0" w:color="AFAFAF"/>
            </w:tcBorders>
            <w:shd w:fill="auto" w:val="clear"/>
            <w:tcMar>
              <w:left w:w="28" w:type="dxa"/>
            </w:tcMar>
            <w:vAlign w:val="center"/>
          </w:tcPr>
          <w:p>
            <w:pPr>
              <w:pStyle w:val="TableContents"/>
              <w:spacing w:before="0" w:after="283"/>
              <w:rPr/>
            </w:pPr>
            <w:r>
              <w:rPr/>
              <w:t> </w:t>
            </w:r>
          </w:p>
        </w:tc>
      </w:tr>
      <w:tr>
        <w:trPr/>
        <w:tc>
          <w:tcPr>
            <w:tcW w:w="1250" w:type="dxa"/>
            <w:tcBorders>
              <w:bottom w:val="single" w:sz="8" w:space="0" w:color="B94831"/>
            </w:tcBorders>
            <w:shd w:fill="auto" w:val="clear"/>
            <w:tcMar>
              <w:bottom w:w="60" w:type="dxa"/>
            </w:tcMar>
          </w:tcPr>
          <w:p>
            <w:pPr>
              <w:pStyle w:val="TableContents"/>
              <w:spacing w:before="0" w:after="0"/>
              <w:rPr>
                <w:rFonts w:ascii="Arial" w:hAnsi="Arial"/>
                <w:b/>
                <w:sz w:val="16"/>
              </w:rPr>
            </w:pPr>
            <w:r>
              <w:rPr>
                <w:rFonts w:ascii="Arial" w:hAnsi="Arial"/>
                <w:b/>
                <w:sz w:val="16"/>
              </w:rPr>
              <w:t>Wulf von Schimmelmann</w:t>
            </w:r>
          </w:p>
        </w:tc>
        <w:tc>
          <w:tcPr>
            <w:tcW w:w="2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725" w:type="dxa"/>
            <w:gridSpan w:val="4"/>
            <w:tcBorders>
              <w:bottom w:val="single" w:sz="8" w:space="0" w:color="B94831"/>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340" w:type="dxa"/>
            <w:gridSpan w:val="4"/>
            <w:tcBorders>
              <w:bottom w:val="single" w:sz="8" w:space="0" w:color="B94831"/>
            </w:tcBorders>
            <w:shd w:fill="auto" w:val="clear"/>
            <w:tcMar>
              <w:bottom w:w="60" w:type="dxa"/>
            </w:tcMar>
            <w:vAlign w:val="bottom"/>
          </w:tcPr>
          <w:p>
            <w:pPr>
              <w:pStyle w:val="TableContents"/>
              <w:spacing w:before="0" w:after="283"/>
              <w:jc w:val="center"/>
              <w:rPr/>
            </w:pPr>
            <w:r>
              <w:rPr/>
              <w:t>100%</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8" w:space="0" w:color="B94831"/>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980" w:type="dxa"/>
            <w:gridSpan w:val="4"/>
            <w:tcBorders>
              <w:bottom w:val="single" w:sz="8" w:space="0" w:color="B94831"/>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8" w:space="0" w:color="B94831"/>
            </w:tcBorders>
            <w:shd w:fill="auto" w:val="clear"/>
            <w:tcMar>
              <w:bottom w:w="60" w:type="dxa"/>
            </w:tcMar>
            <w:vAlign w:val="bottom"/>
          </w:tcPr>
          <w:p>
            <w:pPr>
              <w:pStyle w:val="TableContents"/>
              <w:spacing w:before="0" w:after="283"/>
              <w:jc w:val="center"/>
              <w:rPr/>
            </w:pPr>
            <w:r>
              <w:rPr/>
              <w:t>4 of 4</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890" w:type="dxa"/>
            <w:gridSpan w:val="4"/>
            <w:tcBorders>
              <w:bottom w:val="single" w:sz="8" w:space="0" w:color="B94831"/>
            </w:tcBorders>
            <w:shd w:fill="auto" w:val="clear"/>
            <w:tcMar>
              <w:bottom w:w="60" w:type="dxa"/>
            </w:tcMar>
            <w:vAlign w:val="bottom"/>
          </w:tcPr>
          <w:p>
            <w:pPr>
              <w:pStyle w:val="TableContents"/>
              <w:spacing w:before="0" w:after="283"/>
              <w:jc w:val="center"/>
              <w:rPr/>
            </w:pPr>
            <w:r>
              <w:rPr/>
              <w:t></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250" w:type="dxa"/>
            <w:gridSpan w:val="4"/>
            <w:tcBorders>
              <w:bottom w:val="single" w:sz="8" w:space="0" w:color="B94831"/>
            </w:tcBorders>
            <w:shd w:fill="auto" w:val="clear"/>
            <w:tcMar>
              <w:bottom w:w="60" w:type="dxa"/>
            </w:tcMar>
            <w:vAlign w:val="bottom"/>
          </w:tcPr>
          <w:p>
            <w:pPr>
              <w:pStyle w:val="TableContents"/>
              <w:spacing w:before="0" w:after="283"/>
              <w:jc w:val="center"/>
              <w:rPr/>
            </w:pPr>
            <w:r>
              <w:rPr/>
              <w:t>8 of 8</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055" w:type="dxa"/>
            <w:gridSpan w:val="4"/>
            <w:tcBorders>
              <w:bottom w:val="single" w:sz="8" w:space="0" w:color="B94831"/>
            </w:tcBorders>
            <w:shd w:fill="auto" w:val="clear"/>
            <w:tcMar>
              <w:bottom w:w="60" w:type="dxa"/>
            </w:tcMar>
            <w:vAlign w:val="bottom"/>
          </w:tcPr>
          <w:p>
            <w:pPr>
              <w:pStyle w:val="TableContents"/>
              <w:spacing w:before="0" w:after="283"/>
              <w:jc w:val="center"/>
              <w:rPr/>
            </w:pPr>
            <w:r>
              <w:rPr/>
              <w:t>12 of 12</w:t>
            </w:r>
          </w:p>
        </w:tc>
        <w:tc>
          <w:tcPr>
            <w:tcW w:w="4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590" w:type="dxa"/>
            <w:gridSpan w:val="4"/>
            <w:tcBorders>
              <w:bottom w:val="single" w:sz="8" w:space="0" w:color="B94831"/>
            </w:tcBorders>
            <w:shd w:fill="auto" w:val="clear"/>
            <w:tcMar>
              <w:bottom w:w="60" w:type="dxa"/>
            </w:tcMar>
            <w:vAlign w:val="bottom"/>
          </w:tcPr>
          <w:p>
            <w:pPr>
              <w:pStyle w:val="TableContents"/>
              <w:spacing w:before="0" w:after="283"/>
              <w:jc w:val="center"/>
              <w:rPr/>
            </w:pPr>
            <w:r>
              <w:rPr/>
              <w:t>100%</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19" w:name="tx494196_25"/>
      <w:bookmarkEnd w:id="19"/>
      <w:r>
        <w:rPr>
          <w:rFonts w:ascii="Arial" w:hAnsi="Arial"/>
          <w:b/>
          <w:sz w:val="28"/>
        </w:rPr>
        <w:t xml:space="preserve">Controlled Company </w:t>
      </w:r>
    </w:p>
    <w:p>
      <w:pPr>
        <w:pStyle w:val="TextBody"/>
        <w:spacing w:before="40" w:after="0"/>
        <w:jc w:val="left"/>
        <w:rPr>
          <w:rFonts w:ascii="arial" w:hAnsi="arial"/>
          <w:sz w:val="20"/>
        </w:rPr>
      </w:pPr>
      <w:r>
        <w:rPr>
          <w:rFonts w:ascii="arial" w:hAnsi="arial"/>
          <w:sz w:val="20"/>
        </w:rPr>
        <w:t xml:space="preserve">Our company is a controlled company as a result of Woodbridges ownership. </w:t>
      </w:r>
    </w:p>
    <w:p>
      <w:pPr>
        <w:pStyle w:val="TextBody"/>
        <w:spacing w:before="0" w:after="0"/>
        <w:jc w:val="left"/>
        <w:rPr/>
      </w:pPr>
      <w:r>
        <w:rPr/>
        <w:t> </w:t>
      </w:r>
    </w:p>
    <w:tbl>
      <w:tblPr>
        <w:tblW w:w="5000" w:type="pct"/>
        <w:jc w:val="center"/>
        <w:tblInd w:w="0" w:type="dxa"/>
        <w:shd w:fill="F4E3E0" w:val="clear"/>
        <w:tblCellMar>
          <w:top w:w="0" w:type="dxa"/>
          <w:left w:w="0" w:type="dxa"/>
          <w:bottom w:w="0" w:type="dxa"/>
          <w:right w:w="0" w:type="dxa"/>
        </w:tblCellMar>
      </w:tblPr>
      <w:tblGrid>
        <w:gridCol w:w="10205"/>
      </w:tblGrid>
      <w:tr>
        <w:trPr/>
        <w:tc>
          <w:tcPr>
            <w:tcW w:w="10205" w:type="dxa"/>
            <w:tcBorders/>
            <w:shd w:fill="F4E3E0" w:val="clear"/>
            <w:vAlign w:val="center"/>
          </w:tcPr>
          <w:p>
            <w:pPr>
              <w:pStyle w:val="TableContents"/>
              <w:spacing w:before="0" w:after="283"/>
              <w:rPr>
                <w:sz w:val="4"/>
                <w:szCs w:val="4"/>
              </w:rPr>
            </w:pPr>
            <w:r>
              <w:rPr>
                <w:sz w:val="4"/>
                <w:szCs w:val="4"/>
              </w:rPr>
            </w:r>
          </w:p>
        </w:tc>
      </w:tr>
      <w:tr>
        <w:trPr>
          <w:trHeight w:val="75" w:hRule="atLeast"/>
        </w:trPr>
        <w:tc>
          <w:tcPr>
            <w:tcW w:w="10205" w:type="dxa"/>
            <w:tcBorders>
              <w:top w:val="single" w:sz="2" w:space="0" w:color="000000"/>
              <w:left w:val="single" w:sz="2" w:space="0" w:color="000000"/>
              <w:right w:val="single" w:sz="2" w:space="0" w:color="000000"/>
            </w:tcBorders>
            <w:shd w:fill="F4E3E0" w:val="clear"/>
            <w:tcMar>
              <w:top w:w="28" w:type="dxa"/>
              <w:left w:w="160" w:type="dxa"/>
              <w:right w:w="28" w:type="dxa"/>
            </w:tcMar>
            <w:vAlign w:val="center"/>
          </w:tcPr>
          <w:p>
            <w:pPr>
              <w:pStyle w:val="TableContents"/>
              <w:spacing w:before="0" w:after="283"/>
              <w:rPr/>
            </w:pPr>
            <w:r>
              <w:rPr/>
              <w:t> </w:t>
            </w:r>
          </w:p>
        </w:tc>
      </w:tr>
      <w:tr>
        <w:trPr/>
        <w:tc>
          <w:tcPr>
            <w:tcW w:w="10205" w:type="dxa"/>
            <w:tcBorders>
              <w:left w:val="single" w:sz="2" w:space="0" w:color="000000"/>
              <w:bottom w:val="single" w:sz="2" w:space="0" w:color="000000"/>
              <w:right w:val="single" w:sz="2" w:space="0" w:color="000000"/>
            </w:tcBorders>
            <w:shd w:fill="F4E3E0" w:val="clear"/>
            <w:tcMar>
              <w:left w:w="160" w:type="dxa"/>
              <w:bottom w:w="28" w:type="dxa"/>
              <w:right w:w="40" w:type="dxa"/>
            </w:tcMar>
          </w:tcPr>
          <w:p>
            <w:pPr>
              <w:pStyle w:val="TableContents"/>
              <w:spacing w:before="0" w:after="0"/>
              <w:rPr>
                <w:rFonts w:ascii="arial" w:hAnsi="arial"/>
                <w:sz w:val="20"/>
              </w:rPr>
            </w:pPr>
            <w:r>
              <w:rPr>
                <w:rFonts w:ascii="arial" w:hAnsi="arial"/>
                <w:sz w:val="20"/>
              </w:rPr>
              <w:t>Thomson Reuters corporate governance practices include the following, which we believe are best practices for a Canadian public company with a controlling shareholder:</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 No members of the day-to-day Thomson Reuters executive leadership team are related to, or otherwise affiliated with, Woodbridge.</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 Woodbridge beneficially owns common shares that have one vote per share. Thomson Reuters has not issued a separate class of shares to Woodbridge with super-voting rights.</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 The Thomson Reuters Board of Directors is comprised of a majority of independent directors and the number of directors affiliated with Woodbridge is lower than the proportion of common shares controlled by it. Woodbridges beneficial ownership as of April 21, 2023 was approximately 69% of our common shares and its representatives on the Thomson Reuters Board will comprise approximately 29% of our directors if all 14 director nominees are elected at the meeting.</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 As David Thomson is the Chairman of the Board, we have a separate Lead Independent Director.</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 As part of each Board meeting, the independent directors meet separately without management or Woodbridge-affiliated directors present.</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 All committees are comprised of a majority of independent directors (other than the Audit Committee, which is 100% independent directors).</w:t>
            </w:r>
          </w:p>
          <w:p>
            <w:pPr>
              <w:pStyle w:val="TableContents"/>
              <w:spacing w:before="0" w:after="0"/>
              <w:rPr/>
            </w:pPr>
            <w:r>
              <w:rPr/>
              <w:t> </w:t>
            </w:r>
          </w:p>
          <w:p>
            <w:pPr>
              <w:pStyle w:val="TableContents"/>
              <w:spacing w:before="0" w:after="0"/>
              <w:rPr>
                <w:rFonts w:ascii="arial" w:hAnsi="arial"/>
                <w:sz w:val="20"/>
              </w:rPr>
            </w:pPr>
            <w:r>
              <w:rPr>
                <w:rFonts w:ascii="SYMBOL" w:hAnsi="SYMBOL"/>
                <w:color w:val="B94831"/>
                <w:sz w:val="12"/>
              </w:rPr>
              <w:t>·</w:t>
            </w:r>
            <w:r>
              <w:rPr>
                <w:rFonts w:ascii="arial" w:hAnsi="arial"/>
                <w:sz w:val="20"/>
              </w:rPr>
              <w:t>   The Board has an effective and transparent process to deal with related party transactions or conflicts of interest between Thomson Reuters and Woodbridge or directors affiliated with Woodbridge. The Corporate Governance Committee of our Board utilizes a policy for considering related party transactions that may take place between our company and Woodbridge, with any committee members related to Woodbridge abstaining from voting. In addition, any transactions between Woodbridge and our company are subject to public disclosure and other requirements under applicable Canadian securities laws.</w:t>
            </w:r>
          </w:p>
          <w:p>
            <w:pPr>
              <w:pStyle w:val="TableContents"/>
              <w:spacing w:before="0" w:after="20"/>
              <w:rPr/>
            </w:pPr>
            <w:r>
              <w:rPr/>
              <w:t> </w:t>
            </w:r>
          </w:p>
        </w:tc>
      </w:tr>
    </w:tbl>
    <w:p>
      <w:pPr>
        <w:pStyle w:val="TextBody"/>
        <w:spacing w:before="120" w:after="0"/>
        <w:jc w:val="left"/>
        <w:rPr>
          <w:rFonts w:ascii="arial" w:hAnsi="arial"/>
          <w:sz w:val="20"/>
        </w:rPr>
      </w:pPr>
      <w:r>
        <w:rPr>
          <w:rFonts w:ascii="arial" w:hAnsi="arial"/>
          <w:sz w:val="20"/>
        </w:rPr>
        <w:t xml:space="preserve">The NYSE corporate governance listing standards require a listed company to have, among other things, solely independent directors on its compensation committee and nominating/corporate governance committee. A controlled company (as defined by the NYSE) is a company of which more than 50% of the voting power is held by an individual, group or another company and is exempt from these requirements. </w:t>
      </w:r>
    </w:p>
    <w:p>
      <w:pPr>
        <w:pStyle w:val="TextBody"/>
        <w:spacing w:before="120" w:after="0"/>
        <w:jc w:val="left"/>
        <w:rPr>
          <w:rFonts w:ascii="arial" w:hAnsi="arial"/>
          <w:sz w:val="20"/>
        </w:rPr>
      </w:pPr>
      <w:r>
        <w:rPr>
          <w:rFonts w:ascii="arial" w:hAnsi="arial"/>
          <w:sz w:val="20"/>
        </w:rPr>
        <w:t xml:space="preserve">Supplemental guidelines issued by the Canadian Coalition for Good Governance (CCGG) address controlled companies. A controlled company (as defined by CCGG) includes corporations with a controlling shareholder who controls a sufficient number of shares to be able to elect the board of directors or to direct the management or policies of the corporation. </w:t>
      </w:r>
    </w:p>
    <w:p>
      <w:pPr>
        <w:pStyle w:val="TextBody"/>
        <w:spacing w:before="120" w:after="0"/>
        <w:jc w:val="left"/>
        <w:rPr>
          <w:rFonts w:ascii="arial" w:hAnsi="arial"/>
          <w:sz w:val="20"/>
        </w:rPr>
      </w:pPr>
      <w:r>
        <w:rPr>
          <w:rFonts w:ascii="arial" w:hAnsi="arial"/>
          <w:sz w:val="20"/>
        </w:rPr>
        <w:t xml:space="preserve">While a majority of members of each of the Corporate Governance Committee and the HR Committee of our company are independent, the Board believes it is appropriate for David Binet, Ed Clark and Peter Thomson, who are not considered to be independent under applicable rules because of their affiliation with Woodbridge, to serve on these committees and has approved our reliance on the NYSEs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 </w:t>
      </w:r>
    </w:p>
    <w:p>
      <w:pPr>
        <w:pStyle w:val="TextBody"/>
        <w:spacing w:before="120" w:after="0"/>
        <w:jc w:val="left"/>
        <w:rPr>
          <w:rFonts w:ascii="arial" w:hAnsi="arial"/>
          <w:sz w:val="20"/>
        </w:rPr>
      </w:pPr>
      <w:r>
        <w:rPr>
          <w:rFonts w:ascii="arial" w:hAnsi="arial"/>
          <w:sz w:val="20"/>
        </w:rPr>
        <w:t xml:space="preserve">No directors affiliated with Woodbridge serve on our Audit Committee, which is required to have solely independent directors. </w:t>
      </w:r>
    </w:p>
    <w:p>
      <w:pPr>
        <w:pStyle w:val="TextBody"/>
        <w:spacing w:before="120" w:after="0"/>
        <w:jc w:val="left"/>
        <w:rPr>
          <w:rFonts w:ascii="arial" w:hAnsi="arial"/>
          <w:sz w:val="20"/>
        </w:rPr>
      </w:pPr>
      <w:r>
        <w:rPr>
          <w:rFonts w:ascii="arial" w:hAnsi="arial"/>
          <w:sz w:val="20"/>
        </w:rPr>
        <w:t xml:space="preserve">A majority of members of the Risk Committee are also independent.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48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20" w:name="tx494196_26"/>
      <w:bookmarkEnd w:id="20"/>
      <w:r>
        <w:rPr>
          <w:rFonts w:ascii="arial" w:hAnsi="arial"/>
          <w:color w:val="B94831"/>
          <w:sz w:val="52"/>
        </w:rPr>
        <w:t xml:space="preserve">Board Committees </w:t>
      </w:r>
    </w:p>
    <w:p>
      <w:pPr>
        <w:pStyle w:val="TextBody"/>
        <w:spacing w:before="480" w:after="0"/>
        <w:jc w:val="left"/>
        <w:rPr>
          <w:rFonts w:ascii="arial" w:hAnsi="arial"/>
          <w:sz w:val="20"/>
        </w:rPr>
      </w:pPr>
      <w:r>
        <w:rPr>
          <w:rFonts w:ascii="arial" w:hAnsi="arial"/>
          <w:sz w:val="20"/>
        </w:rPr>
        <w:t xml:space="preserve">This section provides information about the Boards four committees (Audit, Corporate Governance, HR and Risk), including each committees responsibilities, members and activities in 2022. Additional information about each committee is provided below. David Thomson (Chairman of the Board) and Steve Hasker (President and CEO) are not members of any of the Boards committees. David Thomson regularly attends HR Committee meetings as a guest and Steve Hasker is regularly invited to attend all committee meetings in his capacity as President and CEO. </w:t>
      </w:r>
    </w:p>
    <w:p>
      <w:pPr>
        <w:pStyle w:val="TextBody"/>
        <w:spacing w:before="120" w:after="0"/>
        <w:jc w:val="left"/>
        <w:rPr>
          <w:rFonts w:ascii="arial" w:hAnsi="arial"/>
          <w:sz w:val="20"/>
        </w:rPr>
      </w:pPr>
      <w:r>
        <w:rPr>
          <w:rFonts w:ascii="arial" w:hAnsi="arial"/>
          <w:sz w:val="20"/>
        </w:rPr>
        <w:t xml:space="preserve">The following table sets forth the current membership of our four Board committees as of April 21,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17"/>
        <w:gridCol w:w="23"/>
        <w:gridCol w:w="1997"/>
        <w:gridCol w:w="23"/>
        <w:gridCol w:w="525"/>
        <w:gridCol w:w="526"/>
        <w:gridCol w:w="525"/>
        <w:gridCol w:w="525"/>
        <w:gridCol w:w="23"/>
        <w:gridCol w:w="1787"/>
        <w:gridCol w:w="23"/>
        <w:gridCol w:w="1787"/>
        <w:gridCol w:w="24"/>
      </w:tblGrid>
      <w:tr>
        <w:trPr/>
        <w:tc>
          <w:tcPr>
            <w:tcW w:w="241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rHeight w:val="30" w:hRule="atLeast"/>
        </w:trPr>
        <w:tc>
          <w:tcPr>
            <w:tcW w:w="2417" w:type="dxa"/>
            <w:tcBorders/>
            <w:shd w:fill="auto" w:val="clear"/>
            <w:vAlign w:val="center"/>
          </w:tcPr>
          <w:p>
            <w:pPr>
              <w:pStyle w:val="TableContents"/>
              <w:spacing w:before="0" w:after="283"/>
              <w:rPr>
                <w:sz w:val="4"/>
                <w:szCs w:val="4"/>
              </w:rPr>
            </w:pPr>
            <w:r>
              <w:rPr>
                <w:sz w:val="4"/>
                <w:szCs w:val="4"/>
              </w:rPr>
            </w:r>
          </w:p>
        </w:tc>
        <w:tc>
          <w:tcPr>
            <w:tcW w:w="7764" w:type="dxa"/>
            <w:gridSpan w:val="11"/>
            <w:tcBorders/>
            <w:shd w:fill="BFBFBF"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shd w:fill="auto" w:val="clear"/>
            <w:vAlign w:val="bottom"/>
          </w:tcPr>
          <w:p>
            <w:pPr>
              <w:pStyle w:val="TableContents"/>
              <w:rPr/>
            </w:pPr>
            <w:r>
              <w:rPr/>
              <w:t> </w:t>
            </w:r>
          </w:p>
          <w:p>
            <w:pPr>
              <w:pStyle w:val="TableContents"/>
              <w:spacing w:before="0" w:after="0"/>
              <w:rPr/>
            </w:pPr>
            <w:r>
              <w:rPr/>
              <w:t> </w:t>
            </w:r>
          </w:p>
        </w:tc>
        <w:tc>
          <w:tcPr>
            <w:tcW w:w="23" w:type="dxa"/>
            <w:tcBorders/>
            <w:shd w:fill="BFBFBF" w:val="clear"/>
            <w:vAlign w:val="bottom"/>
          </w:tcPr>
          <w:p>
            <w:pPr>
              <w:pStyle w:val="TableContents"/>
              <w:spacing w:before="0" w:after="283"/>
              <w:rPr>
                <w:sz w:val="4"/>
                <w:szCs w:val="4"/>
              </w:rPr>
            </w:pPr>
            <w:r>
              <w:rPr>
                <w:sz w:val="4"/>
                <w:szCs w:val="4"/>
              </w:rPr>
            </w:r>
          </w:p>
        </w:tc>
        <w:tc>
          <w:tcPr>
            <w:tcW w:w="7765" w:type="dxa"/>
            <w:gridSpan w:val="11"/>
            <w:tcBorders/>
            <w:shd w:fill="BFBFBF" w:val="clear"/>
            <w:vAlign w:val="bottom"/>
          </w:tcPr>
          <w:p>
            <w:pPr>
              <w:pStyle w:val="TableContents"/>
              <w:spacing w:before="0" w:after="283"/>
              <w:jc w:val="center"/>
              <w:rPr>
                <w:rFonts w:ascii="Arial" w:hAnsi="Arial"/>
                <w:b/>
              </w:rPr>
            </w:pPr>
            <w:r>
              <w:rPr>
                <w:rFonts w:ascii="Arial" w:hAnsi="Arial"/>
                <w:b/>
              </w:rPr>
              <w:t>Committee Membership</w:t>
            </w:r>
          </w:p>
        </w:tc>
      </w:tr>
      <w:tr>
        <w:trPr>
          <w:trHeight w:val="30" w:hRule="atLeast"/>
        </w:trPr>
        <w:tc>
          <w:tcPr>
            <w:tcW w:w="2417" w:type="dxa"/>
            <w:tcBorders>
              <w:right w:val="single" w:sz="2" w:space="0" w:color="FFFFFF"/>
            </w:tcBorders>
            <w:shd w:fill="262626" w:val="clear"/>
            <w:tcMar>
              <w:right w:w="28" w:type="dxa"/>
            </w:tcMar>
            <w:vAlign w:val="center"/>
          </w:tcPr>
          <w:p>
            <w:pPr>
              <w:pStyle w:val="TableContents"/>
              <w:spacing w:before="0" w:after="283"/>
              <w:rPr/>
            </w:pPr>
            <w:r>
              <w:rPr/>
              <w:t> </w:t>
            </w:r>
          </w:p>
        </w:tc>
        <w:tc>
          <w:tcPr>
            <w:tcW w:w="2020"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124" w:type="dxa"/>
            <w:gridSpan w:val="5"/>
            <w:tcBorders>
              <w:left w:val="single" w:sz="2" w:space="0" w:color="FFFFFF"/>
            </w:tcBorders>
            <w:shd w:fill="262626" w:val="clear"/>
            <w:tcMar>
              <w:left w:w="28" w:type="dxa"/>
            </w:tcMar>
            <w:vAlign w:val="center"/>
          </w:tcPr>
          <w:p>
            <w:pPr>
              <w:pStyle w:val="TableContents"/>
              <w:spacing w:before="0" w:after="283"/>
              <w:rPr/>
            </w:pPr>
            <w:r>
              <w:rPr/>
              <w:t> </w:t>
            </w:r>
          </w:p>
        </w:tc>
        <w:tc>
          <w:tcPr>
            <w:tcW w:w="1810"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810"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8" w:space="0" w:color="B94831"/>
              <w:right w:val="single" w:sz="2" w:space="0" w:color="FFFFFF"/>
            </w:tcBorders>
            <w:shd w:fill="262626" w:val="clear"/>
            <w:tcMar>
              <w:bottom w:w="60" w:type="dxa"/>
              <w:right w:w="28" w:type="dxa"/>
            </w:tcMar>
          </w:tcPr>
          <w:p>
            <w:pPr>
              <w:pStyle w:val="TableContents"/>
              <w:spacing w:before="0" w:after="0"/>
              <w:rPr>
                <w:rFonts w:ascii="Arial" w:hAnsi="Arial"/>
                <w:b/>
                <w:color w:val="FFFFFF"/>
                <w:sz w:val="17"/>
              </w:rPr>
            </w:pPr>
            <w:r>
              <w:rPr>
                <w:rFonts w:ascii="Arial" w:hAnsi="Arial"/>
                <w:b/>
                <w:color w:val="FFFFFF"/>
                <w:sz w:val="17"/>
              </w:rPr>
              <w:t>Name of Director</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997" w:type="dxa"/>
            <w:tcBorders>
              <w:bottom w:val="single" w:sz="8" w:space="0" w:color="B94831"/>
            </w:tcBorders>
            <w:shd w:fill="262626" w:val="clear"/>
            <w:tcMar>
              <w:bottom w:w="60" w:type="dxa"/>
            </w:tcMar>
          </w:tcPr>
          <w:p>
            <w:pPr>
              <w:pStyle w:val="TableContents"/>
              <w:spacing w:before="0" w:after="283"/>
              <w:jc w:val="center"/>
              <w:rPr>
                <w:rFonts w:ascii="Arial" w:hAnsi="Arial"/>
                <w:b/>
                <w:color w:val="FFFFFF"/>
              </w:rPr>
            </w:pPr>
            <w:r>
              <w:rPr>
                <w:rFonts w:ascii="Arial" w:hAnsi="Arial"/>
                <w:b/>
                <w:color w:val="FFFFFF"/>
              </w:rPr>
              <w:t>Audit</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101" w:type="dxa"/>
            <w:gridSpan w:val="4"/>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Corporate Governance</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HR</w:t>
            </w:r>
          </w:p>
        </w:tc>
        <w:tc>
          <w:tcPr>
            <w:tcW w:w="23"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tcBorders>
            <w:shd w:fill="262626" w:val="clear"/>
            <w:tcMar>
              <w:bottom w:w="60" w:type="dxa"/>
            </w:tcMar>
          </w:tcPr>
          <w:p>
            <w:pPr>
              <w:pStyle w:val="TableContents"/>
              <w:spacing w:before="0" w:after="283"/>
              <w:jc w:val="center"/>
              <w:rPr>
                <w:rFonts w:ascii="Arial" w:hAnsi="Arial"/>
                <w:b/>
                <w:color w:val="FFFFFF"/>
              </w:rPr>
            </w:pPr>
            <w:r>
              <w:rPr>
                <w:rFonts w:ascii="Arial" w:hAnsi="Arial"/>
                <w:b/>
                <w:color w:val="FFFFFF"/>
              </w:rPr>
              <w:t>Risk</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Kirk E. Arnold</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 </w:t>
            </w:r>
            <w:r>
              <w:rPr/>
              <w:t>(Chair)</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David W. Binet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W. Edmund Clark, C.M.</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 </w:t>
            </w:r>
            <w:r>
              <w:rPr/>
              <w:t>(Chair)</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28" w:type="dxa"/>
            </w:tcMar>
            <w:vAlign w:val="bottom"/>
          </w:tcPr>
          <w:p>
            <w:pPr>
              <w:pStyle w:val="TableContents"/>
              <w:spacing w:before="0" w:after="0"/>
              <w:rPr/>
            </w:pPr>
            <w:r>
              <w:rPr/>
              <w:t> </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LaVerne Council</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Michael E. Daniels</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 </w:t>
            </w:r>
            <w:r>
              <w:rPr/>
              <w:t>(Chair)</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Kirk Koenigsbauer</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Deanna Oppenheimer</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28" w:type="dxa"/>
            </w:tcMar>
            <w:vAlign w:val="bottom"/>
          </w:tcPr>
          <w:p>
            <w:pPr>
              <w:pStyle w:val="TableContents"/>
              <w:spacing w:before="0" w:after="0"/>
              <w:rPr/>
            </w:pPr>
            <w:r>
              <w:rPr/>
              <w:t> </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Simon Paris</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Kim M. Rivera</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Barry Salzberg</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 </w:t>
            </w:r>
            <w:r>
              <w:rPr/>
              <w:t>(Chair)</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Peter Thomson</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2" w:space="0" w:color="AFAFAF"/>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2" w:space="0" w:color="AFAFAF"/>
            </w:tcBorders>
            <w:shd w:fill="auto" w:val="clear"/>
            <w:tcMar>
              <w:bottom w:w="28" w:type="dxa"/>
            </w:tcMar>
            <w:vAlign w:val="bottom"/>
          </w:tcPr>
          <w:p>
            <w:pPr>
              <w:pStyle w:val="TableContents"/>
              <w:spacing w:before="0" w:after="0"/>
              <w:rPr/>
            </w:pPr>
            <w:r>
              <w:rPr/>
              <w:t> </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8" w:space="0" w:color="B94831"/>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Beth Wilson</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8" w:space="0" w:color="B94831"/>
              <w:right w:val="single" w:sz="2" w:space="0" w:color="AFAFAF"/>
            </w:tcBorders>
            <w:shd w:fill="auto" w:val="clear"/>
            <w:tcMar>
              <w:bottom w:w="28" w:type="dxa"/>
              <w:right w:w="28" w:type="dxa"/>
            </w:tcMar>
            <w:vAlign w:val="bottom"/>
          </w:tcPr>
          <w:p>
            <w:pPr>
              <w:pStyle w:val="TableContents"/>
              <w:spacing w:before="0" w:after="0"/>
              <w:rPr/>
            </w:pPr>
            <w:r>
              <w:rPr/>
              <w:t> </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jc w:val="center"/>
              <w:rPr/>
            </w:pPr>
            <w:r>
              <w:rPr/>
              <w:t>✓</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tcBorders>
            <w:shd w:fill="auto" w:val="clear"/>
            <w:tcMar>
              <w:bottom w:w="28" w:type="dxa"/>
            </w:tcMar>
            <w:vAlign w:val="bottom"/>
          </w:tcPr>
          <w:p>
            <w:pPr>
              <w:pStyle w:val="TableContents"/>
              <w:spacing w:before="0" w:after="0"/>
              <w:rPr/>
            </w:pPr>
            <w:r>
              <w:rPr/>
              <w:t> </w:t>
            </w:r>
          </w:p>
        </w:tc>
        <w:tc>
          <w:tcPr>
            <w:tcW w:w="24" w:type="dxa"/>
            <w:tcBorders/>
            <w:shd w:fill="auto" w:val="clear"/>
          </w:tcPr>
          <w:p>
            <w:pPr>
              <w:pStyle w:val="TableContents"/>
              <w:spacing w:before="0" w:after="283"/>
              <w:rPr>
                <w:sz w:val="4"/>
                <w:szCs w:val="4"/>
              </w:rPr>
            </w:pPr>
            <w:r>
              <w:rPr>
                <w:sz w:val="4"/>
                <w:szCs w:val="4"/>
              </w:rPr>
            </w:r>
          </w:p>
        </w:tc>
      </w:tr>
      <w:tr>
        <w:trPr>
          <w:trHeight w:val="60" w:hRule="atLeast"/>
        </w:trPr>
        <w:tc>
          <w:tcPr>
            <w:tcW w:w="2417" w:type="dxa"/>
            <w:tcBorders>
              <w:right w:val="single" w:sz="2" w:space="0" w:color="AFAFAF"/>
            </w:tcBorders>
            <w:shd w:fill="auto" w:val="clear"/>
            <w:tcMar>
              <w:right w:w="28" w:type="dxa"/>
            </w:tcMar>
            <w:vAlign w:val="center"/>
          </w:tcPr>
          <w:p>
            <w:pPr>
              <w:pStyle w:val="TableContents"/>
              <w:spacing w:before="0" w:after="283"/>
              <w:rPr/>
            </w:pPr>
            <w:r>
              <w:rPr/>
              <w:t> </w:t>
            </w:r>
          </w:p>
        </w:tc>
        <w:tc>
          <w:tcPr>
            <w:tcW w:w="202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124" w:type="dxa"/>
            <w:gridSpan w:val="5"/>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10" w:type="dxa"/>
            <w:gridSpan w:val="2"/>
            <w:tcBorders/>
            <w:shd w:fill="auto" w:val="clear"/>
            <w:vAlign w:val="center"/>
          </w:tcPr>
          <w:p>
            <w:pPr>
              <w:pStyle w:val="TableContents"/>
              <w:spacing w:before="0" w:after="283"/>
              <w:rPr>
                <w:sz w:val="4"/>
                <w:szCs w:val="4"/>
              </w:rPr>
            </w:pPr>
            <w:r>
              <w:rPr>
                <w:sz w:val="4"/>
                <w:szCs w:val="4"/>
              </w:rPr>
            </w:r>
          </w:p>
        </w:tc>
        <w:tc>
          <w:tcPr>
            <w:tcW w:w="24" w:type="dxa"/>
            <w:tcBorders/>
            <w:shd w:fill="auto" w:val="clear"/>
          </w:tcPr>
          <w:p>
            <w:pPr>
              <w:pStyle w:val="TableContents"/>
              <w:spacing w:before="0" w:after="283"/>
              <w:rPr>
                <w:sz w:val="4"/>
                <w:szCs w:val="4"/>
              </w:rPr>
            </w:pPr>
            <w:r>
              <w:rPr>
                <w:sz w:val="4"/>
                <w:szCs w:val="4"/>
              </w:rPr>
            </w:r>
          </w:p>
        </w:tc>
      </w:tr>
      <w:tr>
        <w:trPr/>
        <w:tc>
          <w:tcPr>
            <w:tcW w:w="2417" w:type="dxa"/>
            <w:tcBorders>
              <w:bottom w:val="single" w:sz="8" w:space="0" w:color="B94831"/>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Total</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997"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jc w:val="center"/>
              <w:rPr>
                <w:rFonts w:ascii="Arial" w:hAnsi="Arial"/>
                <w:b/>
              </w:rPr>
            </w:pPr>
            <w:r>
              <w:rPr>
                <w:rFonts w:ascii="Arial" w:hAnsi="Arial"/>
                <w:b/>
              </w:rPr>
              <w:t>7</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2101" w:type="dxa"/>
            <w:gridSpan w:val="4"/>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jc w:val="center"/>
              <w:rPr>
                <w:rFonts w:ascii="Arial" w:hAnsi="Arial"/>
                <w:b/>
              </w:rPr>
            </w:pPr>
            <w:r>
              <w:rPr>
                <w:rFonts w:ascii="Arial" w:hAnsi="Arial"/>
                <w:b/>
              </w:rPr>
              <w:t>7</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jc w:val="center"/>
              <w:rPr>
                <w:rFonts w:ascii="Arial" w:hAnsi="Arial"/>
                <w:b/>
              </w:rPr>
            </w:pPr>
            <w:r>
              <w:rPr>
                <w:rFonts w:ascii="Arial" w:hAnsi="Arial"/>
                <w:b/>
              </w:rPr>
              <w:t>7</w:t>
            </w:r>
          </w:p>
        </w:tc>
        <w:tc>
          <w:tcPr>
            <w:tcW w:w="23"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1787" w:type="dxa"/>
            <w:tcBorders>
              <w:bottom w:val="single" w:sz="8" w:space="0" w:color="B94831"/>
            </w:tcBorders>
            <w:shd w:fill="auto" w:val="clear"/>
            <w:tcMar>
              <w:bottom w:w="60" w:type="dxa"/>
            </w:tcMar>
            <w:vAlign w:val="bottom"/>
          </w:tcPr>
          <w:p>
            <w:pPr>
              <w:pStyle w:val="TableContents"/>
              <w:spacing w:before="0" w:after="283"/>
              <w:jc w:val="center"/>
              <w:rPr>
                <w:rFonts w:ascii="Arial" w:hAnsi="Arial"/>
                <w:b/>
              </w:rPr>
            </w:pPr>
            <w:r>
              <w:rPr>
                <w:rFonts w:ascii="Arial" w:hAnsi="Arial"/>
                <w:b/>
              </w:rPr>
              <w:t>8</w:t>
            </w:r>
          </w:p>
        </w:tc>
        <w:tc>
          <w:tcPr>
            <w:tcW w:w="24" w:type="dxa"/>
            <w:tcBorders/>
            <w:shd w:fill="auto" w:val="clear"/>
          </w:tcPr>
          <w:p>
            <w:pPr>
              <w:pStyle w:val="TableContents"/>
              <w:spacing w:before="0" w:after="283"/>
              <w:rPr>
                <w:sz w:val="4"/>
                <w:szCs w:val="4"/>
              </w:rPr>
            </w:pPr>
            <w:r>
              <w:rPr>
                <w:sz w:val="4"/>
                <w:szCs w:val="4"/>
              </w:rPr>
            </w:r>
          </w:p>
        </w:tc>
      </w:tr>
    </w:tbl>
    <w:p>
      <w:pPr>
        <w:pStyle w:val="TextBody"/>
        <w:spacing w:before="120" w:after="0"/>
        <w:jc w:val="left"/>
        <w:rPr>
          <w:rFonts w:ascii="arial" w:hAnsi="arial"/>
          <w:sz w:val="20"/>
        </w:rPr>
      </w:pPr>
      <w:r>
        <w:rPr>
          <w:rFonts w:ascii="arial" w:hAnsi="arial"/>
          <w:sz w:val="20"/>
        </w:rPr>
        <w:t xml:space="preserve">Each of the Boards committees has a charter. The charters are reviewed annually by the relevant committee and the Corporate Governance Committee. These charters and a committee chair position description are publicly available at </w:t>
      </w:r>
      <w:r>
        <w:rPr>
          <w:rFonts w:ascii="Arial" w:hAnsi="Arial"/>
          <w:b/>
          <w:color w:val="335367"/>
          <w:sz w:val="20"/>
        </w:rPr>
        <w:t xml:space="preserve">www.tr.com.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21" w:name="tx494196_27"/>
      <w:bookmarkEnd w:id="21"/>
      <w:r>
        <w:rPr>
          <w:rFonts w:ascii="Arial" w:hAnsi="Arial"/>
          <w:b/>
          <w:sz w:val="28"/>
        </w:rPr>
        <w:t xml:space="preserve">Audit Committee </w:t>
      </w:r>
    </w:p>
    <w:p>
      <w:pPr>
        <w:pStyle w:val="TextBody"/>
        <w:spacing w:before="120" w:after="0"/>
        <w:jc w:val="left"/>
        <w:rPr>
          <w:rFonts w:ascii="arial" w:hAnsi="arial"/>
          <w:color w:val="B94831"/>
          <w:sz w:val="28"/>
        </w:rPr>
      </w:pPr>
      <w:r>
        <w:rPr>
          <w:rFonts w:ascii="arial" w:hAnsi="arial"/>
          <w:color w:val="B94831"/>
          <w:sz w:val="28"/>
        </w:rPr>
        <w:t xml:space="preserve">Responsibilities </w:t>
      </w:r>
    </w:p>
    <w:p>
      <w:pPr>
        <w:pStyle w:val="TextBody"/>
        <w:spacing w:before="40" w:after="0"/>
        <w:jc w:val="left"/>
        <w:rPr>
          <w:rFonts w:ascii="arial" w:hAnsi="arial"/>
          <w:sz w:val="20"/>
        </w:rPr>
      </w:pPr>
      <w:r>
        <w:rPr>
          <w:rFonts w:ascii="arial" w:hAnsi="arial"/>
          <w:sz w:val="20"/>
        </w:rPr>
        <w:t xml:space="preserve">The Audit Committee is responsible for assisting the Board in fulfilling its oversight responsibilities in relation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integrity of financial statements and other financial information relating to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qualifications, independence and performance of the independent auditor (PricewaterhouseCoopers LLP);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adequacy and effectiveness of our internal control over financial reporting and disclosure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effectiveness of the internal audit function;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overall assessment and management of risk;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any additional matters delegated to the Audit Committee by the Board. </w:t>
            </w:r>
          </w:p>
        </w:tc>
      </w:tr>
    </w:tbl>
    <w:p>
      <w:pPr>
        <w:pStyle w:val="TextBody"/>
        <w:spacing w:before="120" w:after="0"/>
        <w:jc w:val="left"/>
        <w:rPr>
          <w:rFonts w:ascii="arial" w:hAnsi="arial"/>
          <w:sz w:val="20"/>
        </w:rPr>
      </w:pPr>
      <w:r>
        <w:rPr>
          <w:rFonts w:ascii="arial" w:hAnsi="arial"/>
          <w:sz w:val="20"/>
        </w:rPr>
        <w:t xml:space="preserve">In the course of fulfilling its mandate, the Audit Committee focused on several topics in 2022, which are reflected in the work plan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43"/>
        <w:gridCol w:w="121"/>
        <w:gridCol w:w="5041"/>
      </w:tblGrid>
      <w:tr>
        <w:trPr/>
        <w:tc>
          <w:tcPr>
            <w:tcW w:w="504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04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8" w:space="0" w:color="B94831"/>
            </w:tcBorders>
            <w:shd w:fill="262626" w:val="clear"/>
            <w:tcMar>
              <w:bottom w:w="28" w:type="dxa"/>
            </w:tcMar>
            <w:vAlign w:val="bottom"/>
          </w:tcPr>
          <w:p>
            <w:pPr>
              <w:pStyle w:val="TableContents"/>
              <w:spacing w:before="0" w:after="0"/>
              <w:rPr>
                <w:color w:val="FFFFFF"/>
              </w:rPr>
            </w:pPr>
            <w:r>
              <w:rPr>
                <w:color w:val="FFFFFF"/>
              </w:rPr>
              <w:t> </w:t>
            </w:r>
            <w:r>
              <w:rPr>
                <w:rFonts w:ascii="Arial" w:hAnsi="Arial"/>
                <w:b/>
                <w:color w:val="FFFFFF"/>
                <w:sz w:val="17"/>
              </w:rPr>
              <w:t>2022 Primary Audit Committee Activities</w:t>
            </w:r>
          </w:p>
        </w:tc>
      </w:tr>
      <w:tr>
        <w:trPr/>
        <w:tc>
          <w:tcPr>
            <w:tcW w:w="5043"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 Review and discuss the companys annual and quarterly consolidated financial statements and related MD&amp;A;</w:t>
            </w:r>
          </w:p>
          <w:p>
            <w:pPr>
              <w:pStyle w:val="TableContents"/>
              <w:spacing w:before="0" w:after="0"/>
              <w:rPr>
                <w:rFonts w:ascii="arial" w:hAnsi="arial"/>
                <w:sz w:val="16"/>
              </w:rPr>
            </w:pPr>
            <w:r>
              <w:rPr>
                <w:rFonts w:ascii="SYMBOL" w:hAnsi="SYMBOL"/>
                <w:color w:val="B94831"/>
                <w:sz w:val="12"/>
              </w:rPr>
              <w:t>·</w:t>
            </w:r>
            <w:r>
              <w:rPr>
                <w:rFonts w:ascii="arial" w:hAnsi="arial"/>
                <w:sz w:val="16"/>
              </w:rPr>
              <w:t>   Review and approve our earnings press releases which include financial results and financial outlooks;</w:t>
            </w:r>
          </w:p>
          <w:p>
            <w:pPr>
              <w:pStyle w:val="TableContents"/>
              <w:spacing w:before="0" w:after="0"/>
              <w:rPr>
                <w:rFonts w:ascii="arial" w:hAnsi="arial"/>
                <w:sz w:val="16"/>
              </w:rPr>
            </w:pPr>
            <w:r>
              <w:rPr>
                <w:rFonts w:ascii="SYMBOL" w:hAnsi="SYMBOL"/>
                <w:color w:val="B94831"/>
                <w:sz w:val="12"/>
              </w:rPr>
              <w:t>·</w:t>
            </w:r>
            <w:r>
              <w:rPr>
                <w:rFonts w:ascii="arial" w:hAnsi="arial"/>
                <w:sz w:val="16"/>
              </w:rPr>
              <w:t>   Discuss the companys disclosures related to ESG;</w:t>
            </w:r>
          </w:p>
          <w:p>
            <w:pPr>
              <w:pStyle w:val="TableContents"/>
              <w:spacing w:before="0" w:after="0"/>
              <w:rPr>
                <w:rFonts w:ascii="arial" w:hAnsi="arial"/>
                <w:sz w:val="16"/>
              </w:rPr>
            </w:pPr>
            <w:r>
              <w:rPr>
                <w:rFonts w:ascii="SYMBOL" w:hAnsi="SYMBOL"/>
                <w:color w:val="B94831"/>
                <w:sz w:val="12"/>
              </w:rPr>
              <w:t>·</w:t>
            </w:r>
            <w:r>
              <w:rPr>
                <w:rFonts w:ascii="arial" w:hAnsi="arial"/>
                <w:sz w:val="16"/>
              </w:rPr>
              <w:t>   Receive periodic updates regarding the companys finance operations;</w:t>
            </w:r>
          </w:p>
          <w:p>
            <w:pPr>
              <w:pStyle w:val="TableContents"/>
              <w:spacing w:before="0" w:after="0"/>
              <w:rPr>
                <w:rFonts w:ascii="arial" w:hAnsi="arial"/>
                <w:sz w:val="16"/>
              </w:rPr>
            </w:pPr>
            <w:r>
              <w:rPr>
                <w:rFonts w:ascii="SYMBOL" w:hAnsi="SYMBOL"/>
                <w:color w:val="B94831"/>
                <w:sz w:val="12"/>
              </w:rPr>
              <w:t>·</w:t>
            </w:r>
            <w:r>
              <w:rPr>
                <w:rFonts w:ascii="arial" w:hAnsi="arial"/>
                <w:sz w:val="16"/>
              </w:rPr>
              <w:t>   Receive periodic updates from our Corporate Compliance and Audit Department on the internal audit plan and process, internal control over financial reporting and fraud-related matters;</w:t>
            </w:r>
          </w:p>
          <w:p>
            <w:pPr>
              <w:pStyle w:val="TableContents"/>
              <w:spacing w:before="0" w:after="0"/>
              <w:rPr>
                <w:rFonts w:ascii="arial" w:hAnsi="arial"/>
                <w:sz w:val="16"/>
              </w:rPr>
            </w:pPr>
            <w:r>
              <w:rPr>
                <w:rFonts w:ascii="SYMBOL" w:hAnsi="SYMBOL"/>
                <w:color w:val="B94831"/>
                <w:sz w:val="12"/>
              </w:rPr>
              <w:t>·</w:t>
            </w:r>
            <w:r>
              <w:rPr>
                <w:rFonts w:ascii="arial" w:hAnsi="arial"/>
                <w:sz w:val="16"/>
              </w:rPr>
              <w:t>   Receive periodic updates from senior management on financial risk topics such as tax, treasury and accounting;</w:t>
            </w:r>
          </w:p>
          <w:p>
            <w:pPr>
              <w:pStyle w:val="TableContents"/>
              <w:spacing w:before="0" w:after="20"/>
              <w:rPr>
                <w:rFonts w:ascii="arial" w:hAnsi="arial"/>
                <w:sz w:val="16"/>
              </w:rPr>
            </w:pPr>
            <w:r>
              <w:rPr>
                <w:rFonts w:ascii="SYMBOL" w:hAnsi="SYMBOL"/>
                <w:color w:val="B94831"/>
                <w:sz w:val="12"/>
              </w:rPr>
              <w:t>·</w:t>
            </w:r>
            <w:r>
              <w:rPr>
                <w:rFonts w:ascii="arial" w:hAnsi="arial"/>
                <w:sz w:val="16"/>
              </w:rPr>
              <w:t>   Review the scope and plans for the audit of our companys financial statements;</w:t>
            </w:r>
          </w:p>
        </w:tc>
        <w:tc>
          <w:tcPr>
            <w:tcW w:w="121" w:type="dxa"/>
            <w:tcBorders>
              <w:bottom w:val="single" w:sz="8" w:space="0" w:color="B94831"/>
            </w:tcBorders>
            <w:shd w:fill="auto" w:val="clear"/>
            <w:tcMar>
              <w:bottom w:w="28" w:type="dxa"/>
            </w:tcMar>
            <w:vAlign w:val="bottom"/>
          </w:tcPr>
          <w:p>
            <w:pPr>
              <w:pStyle w:val="TableContents"/>
              <w:spacing w:before="0" w:after="283"/>
              <w:rPr/>
            </w:pPr>
            <w:r>
              <w:rPr/>
              <w:t>  </w:t>
            </w:r>
          </w:p>
        </w:tc>
        <w:tc>
          <w:tcPr>
            <w:tcW w:w="5041"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 Review and approve the companys non-audit services policy as well as certain non-audit services proposed to be provided by PricewaterhouseCoopers LLP;</w:t>
            </w:r>
          </w:p>
          <w:p>
            <w:pPr>
              <w:pStyle w:val="TableContents"/>
              <w:spacing w:before="0" w:after="0"/>
              <w:rPr>
                <w:rFonts w:ascii="arial" w:hAnsi="arial"/>
                <w:sz w:val="16"/>
              </w:rPr>
            </w:pPr>
            <w:r>
              <w:rPr>
                <w:rFonts w:ascii="SYMBOL" w:hAnsi="SYMBOL"/>
                <w:color w:val="B94831"/>
                <w:sz w:val="12"/>
              </w:rPr>
              <w:t>·</w:t>
            </w:r>
            <w:r>
              <w:rPr>
                <w:rFonts w:ascii="arial" w:hAnsi="arial"/>
                <w:sz w:val="16"/>
              </w:rPr>
              <w:t> Review and approve fees to be paid to PricewaterhouseCoopers LLP for its services;</w:t>
            </w:r>
          </w:p>
          <w:p>
            <w:pPr>
              <w:pStyle w:val="TableContents"/>
              <w:spacing w:before="0" w:after="0"/>
              <w:rPr>
                <w:rFonts w:ascii="arial" w:hAnsi="arial"/>
                <w:sz w:val="16"/>
              </w:rPr>
            </w:pPr>
            <w:r>
              <w:rPr>
                <w:rFonts w:ascii="SYMBOL" w:hAnsi="SYMBOL"/>
                <w:color w:val="B94831"/>
                <w:sz w:val="12"/>
              </w:rPr>
              <w:t>·</w:t>
            </w:r>
            <w:r>
              <w:rPr>
                <w:rFonts w:ascii="arial" w:hAnsi="arial"/>
                <w:sz w:val="16"/>
              </w:rPr>
              <w:t>   Discuss with PricewaterhouseCoopers LLP:</w:t>
            </w:r>
          </w:p>
          <w:p>
            <w:pPr>
              <w:pStyle w:val="TableContents"/>
              <w:spacing w:before="0" w:after="0"/>
              <w:rPr>
                <w:rFonts w:ascii="arial" w:hAnsi="arial"/>
                <w:sz w:val="16"/>
              </w:rPr>
            </w:pPr>
            <w:r>
              <w:rPr>
                <w:rFonts w:ascii="SYMBOL" w:hAnsi="SYMBOL"/>
                <w:color w:val="B94831"/>
                <w:sz w:val="12"/>
              </w:rPr>
              <w:t>·</w:t>
            </w:r>
            <w:r>
              <w:rPr>
                <w:rFonts w:ascii="arial" w:hAnsi="arial"/>
                <w:sz w:val="16"/>
              </w:rPr>
              <w:t>   its independence from Thomson Reuters (and receiving disclosures from PricewaterhouseCoopers LLP in this regard);</w:t>
            </w:r>
          </w:p>
          <w:p>
            <w:pPr>
              <w:pStyle w:val="TableContents"/>
              <w:spacing w:before="0" w:after="0"/>
              <w:rPr>
                <w:rFonts w:ascii="arial" w:hAnsi="arial"/>
                <w:sz w:val="16"/>
              </w:rPr>
            </w:pPr>
            <w:r>
              <w:rPr>
                <w:rFonts w:ascii="SYMBOL" w:hAnsi="SYMBOL"/>
                <w:color w:val="B94831"/>
                <w:sz w:val="12"/>
              </w:rPr>
              <w:t>·</w:t>
            </w:r>
            <w:r>
              <w:rPr>
                <w:rFonts w:ascii="arial" w:hAnsi="arial"/>
                <w:sz w:val="16"/>
              </w:rPr>
              <w:t>   all critical accounting policies and practices used or to be used by Thomson Reuters;</w:t>
            </w:r>
          </w:p>
          <w:p>
            <w:pPr>
              <w:pStyle w:val="TableContents"/>
              <w:spacing w:before="0" w:after="0"/>
              <w:rPr>
                <w:rFonts w:ascii="arial" w:hAnsi="arial"/>
                <w:sz w:val="16"/>
              </w:rPr>
            </w:pPr>
            <w:r>
              <w:rPr>
                <w:rFonts w:ascii="SYMBOL" w:hAnsi="SYMBOL"/>
                <w:color w:val="B94831"/>
                <w:sz w:val="12"/>
              </w:rPr>
              <w:t>·</w:t>
            </w:r>
            <w:r>
              <w:rPr>
                <w:rFonts w:ascii="arial" w:hAnsi="arial"/>
                <w:sz w:val="16"/>
              </w:rPr>
              <w:t>   all alternative treatments of financial information within IFRS that have been discussed with management, ramifications of the use of such alternative treatments and the treatment preferred by the auditor; and</w:t>
            </w:r>
          </w:p>
          <w:p>
            <w:pPr>
              <w:pStyle w:val="TableContents"/>
              <w:spacing w:before="0" w:after="20"/>
              <w:rPr>
                <w:rFonts w:ascii="arial" w:hAnsi="arial"/>
                <w:sz w:val="16"/>
              </w:rPr>
            </w:pPr>
            <w:r>
              <w:rPr>
                <w:rFonts w:ascii="SYMBOL" w:hAnsi="SYMBOL"/>
                <w:color w:val="B94831"/>
                <w:sz w:val="12"/>
              </w:rPr>
              <w:t>·</w:t>
            </w:r>
            <w:r>
              <w:rPr>
                <w:rFonts w:ascii="arial" w:hAnsi="arial"/>
                <w:sz w:val="16"/>
              </w:rPr>
              <w:t> all other matters required to be communicated under PCAOB.</w:t>
            </w:r>
          </w:p>
        </w:tc>
      </w:tr>
    </w:tbl>
    <w:p>
      <w:pPr>
        <w:pStyle w:val="TextBody"/>
        <w:spacing w:before="120" w:after="0"/>
        <w:jc w:val="left"/>
        <w:rPr>
          <w:rFonts w:ascii="arial" w:hAnsi="arial"/>
          <w:color w:val="B94831"/>
          <w:sz w:val="28"/>
        </w:rPr>
      </w:pPr>
      <w:r>
        <w:rPr>
          <w:rFonts w:ascii="arial" w:hAnsi="arial"/>
          <w:color w:val="B94831"/>
          <w:sz w:val="28"/>
        </w:rPr>
        <w:t xml:space="preserve">Financial Literacy </w:t>
      </w:r>
    </w:p>
    <w:p>
      <w:pPr>
        <w:pStyle w:val="TextBody"/>
        <w:spacing w:before="40" w:after="0"/>
        <w:jc w:val="left"/>
        <w:rPr>
          <w:rFonts w:ascii="arial" w:hAnsi="arial"/>
          <w:sz w:val="20"/>
        </w:rPr>
      </w:pPr>
      <w:r>
        <w:rPr>
          <w:rFonts w:ascii="arial" w:hAnsi="arial"/>
          <w:sz w:val="20"/>
        </w:rPr>
        <w:t xml:space="preserve">All members of the Audit Committee are financially literate in accordance with applicable Canadian and U.S. securities rules. Barry Salzberg and Beth Wilson each qualify as an audit committee financial expert (within the meaning of applicable SEC rules) and meet applicable tests for accounting or related financial management expertise within the meaning of NYSE listing standards.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50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Audit Committee Members Education and Experience </w:t>
      </w:r>
    </w:p>
    <w:p>
      <w:pPr>
        <w:pStyle w:val="TextBody"/>
        <w:spacing w:before="40" w:after="0"/>
        <w:jc w:val="left"/>
        <w:rPr>
          <w:rFonts w:ascii="arial" w:hAnsi="arial"/>
          <w:sz w:val="20"/>
        </w:rPr>
      </w:pPr>
      <w:r>
        <w:rPr>
          <w:rFonts w:ascii="arial" w:hAnsi="arial"/>
          <w:sz w:val="20"/>
        </w:rPr>
        <w:t xml:space="preserve">The following summarizes the education and experience of each director nominee who is a member of the Audit Committee that is relevant to the performance of his or her responsibilities.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90"/>
        <w:gridCol w:w="122"/>
        <w:gridCol w:w="7293"/>
      </w:tblGrid>
      <w:tr>
        <w:trPr/>
        <w:tc>
          <w:tcPr>
            <w:tcW w:w="27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29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790" w:type="dxa"/>
            <w:tcBorders/>
            <w:shd w:fill="262626" w:val="clear"/>
            <w:vAlign w:val="center"/>
          </w:tcPr>
          <w:p>
            <w:pPr>
              <w:pStyle w:val="TableContents"/>
              <w:spacing w:before="0" w:after="283"/>
              <w:rPr>
                <w:sz w:val="4"/>
                <w:szCs w:val="4"/>
              </w:rPr>
            </w:pPr>
            <w:r>
              <w:rPr>
                <w:sz w:val="4"/>
                <w:szCs w:val="4"/>
              </w:rPr>
            </w:r>
          </w:p>
        </w:tc>
        <w:tc>
          <w:tcPr>
            <w:tcW w:w="7415"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790" w:type="dxa"/>
            <w:tcBorders>
              <w:bottom w:val="single" w:sz="8" w:space="0" w:color="B94831"/>
            </w:tcBorders>
            <w:shd w:fill="262626" w:val="clear"/>
            <w:tcMar>
              <w:bottom w:w="60" w:type="dxa"/>
            </w:tcMar>
            <w:vAlign w:val="bottom"/>
          </w:tcPr>
          <w:p>
            <w:pPr>
              <w:pStyle w:val="TableContents"/>
              <w:spacing w:before="0" w:after="0"/>
              <w:rPr>
                <w:color w:val="FFFFFF"/>
              </w:rPr>
            </w:pPr>
            <w:r>
              <w:rPr>
                <w:color w:val="FFFFFF"/>
              </w:rPr>
              <w:t>  </w:t>
            </w:r>
            <w:r>
              <w:rPr>
                <w:rFonts w:ascii="Arial" w:hAnsi="Arial"/>
                <w:b/>
                <w:color w:val="FFFFFF"/>
                <w:sz w:val="17"/>
              </w:rPr>
              <w:t>Audit Committee Member</w:t>
            </w:r>
          </w:p>
        </w:tc>
        <w:tc>
          <w:tcPr>
            <w:tcW w:w="122"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7293" w:type="dxa"/>
            <w:tcBorders>
              <w:bottom w:val="single" w:sz="8" w:space="0" w:color="B94831"/>
            </w:tcBorders>
            <w:shd w:fill="262626" w:val="clear"/>
            <w:tcMar>
              <w:bottom w:w="60" w:type="dxa"/>
            </w:tcMar>
            <w:vAlign w:val="bottom"/>
          </w:tcPr>
          <w:p>
            <w:pPr>
              <w:pStyle w:val="TableContents"/>
              <w:spacing w:before="0" w:after="283"/>
              <w:rPr>
                <w:rFonts w:ascii="Arial" w:hAnsi="Arial"/>
                <w:b/>
                <w:color w:val="FFFFFF"/>
              </w:rPr>
            </w:pPr>
            <w:r>
              <w:rPr>
                <w:rFonts w:ascii="Arial" w:hAnsi="Arial"/>
                <w:b/>
                <w:color w:val="FFFFFF"/>
              </w:rPr>
              <w:t>Education/Experience</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Barry Salzberg (Chair)</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 Former Global Chief Executive Officer of Deloitte Touche Tohmatsu Limited</w:t>
            </w:r>
          </w:p>
          <w:p>
            <w:pPr>
              <w:pStyle w:val="TableContents"/>
              <w:spacing w:before="0" w:after="0"/>
              <w:rPr>
                <w:rFonts w:ascii="arial" w:hAnsi="arial"/>
                <w:sz w:val="16"/>
              </w:rPr>
            </w:pPr>
            <w:r>
              <w:rPr>
                <w:rFonts w:ascii="SYMBOL" w:hAnsi="SYMBOL"/>
                <w:color w:val="B94831"/>
                <w:sz w:val="12"/>
              </w:rPr>
              <w:t>·</w:t>
            </w:r>
            <w:r>
              <w:rPr>
                <w:rFonts w:ascii="arial" w:hAnsi="arial"/>
                <w:sz w:val="16"/>
              </w:rPr>
              <w:t>   Former Professor at Columbia Business School</w:t>
            </w:r>
          </w:p>
          <w:p>
            <w:pPr>
              <w:pStyle w:val="TableContents"/>
              <w:spacing w:before="0" w:after="20"/>
              <w:rPr>
                <w:rFonts w:ascii="arial" w:hAnsi="arial"/>
                <w:sz w:val="16"/>
              </w:rPr>
            </w:pPr>
            <w:r>
              <w:rPr>
                <w:rFonts w:ascii="SYMBOL" w:hAnsi="SYMBOL"/>
                <w:color w:val="B94831"/>
                <w:sz w:val="12"/>
              </w:rPr>
              <w:t>·</w:t>
            </w:r>
            <w:r>
              <w:rPr>
                <w:rFonts w:ascii="arial" w:hAnsi="arial"/>
                <w:sz w:val="16"/>
              </w:rPr>
              <w:t>   Degree in accounting from Brooklyn College, JD from Brooklyn Law School and LLM in Tax from New York University</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LaVerne Council</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 MBA and bachelors degree in business administration</w:t>
            </w:r>
          </w:p>
          <w:p>
            <w:pPr>
              <w:pStyle w:val="TableContents"/>
              <w:spacing w:before="0" w:after="0"/>
              <w:rPr>
                <w:rFonts w:ascii="arial" w:hAnsi="arial"/>
                <w:sz w:val="16"/>
              </w:rPr>
            </w:pPr>
            <w:r>
              <w:rPr>
                <w:rFonts w:ascii="SYMBOL" w:hAnsi="SYMBOL"/>
                <w:color w:val="B94831"/>
                <w:sz w:val="12"/>
              </w:rPr>
              <w:t>·</w:t>
            </w:r>
            <w:r>
              <w:rPr>
                <w:rFonts w:ascii="arial" w:hAnsi="arial"/>
                <w:sz w:val="16"/>
              </w:rPr>
              <w:t>   Member of CONMED Corporation board of directors and audit committee</w:t>
            </w:r>
          </w:p>
          <w:p>
            <w:pPr>
              <w:pStyle w:val="TableContents"/>
              <w:spacing w:before="0" w:after="20"/>
              <w:rPr>
                <w:rFonts w:ascii="arial" w:hAnsi="arial"/>
                <w:sz w:val="16"/>
              </w:rPr>
            </w:pPr>
            <w:r>
              <w:rPr>
                <w:rFonts w:ascii="SYMBOL" w:hAnsi="SYMBOL"/>
                <w:color w:val="B94831"/>
                <w:sz w:val="12"/>
              </w:rPr>
              <w:t>·</w:t>
            </w:r>
            <w:r>
              <w:rPr>
                <w:rFonts w:ascii="arial" w:hAnsi="arial"/>
                <w:sz w:val="16"/>
              </w:rPr>
              <w:t>   Member of Concentrix Corporation board of directors and audit committee</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Michael E. Daniels</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 More than 25 years of executive experience at IBM</w:t>
            </w:r>
          </w:p>
          <w:p>
            <w:pPr>
              <w:pStyle w:val="TableContents"/>
              <w:spacing w:before="0" w:after="0"/>
              <w:rPr>
                <w:rFonts w:ascii="arial" w:hAnsi="arial"/>
                <w:sz w:val="16"/>
              </w:rPr>
            </w:pPr>
            <w:r>
              <w:rPr>
                <w:rFonts w:ascii="SYMBOL" w:hAnsi="SYMBOL"/>
                <w:color w:val="B94831"/>
                <w:sz w:val="12"/>
              </w:rPr>
              <w:t>·</w:t>
            </w:r>
            <w:r>
              <w:rPr>
                <w:rFonts w:ascii="arial" w:hAnsi="arial"/>
                <w:sz w:val="16"/>
              </w:rPr>
              <w:t>   Former member of the Tyco International Ltd. audit committee</w:t>
            </w:r>
          </w:p>
          <w:p>
            <w:pPr>
              <w:pStyle w:val="TableContents"/>
              <w:spacing w:before="0" w:after="20"/>
              <w:rPr>
                <w:rFonts w:ascii="arial" w:hAnsi="arial"/>
                <w:sz w:val="16"/>
              </w:rPr>
            </w:pPr>
            <w:r>
              <w:rPr>
                <w:rFonts w:ascii="SYMBOL" w:hAnsi="SYMBOL"/>
                <w:color w:val="B94831"/>
                <w:sz w:val="12"/>
              </w:rPr>
              <w:t>·</w:t>
            </w:r>
            <w:r>
              <w:rPr>
                <w:rFonts w:ascii="arial" w:hAnsi="arial"/>
                <w:sz w:val="16"/>
              </w:rPr>
              <w:t>   Member of SS&amp;C Technologies Holdings, Inc. and Johnson Controls International plc boards of directors</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Deanna Oppenheimer</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 Former Vice Chair of Global Retail Banking of Barclays PLC</w:t>
            </w:r>
          </w:p>
          <w:p>
            <w:pPr>
              <w:pStyle w:val="TableContents"/>
              <w:spacing w:before="0" w:after="0"/>
              <w:rPr>
                <w:rFonts w:ascii="arial" w:hAnsi="arial"/>
                <w:sz w:val="16"/>
              </w:rPr>
            </w:pPr>
            <w:r>
              <w:rPr>
                <w:rFonts w:ascii="SYMBOL" w:hAnsi="SYMBOL"/>
                <w:color w:val="B94831"/>
                <w:sz w:val="12"/>
              </w:rPr>
              <w:t>·</w:t>
            </w:r>
            <w:r>
              <w:rPr>
                <w:rFonts w:ascii="arial" w:hAnsi="arial"/>
                <w:sz w:val="16"/>
              </w:rPr>
              <w:t>   Former President of Consumer Banking of Washington Mutual, Inc.</w:t>
            </w:r>
          </w:p>
          <w:p>
            <w:pPr>
              <w:pStyle w:val="TableContents"/>
              <w:spacing w:before="0" w:after="0"/>
              <w:rPr>
                <w:rFonts w:ascii="arial" w:hAnsi="arial"/>
                <w:sz w:val="16"/>
              </w:rPr>
            </w:pPr>
            <w:r>
              <w:rPr>
                <w:rFonts w:ascii="SYMBOL" w:hAnsi="SYMBOL"/>
                <w:color w:val="B94831"/>
                <w:sz w:val="12"/>
              </w:rPr>
              <w:t>·</w:t>
            </w:r>
            <w:r>
              <w:rPr>
                <w:rFonts w:ascii="arial" w:hAnsi="arial"/>
                <w:sz w:val="16"/>
              </w:rPr>
              <w:t>   Former member of AXA Global Insurance audit committee</w:t>
            </w:r>
          </w:p>
          <w:p>
            <w:pPr>
              <w:pStyle w:val="TableContents"/>
              <w:spacing w:before="0" w:after="20"/>
              <w:rPr>
                <w:rFonts w:ascii="arial" w:hAnsi="arial"/>
                <w:sz w:val="16"/>
              </w:rPr>
            </w:pPr>
            <w:r>
              <w:rPr>
                <w:rFonts w:ascii="SYMBOL" w:hAnsi="SYMBOL"/>
                <w:color w:val="B94831"/>
                <w:sz w:val="12"/>
              </w:rPr>
              <w:t>·</w:t>
            </w:r>
            <w:r>
              <w:rPr>
                <w:rFonts w:ascii="arial" w:hAnsi="arial"/>
                <w:sz w:val="16"/>
              </w:rPr>
              <w:t>   Former member of NCR Corporation audit committee</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Simon Paris</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 Chief Executive Officer of Finastra</w:t>
            </w:r>
          </w:p>
          <w:p>
            <w:pPr>
              <w:pStyle w:val="TableContents"/>
              <w:spacing w:before="0" w:after="0"/>
              <w:rPr>
                <w:rFonts w:ascii="arial" w:hAnsi="arial"/>
                <w:sz w:val="16"/>
              </w:rPr>
            </w:pPr>
            <w:r>
              <w:rPr>
                <w:rFonts w:ascii="SYMBOL" w:hAnsi="SYMBOL"/>
                <w:color w:val="B94831"/>
                <w:sz w:val="12"/>
              </w:rPr>
              <w:t>·</w:t>
            </w:r>
            <w:r>
              <w:rPr>
                <w:rFonts w:ascii="arial" w:hAnsi="arial"/>
                <w:sz w:val="16"/>
              </w:rPr>
              <w:t>   Chair of the World Trade Board</w:t>
            </w:r>
          </w:p>
          <w:p>
            <w:pPr>
              <w:pStyle w:val="TableContents"/>
              <w:spacing w:before="0" w:after="20"/>
              <w:rPr>
                <w:rFonts w:ascii="arial" w:hAnsi="arial"/>
                <w:sz w:val="16"/>
              </w:rPr>
            </w:pPr>
            <w:r>
              <w:rPr>
                <w:rFonts w:ascii="SYMBOL" w:hAnsi="SYMBOL"/>
                <w:color w:val="B94831"/>
                <w:sz w:val="12"/>
              </w:rPr>
              <w:t>·</w:t>
            </w:r>
            <w:r>
              <w:rPr>
                <w:rFonts w:ascii="arial" w:hAnsi="arial"/>
                <w:sz w:val="16"/>
              </w:rPr>
              <w:t>   Member of Everbridge, Inc. board of directors</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2" w:space="0" w:color="AFAFAF"/>
            </w:tcBorders>
            <w:shd w:fill="auto" w:val="clear"/>
            <w:tcMar>
              <w:bottom w:w="60" w:type="dxa"/>
            </w:tcMar>
          </w:tcPr>
          <w:p>
            <w:pPr>
              <w:pStyle w:val="TableContents"/>
              <w:spacing w:before="0" w:after="0"/>
              <w:rPr/>
            </w:pPr>
            <w:r>
              <w:rPr/>
              <w:t>  </w:t>
            </w:r>
            <w:r>
              <w:rPr>
                <w:rFonts w:ascii="Arial" w:hAnsi="Arial"/>
                <w:b/>
                <w:sz w:val="16"/>
              </w:rPr>
              <w:t>Kim M. Rivera</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293"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 Chief Legal Officer and Business Affairs Officer, OneTrust</w:t>
            </w:r>
          </w:p>
          <w:p>
            <w:pPr>
              <w:pStyle w:val="TableContents"/>
              <w:spacing w:before="0" w:after="0"/>
              <w:rPr>
                <w:rFonts w:ascii="arial" w:hAnsi="arial"/>
                <w:sz w:val="16"/>
              </w:rPr>
            </w:pPr>
            <w:r>
              <w:rPr>
                <w:rFonts w:ascii="SYMBOL" w:hAnsi="SYMBOL"/>
                <w:color w:val="B94831"/>
                <w:sz w:val="12"/>
              </w:rPr>
              <w:t>·</w:t>
            </w:r>
            <w:r>
              <w:rPr>
                <w:rFonts w:ascii="arial" w:hAnsi="arial"/>
                <w:sz w:val="16"/>
              </w:rPr>
              <w:t>   Former President, Strategy and Business Management and Chief Legal Officer of HP Inc.</w:t>
            </w:r>
          </w:p>
          <w:p>
            <w:pPr>
              <w:pStyle w:val="TableContents"/>
              <w:spacing w:before="0" w:after="20"/>
              <w:rPr>
                <w:rFonts w:ascii="arial" w:hAnsi="arial"/>
                <w:sz w:val="16"/>
              </w:rPr>
            </w:pPr>
            <w:r>
              <w:rPr>
                <w:rFonts w:ascii="SYMBOL" w:hAnsi="SYMBOL"/>
                <w:color w:val="B94831"/>
                <w:sz w:val="12"/>
              </w:rPr>
              <w:t>·</w:t>
            </w:r>
            <w:r>
              <w:rPr>
                <w:rFonts w:ascii="arial" w:hAnsi="arial"/>
                <w:sz w:val="16"/>
              </w:rPr>
              <w:t>   Supported audit committees of two publicly traded Fortune 500 companies</w:t>
            </w:r>
          </w:p>
        </w:tc>
      </w:tr>
      <w:tr>
        <w:trPr>
          <w:trHeight w:val="75" w:hRule="atLeast"/>
        </w:trPr>
        <w:tc>
          <w:tcPr>
            <w:tcW w:w="2790" w:type="dxa"/>
            <w:tcBorders/>
            <w:shd w:fill="auto" w:val="clear"/>
            <w:vAlign w:val="center"/>
          </w:tcPr>
          <w:p>
            <w:pPr>
              <w:pStyle w:val="TableContents"/>
              <w:spacing w:before="0" w:after="283"/>
              <w:rPr>
                <w:sz w:val="4"/>
                <w:szCs w:val="4"/>
              </w:rPr>
            </w:pPr>
            <w:r>
              <w:rPr>
                <w:sz w:val="4"/>
                <w:szCs w:val="4"/>
              </w:rPr>
            </w:r>
          </w:p>
        </w:tc>
        <w:tc>
          <w:tcPr>
            <w:tcW w:w="7415"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790" w:type="dxa"/>
            <w:tcBorders>
              <w:bottom w:val="single" w:sz="8" w:space="0" w:color="B94831"/>
            </w:tcBorders>
            <w:shd w:fill="auto" w:val="clear"/>
            <w:tcMar>
              <w:bottom w:w="60" w:type="dxa"/>
            </w:tcMar>
          </w:tcPr>
          <w:p>
            <w:pPr>
              <w:pStyle w:val="TableContents"/>
              <w:spacing w:before="0" w:after="0"/>
              <w:rPr/>
            </w:pPr>
            <w:r>
              <w:rPr/>
              <w:t>  </w:t>
            </w:r>
            <w:r>
              <w:rPr>
                <w:rFonts w:ascii="Arial" w:hAnsi="Arial"/>
                <w:b/>
                <w:sz w:val="16"/>
              </w:rPr>
              <w:t>Beth Wilson</w:t>
            </w:r>
          </w:p>
        </w:tc>
        <w:tc>
          <w:tcPr>
            <w:tcW w:w="122"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293" w:type="dxa"/>
            <w:tcBorders>
              <w:bottom w:val="single" w:sz="8" w:space="0" w:color="B94831"/>
            </w:tcBorders>
            <w:shd w:fill="auto" w:val="clear"/>
            <w:tcMar>
              <w:bottom w:w="60"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 Vice-Chair of the Chartered Professional Accountants of Canada</w:t>
            </w:r>
          </w:p>
          <w:p>
            <w:pPr>
              <w:pStyle w:val="TableContents"/>
              <w:spacing w:before="0" w:after="0"/>
              <w:rPr>
                <w:rFonts w:ascii="arial" w:hAnsi="arial"/>
                <w:sz w:val="16"/>
              </w:rPr>
            </w:pPr>
            <w:r>
              <w:rPr>
                <w:rFonts w:ascii="SYMBOL" w:hAnsi="SYMBOL"/>
                <w:color w:val="B94831"/>
                <w:sz w:val="12"/>
              </w:rPr>
              <w:t>·</w:t>
            </w:r>
            <w:r>
              <w:rPr>
                <w:rFonts w:ascii="arial" w:hAnsi="arial"/>
                <w:sz w:val="16"/>
              </w:rPr>
              <w:t>   Former audit partner and Managing Partner at KPMG</w:t>
            </w:r>
          </w:p>
          <w:p>
            <w:pPr>
              <w:pStyle w:val="TableContents"/>
              <w:spacing w:before="0" w:after="0"/>
              <w:rPr>
                <w:rFonts w:ascii="arial" w:hAnsi="arial"/>
                <w:sz w:val="16"/>
              </w:rPr>
            </w:pPr>
            <w:r>
              <w:rPr>
                <w:rFonts w:ascii="SYMBOL" w:hAnsi="SYMBOL"/>
                <w:color w:val="B94831"/>
                <w:sz w:val="12"/>
              </w:rPr>
              <w:t>·</w:t>
            </w:r>
            <w:r>
              <w:rPr>
                <w:rFonts w:ascii="arial" w:hAnsi="arial"/>
                <w:sz w:val="16"/>
              </w:rPr>
              <w:t>   Former Chief Executive Officer of Dentons Canada LLP</w:t>
            </w:r>
          </w:p>
          <w:p>
            <w:pPr>
              <w:pStyle w:val="TableContents"/>
              <w:spacing w:before="0" w:after="0"/>
              <w:rPr>
                <w:rFonts w:ascii="arial" w:hAnsi="arial"/>
                <w:sz w:val="16"/>
              </w:rPr>
            </w:pPr>
            <w:r>
              <w:rPr>
                <w:rFonts w:ascii="SYMBOL" w:hAnsi="SYMBOL"/>
                <w:color w:val="B94831"/>
                <w:sz w:val="12"/>
              </w:rPr>
              <w:t>·</w:t>
            </w:r>
            <w:r>
              <w:rPr>
                <w:rFonts w:ascii="arial" w:hAnsi="arial"/>
                <w:sz w:val="16"/>
              </w:rPr>
              <w:t>   Audit Committee Chair at The Hospital for Sick Children and Woodgreen Foundation</w:t>
            </w:r>
          </w:p>
          <w:p>
            <w:pPr>
              <w:pStyle w:val="TableContents"/>
              <w:spacing w:before="0" w:after="0"/>
              <w:rPr>
                <w:rFonts w:ascii="arial" w:hAnsi="arial"/>
                <w:sz w:val="16"/>
              </w:rPr>
            </w:pPr>
            <w:r>
              <w:rPr>
                <w:rFonts w:ascii="SYMBOL" w:hAnsi="SYMBOL"/>
                <w:color w:val="B94831"/>
                <w:sz w:val="12"/>
              </w:rPr>
              <w:t>·</w:t>
            </w:r>
            <w:r>
              <w:rPr>
                <w:rFonts w:ascii="arial" w:hAnsi="arial"/>
                <w:sz w:val="16"/>
              </w:rPr>
              <w:t>   Member of Power Corporation of Canada and IGM Financial Inc. audit committees</w:t>
            </w:r>
          </w:p>
          <w:p>
            <w:pPr>
              <w:pStyle w:val="TableContents"/>
              <w:spacing w:before="0" w:after="20"/>
              <w:rPr>
                <w:rFonts w:ascii="arial" w:hAnsi="arial"/>
                <w:sz w:val="16"/>
              </w:rPr>
            </w:pPr>
            <w:r>
              <w:rPr>
                <w:rFonts w:ascii="SYMBOL" w:hAnsi="SYMBOL"/>
                <w:color w:val="B94831"/>
                <w:sz w:val="12"/>
              </w:rPr>
              <w:t>·</w:t>
            </w:r>
            <w:r>
              <w:rPr>
                <w:rFonts w:ascii="arial" w:hAnsi="arial"/>
                <w:sz w:val="16"/>
              </w:rPr>
              <w:t>   Bachelor of Commerce degree from University of Toronto and a Certified Professional Accountant in good standing with the Chartered Professional Accountants of Ontario</w:t>
            </w:r>
          </w:p>
        </w:tc>
      </w:tr>
    </w:tbl>
    <w:p>
      <w:pPr>
        <w:pStyle w:val="TextBody"/>
        <w:spacing w:before="360" w:after="0"/>
        <w:jc w:val="left"/>
        <w:rPr>
          <w:rFonts w:ascii="arial" w:hAnsi="arial"/>
          <w:color w:val="B94831"/>
          <w:sz w:val="28"/>
        </w:rPr>
      </w:pPr>
      <w:r>
        <w:rPr>
          <w:rFonts w:ascii="arial" w:hAnsi="arial"/>
          <w:color w:val="B94831"/>
          <w:sz w:val="28"/>
        </w:rPr>
        <w:t xml:space="preserve">Financial Reporting </w:t>
      </w:r>
    </w:p>
    <w:p>
      <w:pPr>
        <w:pStyle w:val="TextBody"/>
        <w:spacing w:before="120" w:after="0"/>
        <w:jc w:val="left"/>
        <w:rPr>
          <w:rFonts w:ascii="arial" w:hAnsi="arial"/>
          <w:sz w:val="20"/>
        </w:rPr>
      </w:pPr>
      <w:r>
        <w:rPr>
          <w:rFonts w:ascii="arial" w:hAnsi="arial"/>
          <w:sz w:val="20"/>
        </w:rPr>
        <w:t xml:space="preserve">The Audit Committee meets to discuss and review our: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annual and quarterly earnings releases;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annual and quarterly managements discussion and analysis (MD&amp;A) and related financial statements. </w:t>
            </w:r>
          </w:p>
        </w:tc>
      </w:tr>
    </w:tbl>
    <w:p>
      <w:pPr>
        <w:pStyle w:val="TextBody"/>
        <w:spacing w:before="120" w:after="0"/>
        <w:jc w:val="left"/>
        <w:rPr>
          <w:rFonts w:ascii="arial" w:hAnsi="arial"/>
          <w:sz w:val="20"/>
        </w:rPr>
      </w:pPr>
      <w:r>
        <w:rPr>
          <w:rFonts w:ascii="arial" w:hAnsi="arial"/>
          <w:sz w:val="20"/>
        </w:rPr>
        <w:t xml:space="preserve">As is customary for a number of global multinational companies, the Board has delegated review and approval authority to the Audit Committee for our quarterly earnings releases, MD&amp;A and financial statements. Following the Audit Committees recommendation, the full Board reviews and approves our annual MD&amp;A and annual audited financial statements, as required by applicable law. </w:t>
      </w:r>
    </w:p>
    <w:p>
      <w:pPr>
        <w:pStyle w:val="TextBody"/>
        <w:spacing w:before="120" w:after="0"/>
        <w:jc w:val="left"/>
        <w:rPr>
          <w:rFonts w:ascii="arial" w:hAnsi="arial"/>
          <w:sz w:val="20"/>
        </w:rPr>
      </w:pPr>
      <w:r>
        <w:rPr>
          <w:rFonts w:ascii="arial" w:hAnsi="arial"/>
          <w:sz w:val="20"/>
        </w:rPr>
        <w:t xml:space="preserve">Prior to an Audit Committee meeting at which draft financial reporting documents will be discussed, a draft is distributed to the members of the Audit Committee for review and comment. The CFO and the Chief Accounting Officer and a representative from the independent auditor meet with the Chair of the Audit Committee to preview the audit-related issues which will be discussed at the Audit Committee meeting. At the Audit Committee meeting, the Chief Accounting Officer discusses the financial statements and disclosure matters and the Audit Committee members are given an opportunity to raise any questions or comments. The independent auditor also participates in the meeting. All directors are also provided with a draft and an opportunity to comment before or during the Audit Committee meeting. When the Audit Committee is satisfied with the disclosure, it provides its approval and the material is released. </w:t>
      </w:r>
    </w:p>
    <w:p>
      <w:pPr>
        <w:pStyle w:val="TextBody"/>
        <w:spacing w:before="120" w:after="0"/>
        <w:jc w:val="left"/>
        <w:rPr>
          <w:rFonts w:ascii="arial" w:hAnsi="arial"/>
          <w:sz w:val="20"/>
        </w:rPr>
      </w:pPr>
      <w:r>
        <w:rPr>
          <w:rFonts w:ascii="arial" w:hAnsi="arial"/>
          <w:sz w:val="20"/>
        </w:rPr>
        <w:t xml:space="preserve">For the annual report, a draft is distributed to the members of the Board in advance of a Board meeting for their review and approval. At the Board meeting, directors are given an opportunity to raise any questions or comments.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Based upon the reports and discussions described in this circular, and subject to the limitations on the role and responsibilities of the Audit Committee in its charter, the Audit Committee recommended that our Board approve the filing of the audited consolidated financial statements and related MD&amp;A and their inclusion in our annual report for the year ended December 31, 2022. </w:t>
      </w:r>
    </w:p>
    <w:p>
      <w:pPr>
        <w:pStyle w:val="TextBody"/>
        <w:spacing w:before="120" w:after="0"/>
        <w:jc w:val="left"/>
        <w:rPr>
          <w:rFonts w:ascii="arial" w:hAnsi="arial"/>
          <w:color w:val="B94831"/>
          <w:sz w:val="28"/>
        </w:rPr>
      </w:pPr>
      <w:r>
        <w:rPr>
          <w:rFonts w:ascii="arial" w:hAnsi="arial"/>
          <w:color w:val="B94831"/>
          <w:sz w:val="28"/>
        </w:rPr>
        <w:t xml:space="preserve">Independent Auditor </w:t>
      </w:r>
    </w:p>
    <w:p>
      <w:pPr>
        <w:pStyle w:val="TextBody"/>
        <w:spacing w:before="40" w:after="0"/>
        <w:jc w:val="left"/>
        <w:rPr>
          <w:rFonts w:ascii="arial" w:hAnsi="arial"/>
          <w:sz w:val="20"/>
        </w:rPr>
      </w:pPr>
      <w:r>
        <w:rPr>
          <w:rFonts w:ascii="arial" w:hAnsi="arial"/>
          <w:sz w:val="20"/>
        </w:rPr>
        <w:t xml:space="preserve">The Audit Committee is responsible for selecting, evaluating and recommending for nomination the independent auditor to be proposed for appointment or re-appointment. The Audit Committee recommended that PricewaterhouseCoopers LLP be re-appointed as our independent auditor to serve until our next meeting of shareholders in 2024 and that our Board submit this appointment to shareholders for approval at the 2023 annual and special meeting of shareholders. In connection with recommending PricewaterhouseCoopers LLP, the Audit Committee considered the firms provision of services to Thomson Reuters over the last year, including the performance of the lead audit engagement partner and the audit team. The Audit Committee also reviewed the appropriateness of PricewaterhouseCoopers LLPs fees in relation to the size of Thomson Reuters and its global footprint. The Audit Committee continues to be satisfied with PricewaterhouseCoopers LLPs performance and believes that its continued retention as independent auditor is in the best interests of Thomson Reuters and its shareholders. </w:t>
      </w:r>
    </w:p>
    <w:p>
      <w:pPr>
        <w:pStyle w:val="TextBody"/>
        <w:spacing w:before="120" w:after="0"/>
        <w:jc w:val="left"/>
        <w:rPr>
          <w:rFonts w:ascii="arial" w:hAnsi="arial"/>
          <w:sz w:val="20"/>
        </w:rPr>
      </w:pPr>
      <w:r>
        <w:rPr>
          <w:rFonts w:ascii="arial" w:hAnsi="arial"/>
          <w:sz w:val="20"/>
        </w:rPr>
        <w:t xml:space="preserve">Throughout the year, the Audit Committee evaluates and is directly responsible for our companys relationship with PricewaterhouseCoopers LLP. The Audit Committee appoints PricewaterhouseCoopers LLP as our independent auditor after reviewing and approving its engagement letter. The Audit Committee also determines PricewaterhouseCoopers LLPs fees. </w:t>
      </w:r>
    </w:p>
    <w:p>
      <w:pPr>
        <w:pStyle w:val="TextBody"/>
        <w:spacing w:before="120" w:after="0"/>
        <w:jc w:val="left"/>
        <w:rPr>
          <w:rFonts w:ascii="arial" w:hAnsi="arial"/>
          <w:sz w:val="20"/>
        </w:rPr>
      </w:pPr>
      <w:r>
        <w:rPr>
          <w:rFonts w:ascii="arial" w:hAnsi="arial"/>
          <w:sz w:val="20"/>
        </w:rPr>
        <w:t xml:space="preserve">The Audit Committee and representatives from PricewaterhouseCoopers LLP meet several times during the year. In 2022, representatives from PricewaterhouseCoopers LLP attended each Audit Committee meeting and met with the Audit Committee in separate sessions.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PricewaterhouseCoopers LLP is accountable to the Audit Committee and reports directly to the Audit Committee.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On an annual basis, before PricewaterhouseCoopers LLP issues its report on our companys annual financial statements, the Audit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Confirms that PricewaterhouseCoopers LLP has submitted a written statement describing all of its relationships with Thomson Reuters that, in PricewaterhouseCoopers LLPs professional judgment, may reasonably be thought to bear on its independence;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Discusses any disclosed relationships or services, including any non-audit services, that PricewaterhouseCoopers LLP has provided to Thomson Reuters that may affect its independence;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Obtains written confirmation from PricewaterhouseCoopers LLP that it is independent with respect to Thomson Reuters within the meaning of the Rules of Professional Conduct adopted by the Ontario Institute of Chartered Accountants and the standards established by the Public Company Accounting Oversight Board;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Confirms that PricewaterhouseCoopers LLP has complied with applicable law with respect to the rotation of certain members of the audit engagement team for Thomson Reuters. </w:t>
            </w:r>
          </w:p>
        </w:tc>
      </w:tr>
    </w:tbl>
    <w:p>
      <w:pPr>
        <w:pStyle w:val="TextBody"/>
        <w:spacing w:before="120" w:after="0"/>
        <w:jc w:val="left"/>
        <w:rPr>
          <w:rFonts w:ascii="arial" w:hAnsi="arial"/>
          <w:sz w:val="20"/>
        </w:rPr>
      </w:pPr>
      <w:r>
        <w:rPr>
          <w:rFonts w:ascii="arial" w:hAnsi="arial"/>
          <w:sz w:val="20"/>
        </w:rPr>
        <w:t xml:space="preserve">The Audit Committee has also adopted a policy regarding its pre-approval of all audit and permissible non-audit services provided to our company by PricewaterhouseCoopers LLP.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policy gives detailed guidance to management as to the specific types of services that have been pre-approved by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policy requires the Audit Committees specific pre-approval of all other permitted types of services that have not already been pre-approved. </w:t>
            </w:r>
          </w:p>
        </w:tc>
      </w:tr>
    </w:tbl>
    <w:p>
      <w:pPr>
        <w:pStyle w:val="TextBody"/>
        <w:spacing w:before="120" w:after="0"/>
        <w:jc w:val="left"/>
        <w:rPr>
          <w:rFonts w:ascii="arial" w:hAnsi="arial"/>
          <w:sz w:val="20"/>
        </w:rPr>
      </w:pPr>
      <w:r>
        <w:rPr>
          <w:rFonts w:ascii="arial" w:hAnsi="arial"/>
          <w:sz w:val="20"/>
        </w:rPr>
        <w:t xml:space="preserve">The Audit Committees charter allows the Audit Committee to delegate to one or more members the authority to evaluate and approve engagements in the event that the need arises for approval between Audit Committee meetings. Pursuant to this charter provision, the Audit Committee has delegated this authority to its Chair. If the Chair approves any such engagements, he must report his approval decisions to the full Audit Committee at its next meeting. For the year ended December 31, 2022, none of the audit-related, tax or all other fees of Thomson Reuters described above made use of the de minimis exception to pre-approval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52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provisions contained in Rule 2-01(c)(7)(i)(c) of SEC Regulation S-X and Section 2.4 of the Canadian Securities Administrators Multilateral Instrument 52-110 (Audit Committees). </w:t>
      </w:r>
    </w:p>
    <w:p>
      <w:pPr>
        <w:pStyle w:val="TextBody"/>
        <w:spacing w:before="120" w:after="0"/>
        <w:jc w:val="left"/>
        <w:rPr>
          <w:rFonts w:ascii="arial" w:hAnsi="arial"/>
          <w:color w:val="B94831"/>
          <w:sz w:val="28"/>
        </w:rPr>
      </w:pPr>
      <w:r>
        <w:rPr>
          <w:rFonts w:ascii="arial" w:hAnsi="arial"/>
          <w:color w:val="B94831"/>
          <w:sz w:val="28"/>
        </w:rPr>
        <w:t xml:space="preserve">Internal Audit and Internal Control Over Financial Reporting </w:t>
      </w:r>
    </w:p>
    <w:p>
      <w:pPr>
        <w:pStyle w:val="TextBody"/>
        <w:spacing w:before="40" w:after="0"/>
        <w:jc w:val="left"/>
        <w:rPr>
          <w:rFonts w:ascii="arial" w:hAnsi="arial"/>
          <w:sz w:val="20"/>
        </w:rPr>
      </w:pPr>
      <w:r>
        <w:rPr>
          <w:rFonts w:ascii="arial" w:hAnsi="arial"/>
          <w:sz w:val="20"/>
        </w:rPr>
        <w:t xml:space="preserve">Internal control over financial reporting is a process designed to provide reasonable assurance regarding the reliability of financial reporting and the preparation of financial statements for external purposes in accordance with international financial reporting standards. Our company has adopted the Committee of Sponsoring Organizations of the Treadway Commission guidance for implementing our internal control framework as part of compliance with the Sarbanes-Oxley Act and applicable Canadian securities law. </w:t>
      </w:r>
    </w:p>
    <w:p>
      <w:pPr>
        <w:pStyle w:val="TextBody"/>
        <w:spacing w:before="120" w:after="0"/>
        <w:jc w:val="left"/>
        <w:rPr>
          <w:rFonts w:ascii="arial" w:hAnsi="arial"/>
          <w:sz w:val="20"/>
        </w:rPr>
      </w:pPr>
      <w:r>
        <w:rPr>
          <w:rFonts w:ascii="arial" w:hAnsi="arial"/>
          <w:sz w:val="20"/>
        </w:rPr>
        <w:t xml:space="preserve">The Corporate Compliance and Audit department of our company, which performs an internal audit function, prepares and oversees the overall plan for our internal control over financial reporting. </w:t>
      </w:r>
    </w:p>
    <w:p>
      <w:pPr>
        <w:pStyle w:val="TextBody"/>
        <w:spacing w:before="120" w:after="0"/>
        <w:jc w:val="left"/>
        <w:rPr>
          <w:rFonts w:ascii="arial" w:hAnsi="arial"/>
          <w:sz w:val="20"/>
        </w:rPr>
      </w:pPr>
      <w:r>
        <w:rPr>
          <w:rFonts w:ascii="arial" w:hAnsi="arial"/>
          <w:sz w:val="20"/>
        </w:rPr>
        <w:t xml:space="preserve">Each year, Corporate Compliance and Audit identifies certain processes, entities and/or significant accounts to be within the scope of its internal control focus areas and testing for the year. In determining the proposed scope of its annual internal audit plan, the Corporate Compliance and Audit department identifies, assesses and prioritizes risk to Thomson Reuters and considers both quantitative and qualitative factors. </w:t>
      </w:r>
    </w:p>
    <w:p>
      <w:pPr>
        <w:pStyle w:val="TextBody"/>
        <w:spacing w:before="120" w:after="0"/>
        <w:jc w:val="left"/>
        <w:rPr>
          <w:rFonts w:ascii="arial" w:hAnsi="arial"/>
          <w:sz w:val="20"/>
        </w:rPr>
      </w:pPr>
      <w:r>
        <w:rPr>
          <w:rFonts w:ascii="arial" w:hAnsi="arial"/>
          <w:sz w:val="20"/>
        </w:rPr>
        <w:t xml:space="preserve">In the first quarter of 2022, Corporate Compliance and Audit presented an annual internal audit plan to the Audit Committee for its review and approval. The Head of Corporate Compliance and Audit met with the Chair of the Audit Committee to preview the internal audit and internal controls matters which were to be discussed at each Audit Committee meeting. The Head of Corporate Compliance and Audit then provided updates to the Audit Committee at meetings throughout the year. During the second half of 2022, the Corporate Compliance and Audit department tested applicable controls in order to achieve compliance with the required year-end evaluation of the effectiveness of the internal control system. </w:t>
      </w:r>
    </w:p>
    <w:p>
      <w:pPr>
        <w:pStyle w:val="TextBody"/>
        <w:spacing w:before="120" w:after="0"/>
        <w:jc w:val="left"/>
        <w:rPr>
          <w:rFonts w:ascii="arial" w:hAnsi="arial"/>
          <w:sz w:val="20"/>
        </w:rPr>
      </w:pPr>
      <w:r>
        <w:rPr>
          <w:rFonts w:ascii="arial" w:hAnsi="arial"/>
          <w:sz w:val="20"/>
        </w:rPr>
        <w:t xml:space="preserve">Based on this evaluation, management concluded that our internal control over financial reporting was effective as of December 31, 2022. In February 2023, the Audit Committee reviewed and discussed with management its assessment and report on the effectiveness of our internal control over financial reporting as of December 31, 2022. The Audit Committee also reviewed and discussed with PricewaterhouseCoopers LLP its review and report on the effectiveness of our internal control over financial reporting.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The Head of the Corporate Compliance and Audit department reports directly to the Audit Committee (with a dotted line reporting relationship to our CFO).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28"/>
        </w:rPr>
      </w:pPr>
      <w:r>
        <w:rPr>
          <w:rFonts w:ascii="arial" w:hAnsi="arial"/>
          <w:color w:val="B94831"/>
          <w:sz w:val="28"/>
        </w:rPr>
        <w:t xml:space="preserve">Disclosure and Communications Controls and Procedures </w:t>
      </w:r>
    </w:p>
    <w:p>
      <w:pPr>
        <w:pStyle w:val="TextBody"/>
        <w:spacing w:before="40" w:after="0"/>
        <w:jc w:val="left"/>
        <w:rPr>
          <w:rFonts w:ascii="arial" w:hAnsi="arial"/>
          <w:sz w:val="20"/>
        </w:rPr>
      </w:pPr>
      <w:r>
        <w:rPr>
          <w:rFonts w:ascii="arial" w:hAnsi="arial"/>
          <w:sz w:val="20"/>
        </w:rPr>
        <w:t xml:space="preserve">We have adopted disclosure controls and procedures to ensure that all information required to be disclosed by us in reports and filings with Canadian and U.S. securities regulatory authorities and stock exchanges and other written and oral information that we publicly disclose is recorded, processed, summarized and reported accurately and within the time periods specified by rules and regulations of the securities regulatory authorities. These disclosure controls and procedures are also designed to ensure that this information is accumulated and communicated to management (including the CEO and CFO), as appropriate, to allow timely decisions regarding required disclosure. The Audit Committee receives an annual update from management regarding the adequacy and effectiveness of our disclosure controls and procedures, including the role and responsibilities of managements disclosure committee. </w:t>
      </w:r>
    </w:p>
    <w:p>
      <w:pPr>
        <w:pStyle w:val="TextBody"/>
        <w:spacing w:before="120" w:after="0"/>
        <w:jc w:val="left"/>
        <w:rPr>
          <w:rFonts w:ascii="arial" w:hAnsi="arial"/>
          <w:sz w:val="20"/>
        </w:rPr>
      </w:pPr>
      <w:r>
        <w:rPr>
          <w:rFonts w:ascii="arial" w:hAnsi="arial"/>
          <w:sz w:val="20"/>
        </w:rPr>
        <w:t xml:space="preserve">As required by applicable Canadian and U.S. securities laws, our CEO and CFO provide certifications that they have reviewed our annual and quarterly reports, that the reports contain no untrue statements or omissions of material facts and that the reports fairly present our financial condition, results of operations and cash flows. In addition, the CEO and CFO make certifications regarding our disclosure controls and procedures and internal control over financial reporting. Our CEO and CFO concluded that our disclosure controls and procedures were effective as of December 31, 2022. </w:t>
      </w:r>
    </w:p>
    <w:p>
      <w:pPr>
        <w:pStyle w:val="TextBody"/>
        <w:spacing w:before="120" w:after="0"/>
        <w:jc w:val="left"/>
        <w:rPr>
          <w:rFonts w:ascii="arial" w:hAnsi="arial"/>
          <w:color w:val="B94831"/>
          <w:sz w:val="28"/>
        </w:rPr>
      </w:pPr>
      <w:r>
        <w:rPr>
          <w:rFonts w:ascii="arial" w:hAnsi="arial"/>
          <w:color w:val="B94831"/>
          <w:sz w:val="28"/>
        </w:rPr>
        <w:t xml:space="preserve">Risk Assessment and Management </w:t>
      </w:r>
    </w:p>
    <w:p>
      <w:pPr>
        <w:pStyle w:val="TextBody"/>
        <w:spacing w:before="40" w:after="0"/>
        <w:jc w:val="left"/>
        <w:rPr>
          <w:rFonts w:ascii="arial" w:hAnsi="arial"/>
          <w:sz w:val="20"/>
        </w:rPr>
      </w:pPr>
      <w:r>
        <w:rPr>
          <w:rFonts w:ascii="arial" w:hAnsi="arial"/>
          <w:sz w:val="20"/>
        </w:rPr>
        <w:t xml:space="preserve">The Audit Committee continues to discuss Thomson Reuters guidelines and policies that govern the overall process by which risk assessment and risk management is undertaken at the company. As part of this oversight role, the Audit Committee periodically reviews reports from or meets with the Risk Committee regarding the companys processes for assessing and managing risk. Risk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topics not otherwise assigned to the Audit Committee or the HR Committee are overseen by the Risk Committee, and the Corporate Governance Committee oversees the division of responsibilities between the Board and its committees. As part of this division of responsibilities, the Audit Committee discusses the companys major financial risk exposures and the steps that management has taken to monitor and control such exposures. As part of its financial risk management oversight responsibilities, the Audit Committee met with management in 2022 to discuss treasury risk management and the external tax environment. </w:t>
      </w:r>
    </w:p>
    <w:p>
      <w:pPr>
        <w:pStyle w:val="TextBody"/>
        <w:spacing w:before="120" w:after="0"/>
        <w:jc w:val="left"/>
        <w:rPr>
          <w:rFonts w:ascii="arial" w:hAnsi="arial"/>
          <w:color w:val="B94831"/>
          <w:sz w:val="28"/>
        </w:rPr>
      </w:pPr>
      <w:r>
        <w:rPr>
          <w:rFonts w:ascii="arial" w:hAnsi="arial"/>
          <w:color w:val="B94831"/>
          <w:sz w:val="28"/>
        </w:rPr>
        <w:t xml:space="preserve">Whistleblower Policy </w:t>
      </w:r>
    </w:p>
    <w:p>
      <w:pPr>
        <w:pStyle w:val="TextBody"/>
        <w:spacing w:before="40" w:after="0"/>
        <w:jc w:val="left"/>
        <w:rPr>
          <w:rFonts w:ascii="arial" w:hAnsi="arial"/>
          <w:sz w:val="20"/>
        </w:rPr>
      </w:pPr>
      <w:r>
        <w:rPr>
          <w:rFonts w:ascii="arial" w:hAnsi="arial"/>
          <w:sz w:val="20"/>
        </w:rPr>
        <w:t xml:space="preserve">The Audit Committee has adopted procedures for the receipt, retention and treatment of complaints received by our company regarding accounting, internal accounting controls, auditing matters, and disclosure controls and procedures, as well as procedures for the confidential, anonymous submission of concerns by our employees regarding questionable accounting, internal accounting controls, auditing matters or disclosure controls and procedures. These procedures are set forth in the Thomson Reuters Code of Business Conduct and Ethics, which is described earlier in this circular. </w:t>
      </w:r>
    </w:p>
    <w:p>
      <w:pPr>
        <w:pStyle w:val="TextBody"/>
        <w:spacing w:before="120" w:after="0"/>
        <w:jc w:val="left"/>
        <w:rPr>
          <w:rFonts w:ascii="Arial" w:hAnsi="Arial"/>
          <w:b/>
          <w:sz w:val="28"/>
        </w:rPr>
      </w:pPr>
      <w:bookmarkStart w:id="22" w:name="tx494196_28"/>
      <w:bookmarkEnd w:id="22"/>
      <w:r>
        <w:rPr>
          <w:rFonts w:ascii="Arial" w:hAnsi="Arial"/>
          <w:b/>
          <w:sz w:val="28"/>
        </w:rPr>
        <w:t xml:space="preserve">Corporate Governance Committee </w:t>
      </w:r>
    </w:p>
    <w:p>
      <w:pPr>
        <w:pStyle w:val="TextBody"/>
        <w:spacing w:before="40" w:after="0"/>
        <w:jc w:val="left"/>
        <w:rPr>
          <w:rFonts w:ascii="arial" w:hAnsi="arial"/>
          <w:sz w:val="20"/>
        </w:rPr>
      </w:pPr>
      <w:r>
        <w:rPr>
          <w:rFonts w:ascii="arial" w:hAnsi="arial"/>
          <w:sz w:val="20"/>
        </w:rPr>
        <w:t xml:space="preserve">The Corporate Governance Committee is responsible for assisting the Board in fulfilling its oversight responsibilities in relation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our companys overall approach to corporate governance;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size, composition and structure of the Thomson Reuters Board and its committees, including the nomination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orientation and continuing education for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related party transactions and other matters involving actual or potential conflicts of interest;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any additional matters delegated to the Corporate Governance Committee by the Board. </w:t>
            </w:r>
          </w:p>
        </w:tc>
      </w:tr>
    </w:tbl>
    <w:p>
      <w:pPr>
        <w:pStyle w:val="TextBody"/>
        <w:spacing w:before="120" w:after="0"/>
        <w:jc w:val="left"/>
        <w:rPr>
          <w:rFonts w:ascii="arial" w:hAnsi="arial"/>
          <w:sz w:val="20"/>
        </w:rPr>
      </w:pPr>
      <w:r>
        <w:rPr>
          <w:rFonts w:ascii="arial" w:hAnsi="arial"/>
          <w:sz w:val="20"/>
        </w:rPr>
        <w:t xml:space="preserve">The following table provides an overview of the Corporate Governance Committees work plan for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2"/>
        <w:gridCol w:w="204"/>
        <w:gridCol w:w="4899"/>
      </w:tblGrid>
      <w:tr>
        <w:trPr/>
        <w:tc>
          <w:tcPr>
            <w:tcW w:w="5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8" w:space="0" w:color="B94831"/>
            </w:tcBorders>
            <w:shd w:fill="262626" w:val="clear"/>
            <w:tcMar>
              <w:bottom w:w="60" w:type="dxa"/>
            </w:tcMar>
            <w:vAlign w:val="bottom"/>
          </w:tcPr>
          <w:p>
            <w:pPr>
              <w:pStyle w:val="TableContents"/>
              <w:spacing w:before="0" w:after="0"/>
              <w:rPr>
                <w:rFonts w:ascii="Arial" w:hAnsi="Arial"/>
                <w:b/>
                <w:color w:val="FFFFFF"/>
                <w:sz w:val="17"/>
              </w:rPr>
            </w:pPr>
            <w:r>
              <w:rPr>
                <w:rFonts w:ascii="Arial" w:hAnsi="Arial"/>
                <w:b/>
                <w:color w:val="FFFFFF"/>
                <w:sz w:val="17"/>
              </w:rPr>
              <w:t>2022 Primary Corporate Governance Committee Activities</w:t>
            </w:r>
          </w:p>
        </w:tc>
      </w:tr>
      <w:tr>
        <w:trPr>
          <w:trHeight w:val="75"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bottom w:val="single" w:sz="8" w:space="0" w:color="B94831"/>
            </w:tcBorders>
            <w:shd w:fill="auto" w:val="clear"/>
            <w:tcMar>
              <w:bottom w:w="60"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 Review size, composition and structure of the Board and its committees for effective decision-making, including new committee members</w:t>
            </w:r>
          </w:p>
          <w:p>
            <w:pPr>
              <w:pStyle w:val="TableContents"/>
              <w:spacing w:before="0" w:after="0"/>
              <w:rPr>
                <w:rFonts w:ascii="arial" w:hAnsi="arial"/>
                <w:sz w:val="16"/>
              </w:rPr>
            </w:pPr>
            <w:r>
              <w:rPr>
                <w:rFonts w:ascii="SYMBOL" w:hAnsi="SYMBOL"/>
                <w:color w:val="B94831"/>
                <w:sz w:val="12"/>
              </w:rPr>
              <w:t>·</w:t>
            </w:r>
            <w:r>
              <w:rPr>
                <w:rFonts w:ascii="arial" w:hAnsi="arial"/>
                <w:sz w:val="16"/>
              </w:rPr>
              <w:t>   Board succession planning (which includes Board diversity)</w:t>
            </w:r>
          </w:p>
          <w:p>
            <w:pPr>
              <w:pStyle w:val="TableContents"/>
              <w:spacing w:before="0" w:after="0"/>
              <w:rPr>
                <w:rFonts w:ascii="arial" w:hAnsi="arial"/>
                <w:sz w:val="16"/>
              </w:rPr>
            </w:pPr>
            <w:r>
              <w:rPr>
                <w:rFonts w:ascii="SYMBOL" w:hAnsi="SYMBOL"/>
                <w:color w:val="B94831"/>
                <w:sz w:val="12"/>
              </w:rPr>
              <w:t>·</w:t>
            </w:r>
            <w:r>
              <w:rPr>
                <w:rFonts w:ascii="arial" w:hAnsi="arial"/>
                <w:sz w:val="16"/>
              </w:rPr>
              <w:t>   Report from the Lead Independent Director on the results of his interviews with directors</w:t>
            </w:r>
          </w:p>
          <w:p>
            <w:pPr>
              <w:pStyle w:val="TableContents"/>
              <w:spacing w:before="0" w:after="0"/>
              <w:rPr>
                <w:rFonts w:ascii="arial" w:hAnsi="arial"/>
                <w:sz w:val="16"/>
              </w:rPr>
            </w:pPr>
            <w:r>
              <w:rPr>
                <w:rFonts w:ascii="SYMBOL" w:hAnsi="SYMBOL"/>
                <w:color w:val="B94831"/>
                <w:sz w:val="12"/>
              </w:rPr>
              <w:t>·</w:t>
            </w:r>
            <w:r>
              <w:rPr>
                <w:rFonts w:ascii="arial" w:hAnsi="arial"/>
                <w:sz w:val="16"/>
              </w:rPr>
              <w:t>   Assess director independence, financial literacy and audit committee financial expert status</w:t>
            </w:r>
          </w:p>
          <w:p>
            <w:pPr>
              <w:pStyle w:val="TableContents"/>
              <w:spacing w:before="0" w:after="0"/>
              <w:rPr>
                <w:rFonts w:ascii="arial" w:hAnsi="arial"/>
                <w:sz w:val="16"/>
              </w:rPr>
            </w:pPr>
            <w:r>
              <w:rPr>
                <w:rFonts w:ascii="SYMBOL" w:hAnsi="SYMBOL"/>
                <w:color w:val="B94831"/>
                <w:sz w:val="12"/>
              </w:rPr>
              <w:t>·</w:t>
            </w:r>
            <w:r>
              <w:rPr>
                <w:rFonts w:ascii="arial" w:hAnsi="arial"/>
                <w:sz w:val="16"/>
              </w:rPr>
              <w:t>   Nominate directors for the annual meeting</w:t>
            </w:r>
          </w:p>
          <w:p>
            <w:pPr>
              <w:pStyle w:val="TableContents"/>
              <w:spacing w:before="0" w:after="0"/>
              <w:rPr>
                <w:rFonts w:ascii="arial" w:hAnsi="arial"/>
                <w:sz w:val="16"/>
              </w:rPr>
            </w:pPr>
            <w:r>
              <w:rPr>
                <w:rFonts w:ascii="SYMBOL" w:hAnsi="SYMBOL"/>
                <w:color w:val="B94831"/>
                <w:sz w:val="12"/>
              </w:rPr>
              <w:t>·</w:t>
            </w:r>
            <w:r>
              <w:rPr>
                <w:rFonts w:ascii="arial" w:hAnsi="arial"/>
                <w:sz w:val="16"/>
              </w:rPr>
              <w:t>   Review director compensation and structure</w:t>
            </w:r>
          </w:p>
          <w:p>
            <w:pPr>
              <w:pStyle w:val="TableContents"/>
              <w:spacing w:before="0" w:after="0"/>
              <w:rPr>
                <w:rFonts w:ascii="arial" w:hAnsi="arial"/>
                <w:sz w:val="16"/>
              </w:rPr>
            </w:pPr>
            <w:r>
              <w:rPr>
                <w:rFonts w:ascii="SYMBOL" w:hAnsi="SYMBOL"/>
                <w:color w:val="B94831"/>
                <w:sz w:val="12"/>
              </w:rPr>
              <w:t>·</w:t>
            </w:r>
            <w:r>
              <w:rPr>
                <w:rFonts w:ascii="arial" w:hAnsi="arial"/>
                <w:sz w:val="16"/>
              </w:rPr>
              <w:t>   Review corporate governance disclosure for draft proxy circular and virtual AGM format</w:t>
            </w:r>
          </w:p>
          <w:p>
            <w:pPr>
              <w:pStyle w:val="TableContents"/>
              <w:spacing w:before="0" w:after="0"/>
              <w:rPr>
                <w:rFonts w:ascii="arial" w:hAnsi="arial"/>
                <w:sz w:val="16"/>
              </w:rPr>
            </w:pPr>
            <w:r>
              <w:rPr>
                <w:rFonts w:ascii="SYMBOL" w:hAnsi="SYMBOL"/>
                <w:color w:val="B94831"/>
                <w:sz w:val="12"/>
              </w:rPr>
              <w:t>·</w:t>
            </w:r>
            <w:r>
              <w:rPr>
                <w:rFonts w:ascii="arial" w:hAnsi="arial"/>
                <w:sz w:val="16"/>
              </w:rPr>
              <w:t>   Review corporate governance guidelines and committee charters</w:t>
            </w:r>
          </w:p>
          <w:p>
            <w:pPr>
              <w:pStyle w:val="TableContents"/>
              <w:spacing w:before="0" w:after="0"/>
              <w:rPr>
                <w:rFonts w:ascii="arial" w:hAnsi="arial"/>
                <w:sz w:val="16"/>
              </w:rPr>
            </w:pPr>
            <w:r>
              <w:rPr>
                <w:rFonts w:ascii="SYMBOL" w:hAnsi="SYMBOL"/>
                <w:color w:val="B94831"/>
                <w:sz w:val="12"/>
              </w:rPr>
              <w:t>·</w:t>
            </w:r>
            <w:r>
              <w:rPr>
                <w:rFonts w:ascii="arial" w:hAnsi="arial"/>
                <w:sz w:val="16"/>
              </w:rPr>
              <w:t>   Review committee composition and chairs</w:t>
            </w:r>
          </w:p>
          <w:p>
            <w:pPr>
              <w:pStyle w:val="TableContents"/>
              <w:spacing w:before="0" w:after="0"/>
              <w:rPr>
                <w:rFonts w:ascii="arial" w:hAnsi="arial"/>
                <w:sz w:val="16"/>
              </w:rPr>
            </w:pPr>
            <w:r>
              <w:rPr>
                <w:rFonts w:ascii="SYMBOL" w:hAnsi="SYMBOL"/>
                <w:color w:val="B94831"/>
                <w:sz w:val="12"/>
              </w:rPr>
              <w:t>·</w:t>
            </w:r>
            <w:r>
              <w:rPr>
                <w:rFonts w:ascii="arial" w:hAnsi="arial"/>
                <w:sz w:val="16"/>
              </w:rPr>
              <w:t>   Review external analysis of proxy circular and other shareholder group assessments</w:t>
            </w:r>
          </w:p>
          <w:p>
            <w:pPr>
              <w:pStyle w:val="TableContents"/>
              <w:spacing w:before="0" w:after="0"/>
              <w:rPr>
                <w:rFonts w:ascii="arial" w:hAnsi="arial"/>
                <w:sz w:val="16"/>
              </w:rPr>
            </w:pPr>
            <w:r>
              <w:rPr>
                <w:rFonts w:ascii="SYMBOL" w:hAnsi="SYMBOL"/>
                <w:color w:val="B94831"/>
                <w:sz w:val="12"/>
              </w:rPr>
              <w:t>·</w:t>
            </w:r>
            <w:r>
              <w:rPr>
                <w:rFonts w:ascii="arial" w:hAnsi="arial"/>
                <w:sz w:val="16"/>
              </w:rPr>
              <w:t>   Discuss the companys approach to ESG</w:t>
            </w:r>
          </w:p>
          <w:p>
            <w:pPr>
              <w:pStyle w:val="TableContents"/>
              <w:spacing w:before="0" w:after="0"/>
              <w:rPr>
                <w:rFonts w:ascii="arial" w:hAnsi="arial"/>
                <w:sz w:val="16"/>
              </w:rPr>
            </w:pPr>
            <w:r>
              <w:rPr>
                <w:rFonts w:ascii="SYMBOL" w:hAnsi="SYMBOL"/>
                <w:color w:val="B94831"/>
                <w:sz w:val="12"/>
              </w:rPr>
              <w:t>·</w:t>
            </w:r>
            <w:r>
              <w:rPr>
                <w:rFonts w:ascii="arial" w:hAnsi="arial"/>
                <w:sz w:val="16"/>
              </w:rPr>
              <w:t>   Review compliance with Thomson Reuters Trust Principles</w:t>
            </w:r>
          </w:p>
          <w:p>
            <w:pPr>
              <w:pStyle w:val="TableContents"/>
              <w:spacing w:before="0" w:after="0"/>
              <w:rPr>
                <w:rFonts w:ascii="arial" w:hAnsi="arial"/>
                <w:sz w:val="16"/>
              </w:rPr>
            </w:pPr>
            <w:r>
              <w:rPr>
                <w:rFonts w:ascii="SYMBOL" w:hAnsi="SYMBOL"/>
                <w:color w:val="B94831"/>
                <w:sz w:val="12"/>
              </w:rPr>
              <w:t>·</w:t>
            </w:r>
            <w:r>
              <w:rPr>
                <w:rFonts w:ascii="arial" w:hAnsi="arial"/>
                <w:sz w:val="16"/>
              </w:rPr>
              <w:t>   Report on effectiveness of Thomson Reuters Code of Business Conduct and Ethics</w:t>
            </w:r>
          </w:p>
          <w:p>
            <w:pPr>
              <w:pStyle w:val="TableContents"/>
              <w:spacing w:before="0" w:after="20"/>
              <w:rPr>
                <w:rFonts w:ascii="arial" w:hAnsi="arial"/>
                <w:sz w:val="16"/>
              </w:rPr>
            </w:pPr>
            <w:r>
              <w:rPr>
                <w:rFonts w:ascii="SYMBOL" w:hAnsi="SYMBOL"/>
                <w:color w:val="B94831"/>
                <w:sz w:val="12"/>
              </w:rPr>
              <w:t>·</w:t>
            </w:r>
            <w:r>
              <w:rPr>
                <w:rFonts w:ascii="arial" w:hAnsi="arial"/>
                <w:sz w:val="16"/>
              </w:rPr>
              <w:t>   Review D&amp;O insurance and indemnification</w:t>
            </w:r>
          </w:p>
        </w:tc>
        <w:tc>
          <w:tcPr>
            <w:tcW w:w="204" w:type="dxa"/>
            <w:tcBorders>
              <w:bottom w:val="single" w:sz="8" w:space="0" w:color="B94831"/>
            </w:tcBorders>
            <w:shd w:fill="auto" w:val="clear"/>
            <w:tcMar>
              <w:bottom w:w="28" w:type="dxa"/>
            </w:tcMar>
            <w:vAlign w:val="bottom"/>
          </w:tcPr>
          <w:p>
            <w:pPr>
              <w:pStyle w:val="TableContents"/>
              <w:spacing w:before="0" w:after="283"/>
              <w:rPr/>
            </w:pPr>
            <w:r>
              <w:rPr/>
              <w:t>  </w:t>
            </w:r>
          </w:p>
        </w:tc>
        <w:tc>
          <w:tcPr>
            <w:tcW w:w="4899" w:type="dxa"/>
            <w:tcBorders>
              <w:bottom w:val="single" w:sz="8" w:space="0" w:color="B94831"/>
            </w:tcBorders>
            <w:shd w:fill="auto" w:val="clear"/>
            <w:tcMar>
              <w:bottom w:w="60" w:type="dxa"/>
            </w:tcMar>
          </w:tcPr>
          <w:p>
            <w:pPr>
              <w:pStyle w:val="TableContents"/>
              <w:spacing w:before="0" w:after="0"/>
              <w:rPr>
                <w:rFonts w:ascii="Arial" w:hAnsi="Arial"/>
                <w:b/>
                <w:sz w:val="16"/>
              </w:rPr>
            </w:pPr>
            <w:r>
              <w:rPr>
                <w:rFonts w:ascii="Arial" w:hAnsi="Arial"/>
                <w:b/>
                <w:sz w:val="16"/>
              </w:rPr>
              <w:t>Periodically</w:t>
            </w:r>
          </w:p>
          <w:p>
            <w:pPr>
              <w:pStyle w:val="TableContents"/>
              <w:spacing w:before="0" w:after="0"/>
              <w:rPr>
                <w:rFonts w:ascii="arial" w:hAnsi="arial"/>
                <w:sz w:val="16"/>
              </w:rPr>
            </w:pPr>
            <w:r>
              <w:rPr>
                <w:rFonts w:ascii="SYMBOL" w:hAnsi="SYMBOL"/>
                <w:color w:val="B94831"/>
                <w:sz w:val="12"/>
              </w:rPr>
              <w:t>·</w:t>
            </w:r>
            <w:r>
              <w:rPr>
                <w:rFonts w:ascii="arial" w:hAnsi="arial"/>
                <w:sz w:val="16"/>
              </w:rPr>
              <w:t>   Review orientation and continuing education initiatives for directors</w:t>
            </w:r>
          </w:p>
          <w:p>
            <w:pPr>
              <w:pStyle w:val="TableContents"/>
              <w:spacing w:before="0" w:after="0"/>
              <w:rPr>
                <w:rFonts w:ascii="arial" w:hAnsi="arial"/>
                <w:sz w:val="16"/>
              </w:rPr>
            </w:pPr>
            <w:r>
              <w:rPr>
                <w:rFonts w:ascii="SYMBOL" w:hAnsi="SYMBOL"/>
                <w:color w:val="B94831"/>
                <w:sz w:val="12"/>
              </w:rPr>
              <w:t>·</w:t>
            </w:r>
            <w:r>
              <w:rPr>
                <w:rFonts w:ascii="arial" w:hAnsi="arial"/>
                <w:sz w:val="16"/>
              </w:rPr>
              <w:t>   Review position descriptions for Board</w:t>
            </w:r>
          </w:p>
          <w:p>
            <w:pPr>
              <w:pStyle w:val="TableContents"/>
              <w:spacing w:before="0" w:after="0"/>
              <w:rPr>
                <w:rFonts w:ascii="arial" w:hAnsi="arial"/>
                <w:sz w:val="16"/>
              </w:rPr>
            </w:pPr>
            <w:r>
              <w:rPr>
                <w:rFonts w:ascii="SYMBOL" w:hAnsi="SYMBOL"/>
                <w:color w:val="B94831"/>
                <w:sz w:val="12"/>
              </w:rPr>
              <w:t>·</w:t>
            </w:r>
            <w:r>
              <w:rPr>
                <w:rFonts w:ascii="arial" w:hAnsi="arial"/>
                <w:sz w:val="16"/>
              </w:rPr>
              <w:t>   Review related party transactions and conflicts of interest</w:t>
            </w:r>
          </w:p>
          <w:p>
            <w:pPr>
              <w:pStyle w:val="TableContents"/>
              <w:spacing w:before="0" w:after="0"/>
              <w:rPr>
                <w:rFonts w:ascii="arial" w:hAnsi="arial"/>
                <w:sz w:val="16"/>
              </w:rPr>
            </w:pPr>
            <w:r>
              <w:rPr>
                <w:rFonts w:ascii="SYMBOL" w:hAnsi="SYMBOL"/>
                <w:color w:val="B94831"/>
                <w:sz w:val="12"/>
              </w:rPr>
              <w:t>·</w:t>
            </w:r>
            <w:r>
              <w:rPr>
                <w:rFonts w:ascii="arial" w:hAnsi="arial"/>
                <w:sz w:val="16"/>
              </w:rPr>
              <w:t>   Monitor developments in corporate governance and recommend appropriate initiatives as part of overall approach to governance</w:t>
            </w:r>
          </w:p>
          <w:p>
            <w:pPr>
              <w:pStyle w:val="TableContents"/>
              <w:spacing w:before="0" w:after="0"/>
              <w:rPr>
                <w:rFonts w:ascii="arial" w:hAnsi="arial"/>
                <w:sz w:val="16"/>
              </w:rPr>
            </w:pPr>
            <w:r>
              <w:rPr>
                <w:rFonts w:ascii="SYMBOL" w:hAnsi="SYMBOL"/>
                <w:color w:val="B94831"/>
                <w:sz w:val="12"/>
              </w:rPr>
              <w:t>·</w:t>
            </w:r>
            <w:r>
              <w:rPr>
                <w:rFonts w:ascii="arial" w:hAnsi="arial"/>
                <w:sz w:val="16"/>
              </w:rPr>
              <w:t>   Consider agendas for meetings of independent directors</w:t>
            </w:r>
          </w:p>
          <w:p>
            <w:pPr>
              <w:pStyle w:val="TableContents"/>
              <w:spacing w:before="0" w:after="0"/>
              <w:rPr>
                <w:rFonts w:ascii="arial" w:hAnsi="arial"/>
                <w:sz w:val="16"/>
              </w:rPr>
            </w:pPr>
            <w:r>
              <w:rPr>
                <w:rFonts w:ascii="SYMBOL" w:hAnsi="SYMBOL"/>
                <w:color w:val="B94831"/>
                <w:sz w:val="12"/>
              </w:rPr>
              <w:t>·</w:t>
            </w:r>
            <w:r>
              <w:rPr>
                <w:rFonts w:ascii="arial" w:hAnsi="arial"/>
                <w:sz w:val="16"/>
              </w:rPr>
              <w:t>   Review Board and CEO expenses</w:t>
            </w:r>
          </w:p>
          <w:p>
            <w:pPr>
              <w:pStyle w:val="TableContents"/>
              <w:spacing w:before="0" w:after="0"/>
              <w:rPr>
                <w:rFonts w:ascii="arial" w:hAnsi="arial"/>
                <w:sz w:val="16"/>
              </w:rPr>
            </w:pPr>
            <w:r>
              <w:rPr>
                <w:rFonts w:ascii="SYMBOL" w:hAnsi="SYMBOL"/>
                <w:color w:val="B94831"/>
                <w:sz w:val="12"/>
              </w:rPr>
              <w:t>·</w:t>
            </w:r>
            <w:r>
              <w:rPr>
                <w:rFonts w:ascii="arial" w:hAnsi="arial"/>
                <w:sz w:val="16"/>
              </w:rPr>
              <w:t>   Review delegation of authority</w:t>
            </w:r>
          </w:p>
          <w:p>
            <w:pPr>
              <w:pStyle w:val="TableContents"/>
              <w:spacing w:before="0" w:after="0"/>
              <w:rPr>
                <w:rFonts w:ascii="arial" w:hAnsi="arial"/>
                <w:sz w:val="16"/>
              </w:rPr>
            </w:pPr>
            <w:r>
              <w:rPr>
                <w:rFonts w:ascii="SYMBOL" w:hAnsi="SYMBOL"/>
                <w:color w:val="B94831"/>
                <w:sz w:val="12"/>
              </w:rPr>
              <w:t>·</w:t>
            </w:r>
            <w:r>
              <w:rPr>
                <w:rFonts w:ascii="arial" w:hAnsi="arial"/>
                <w:sz w:val="16"/>
              </w:rPr>
              <w:t>   Review share ownership expectations and compliance</w:t>
            </w:r>
          </w:p>
          <w:p>
            <w:pPr>
              <w:pStyle w:val="TableContents"/>
              <w:spacing w:before="0" w:after="0"/>
              <w:rPr>
                <w:rFonts w:ascii="arial" w:hAnsi="arial"/>
                <w:sz w:val="16"/>
              </w:rPr>
            </w:pPr>
            <w:r>
              <w:rPr>
                <w:rFonts w:ascii="SYMBOL" w:hAnsi="SYMBOL"/>
                <w:color w:val="B94831"/>
                <w:sz w:val="12"/>
              </w:rPr>
              <w:t>·</w:t>
            </w:r>
            <w:r>
              <w:rPr>
                <w:rFonts w:ascii="arial" w:hAnsi="arial"/>
                <w:sz w:val="16"/>
              </w:rPr>
              <w:t>   Approve any waivers of Code of Business Conduct and Ethics</w:t>
            </w:r>
          </w:p>
          <w:p>
            <w:pPr>
              <w:pStyle w:val="TableContents"/>
              <w:spacing w:before="0" w:after="0"/>
              <w:rPr>
                <w:rFonts w:ascii="arial" w:hAnsi="arial"/>
                <w:sz w:val="16"/>
              </w:rPr>
            </w:pPr>
            <w:r>
              <w:rPr>
                <w:rFonts w:ascii="SYMBOL" w:hAnsi="SYMBOL"/>
                <w:color w:val="B94831"/>
                <w:sz w:val="12"/>
              </w:rPr>
              <w:t>·</w:t>
            </w:r>
            <w:r>
              <w:rPr>
                <w:rFonts w:ascii="arial" w:hAnsi="arial"/>
                <w:sz w:val="16"/>
              </w:rPr>
              <w:t>   Monitor relationships between senior management and the Board</w:t>
            </w:r>
          </w:p>
          <w:p>
            <w:pPr>
              <w:pStyle w:val="TableContents"/>
              <w:spacing w:before="0" w:after="20"/>
              <w:rPr>
                <w:rFonts w:ascii="arial" w:hAnsi="arial"/>
                <w:sz w:val="16"/>
              </w:rPr>
            </w:pPr>
            <w:r>
              <w:rPr>
                <w:rFonts w:ascii="SYMBOL" w:hAnsi="SYMBOL"/>
                <w:color w:val="B94831"/>
                <w:sz w:val="12"/>
              </w:rPr>
              <w:t>·</w:t>
            </w:r>
            <w:r>
              <w:rPr>
                <w:rFonts w:ascii="arial" w:hAnsi="arial"/>
                <w:sz w:val="16"/>
              </w:rPr>
              <w:t>   Be available as a forum for addressing the concerns of individual directors</w:t>
            </w:r>
          </w:p>
        </w:tc>
      </w:tr>
    </w:tbl>
    <w:p>
      <w:pPr>
        <w:pStyle w:val="TextBody"/>
        <w:spacing w:before="120" w:after="0"/>
        <w:jc w:val="left"/>
        <w:rPr>
          <w:rFonts w:ascii="arial" w:hAnsi="arial"/>
          <w:color w:val="B94831"/>
          <w:sz w:val="28"/>
        </w:rPr>
      </w:pPr>
      <w:r>
        <w:rPr>
          <w:rFonts w:ascii="arial" w:hAnsi="arial"/>
          <w:color w:val="B94831"/>
          <w:sz w:val="28"/>
        </w:rPr>
        <w:t xml:space="preserve">Director Qualifications, Recruitment, Board Size and Appointments </w:t>
      </w:r>
    </w:p>
    <w:p>
      <w:pPr>
        <w:pStyle w:val="TextBody"/>
        <w:spacing w:before="40" w:after="0"/>
        <w:jc w:val="left"/>
        <w:rPr>
          <w:rFonts w:ascii="arial" w:hAnsi="arial"/>
          <w:sz w:val="20"/>
        </w:rPr>
      </w:pPr>
      <w:r>
        <w:rPr>
          <w:rFonts w:ascii="arial" w:hAnsi="arial"/>
          <w:sz w:val="20"/>
        </w:rPr>
        <w:t xml:space="preserve">The Corporate Governance Committee is responsible for assessing the skills and competencies of current directors, their anticipated tenure and the need for new directors. The Corporate Governance Committee retains a professional search firm to assist it in identifying and evaluating potential director candidates. Through its search firm, the Corporate Governance Committee maintains an evergreen list of potential director candidates. </w:t>
      </w:r>
    </w:p>
    <w:p>
      <w:pPr>
        <w:pStyle w:val="TextBody"/>
        <w:spacing w:before="120" w:after="0"/>
        <w:jc w:val="left"/>
        <w:rPr>
          <w:rFonts w:ascii="arial" w:hAnsi="arial"/>
          <w:sz w:val="20"/>
        </w:rPr>
      </w:pPr>
      <w:r>
        <w:rPr>
          <w:rFonts w:ascii="arial" w:hAnsi="arial"/>
          <w:sz w:val="20"/>
        </w:rPr>
        <w:t xml:space="preserve">The Corporate Governance Committee recommends candidates for initial Board membership and Board members for re-nomination. Recommendations are based on character, integrity, judgment, skills and competencies, business experience, record of achievement and any other attributes that would enhance the Board and overall management of the business and affairs of our company. </w:t>
      </w:r>
    </w:p>
    <w:p>
      <w:pPr>
        <w:pStyle w:val="TextBody"/>
        <w:spacing w:before="120" w:after="0"/>
        <w:jc w:val="left"/>
        <w:rPr>
          <w:rFonts w:ascii="arial" w:hAnsi="arial"/>
          <w:sz w:val="20"/>
        </w:rPr>
      </w:pPr>
      <w:r>
        <w:rPr>
          <w:rFonts w:ascii="arial" w:hAnsi="arial"/>
          <w:sz w:val="20"/>
        </w:rPr>
        <w:t xml:space="preserve">Diversity is among these other attributes as the Corporate Governance Committee believes that having a diverse Board enhances Board operations. While the Corporate Governance Committee focuses on finding the best qualified candidates for the Board, a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54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nominees diversity may be considered favorably in his or her assessment. In 2020, our companys Corporate Governance Guidelines were updated and currently reflect that for purposes of those guidelines, diversity includes business experience, thought, style, culture, gender, geographic background, race, visible minorities, national origin, Indigenous persons, religion, gender identity and expression, sexual orientation, disability, age and other personal characteristics. </w:t>
      </w:r>
    </w:p>
    <w:p>
      <w:pPr>
        <w:pStyle w:val="TextBody"/>
        <w:spacing w:before="120" w:after="0"/>
        <w:jc w:val="left"/>
        <w:rPr>
          <w:rFonts w:ascii="arial" w:hAnsi="arial"/>
          <w:sz w:val="20"/>
        </w:rPr>
      </w:pPr>
      <w:r>
        <w:rPr>
          <w:rFonts w:ascii="arial" w:hAnsi="arial"/>
          <w:sz w:val="20"/>
        </w:rPr>
        <w:t xml:space="preserve">In identifying candidates for appointment, election or re-election, the Board and the Corporate Governance Committee specifically consider the level of representation of women on the Board. </w:t>
      </w:r>
    </w:p>
    <w:p>
      <w:pPr>
        <w:pStyle w:val="TextBody"/>
        <w:spacing w:before="120" w:after="0"/>
        <w:jc w:val="left"/>
        <w:rPr>
          <w:rFonts w:ascii="arial" w:hAnsi="arial"/>
          <w:sz w:val="20"/>
        </w:rPr>
      </w:pPr>
      <w:r>
        <w:rPr>
          <w:rFonts w:ascii="arial" w:hAnsi="arial"/>
          <w:sz w:val="20"/>
        </w:rPr>
        <w:t xml:space="preserve">In April 2022, the Board formalized an objective that at least 30% of its members should be women. This was a goal that the Board had been working towards in previous years. The Board met this goal at its 2022 annual meeting. Five of the 14 director nominees proposed for election (approximately 36%) at this years meeting are women and two director nominees have self-identified as racially or ethnically diverse. Thomson Reuters is also a member of the 30% Club Canada, which has a goal of at least 30% representation of women on all boards and in C-suites by 2022. </w:t>
      </w:r>
    </w:p>
    <w:p>
      <w:pPr>
        <w:pStyle w:val="TextBody"/>
        <w:spacing w:before="120" w:after="0"/>
        <w:jc w:val="left"/>
        <w:rPr>
          <w:rFonts w:ascii="arial" w:hAnsi="arial"/>
          <w:color w:val="B94831"/>
          <w:sz w:val="28"/>
        </w:rPr>
      </w:pPr>
      <w:r>
        <w:rPr>
          <w:rFonts w:ascii="arial" w:hAnsi="arial"/>
          <w:color w:val="B94831"/>
          <w:sz w:val="28"/>
        </w:rPr>
        <w:t xml:space="preserve">Director Orientation </w:t>
      </w:r>
    </w:p>
    <w:p>
      <w:pPr>
        <w:pStyle w:val="TextBody"/>
        <w:spacing w:before="40" w:after="0"/>
        <w:jc w:val="left"/>
        <w:rPr>
          <w:rFonts w:ascii="arial" w:hAnsi="arial"/>
          <w:sz w:val="20"/>
        </w:rPr>
      </w:pPr>
      <w:r>
        <w:rPr>
          <w:rFonts w:ascii="arial" w:hAnsi="arial"/>
          <w:sz w:val="20"/>
        </w:rPr>
        <w:t xml:space="preserve">All new directors are provided with an orientation in connection with their election or appointment to the Board, which includes: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Induction materials describing our business, our corporate governance structure and related policies and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Meetings with the Chairman, Lead Independent Director, CEO, CFO and other executives. </w:t>
            </w:r>
          </w:p>
        </w:tc>
      </w:tr>
    </w:tbl>
    <w:p>
      <w:pPr>
        <w:pStyle w:val="TextBody"/>
        <w:spacing w:before="120" w:after="0"/>
        <w:jc w:val="left"/>
        <w:rPr>
          <w:rFonts w:ascii="arial" w:hAnsi="arial"/>
          <w:sz w:val="20"/>
        </w:rPr>
      </w:pPr>
      <w:r>
        <w:rPr>
          <w:rFonts w:ascii="arial" w:hAnsi="arial"/>
          <w:sz w:val="20"/>
        </w:rPr>
        <w:t xml:space="preserve">The Boards secure website, management reports and other means of communication also provide directors with information to ensure their knowledge and understanding of our business remain current. </w:t>
      </w:r>
    </w:p>
    <w:p>
      <w:pPr>
        <w:pStyle w:val="TextBody"/>
        <w:spacing w:before="120" w:after="0"/>
        <w:jc w:val="left"/>
        <w:rPr>
          <w:rFonts w:ascii="arial" w:hAnsi="arial"/>
          <w:sz w:val="20"/>
        </w:rPr>
      </w:pPr>
      <w:r>
        <w:rPr>
          <w:rFonts w:ascii="arial" w:hAnsi="arial"/>
          <w:sz w:val="20"/>
        </w:rPr>
        <w:t xml:space="preserve">Largely in connection with Board and committee meetings, members of senior management prepare memoranda and presentations on strategic and operating matters which are distributed to the directors. These Board papers are often prepared in connection with matters that require director approval under our policies or applicable law and are also used to inform the directors about developments that senior management believe should be brought to the directors attention. The Board also periodically receives reports on other non-operational matters, including corporate governance, taxation, pension and treasury matters. </w:t>
      </w:r>
    </w:p>
    <w:p>
      <w:pPr>
        <w:pStyle w:val="TextBody"/>
        <w:spacing w:before="120" w:after="0"/>
        <w:jc w:val="left"/>
        <w:rPr>
          <w:rFonts w:ascii="arial" w:hAnsi="arial"/>
          <w:color w:val="B94831"/>
          <w:sz w:val="28"/>
        </w:rPr>
      </w:pPr>
      <w:r>
        <w:rPr>
          <w:rFonts w:ascii="arial" w:hAnsi="arial"/>
          <w:color w:val="B94831"/>
          <w:sz w:val="28"/>
        </w:rPr>
        <w:t xml:space="preserve">Continuing Education </w:t>
      </w:r>
    </w:p>
    <w:p>
      <w:pPr>
        <w:pStyle w:val="TextBody"/>
        <w:spacing w:before="40" w:after="0"/>
        <w:jc w:val="left"/>
        <w:rPr>
          <w:rFonts w:ascii="arial" w:hAnsi="arial"/>
          <w:sz w:val="20"/>
        </w:rPr>
      </w:pPr>
      <w:r>
        <w:rPr>
          <w:rFonts w:ascii="arial" w:hAnsi="arial"/>
          <w:sz w:val="20"/>
        </w:rPr>
        <w:t xml:space="preserve">The Corporate Governance Committee is responsible for confirming that procedures are in place and resources are made available to provide directors with appropriate continuing education opportunities. </w:t>
      </w:r>
    </w:p>
    <w:p>
      <w:pPr>
        <w:pStyle w:val="TextBody"/>
        <w:spacing w:before="120" w:after="0"/>
        <w:jc w:val="left"/>
        <w:rPr>
          <w:rFonts w:ascii="arial" w:hAnsi="arial"/>
          <w:sz w:val="20"/>
        </w:rPr>
      </w:pPr>
      <w:r>
        <w:rPr>
          <w:rFonts w:ascii="arial" w:hAnsi="arial"/>
          <w:sz w:val="20"/>
        </w:rPr>
        <w:t xml:space="preserve">Our directors are members of the National Association of Corporate Directors (NACD) and the company pays the cost of that membership. NACD membership provides directors with access to insights, analytics, courses and events. </w:t>
      </w:r>
    </w:p>
    <w:p>
      <w:pPr>
        <w:pStyle w:val="TextBody"/>
        <w:spacing w:before="120" w:after="0"/>
        <w:jc w:val="left"/>
        <w:rPr>
          <w:rFonts w:ascii="arial" w:hAnsi="arial"/>
          <w:sz w:val="20"/>
        </w:rPr>
      </w:pPr>
      <w:r>
        <w:rPr>
          <w:rFonts w:ascii="arial" w:hAnsi="arial"/>
          <w:sz w:val="20"/>
        </w:rPr>
        <w:t xml:space="preserve">To facilitate ongoing education, the directors are also entitled to attend external continuing education opportunities at the expense of Thomson Reuters. </w:t>
      </w:r>
    </w:p>
    <w:p>
      <w:pPr>
        <w:pStyle w:val="TextBody"/>
        <w:spacing w:before="120" w:after="0"/>
        <w:jc w:val="left"/>
        <w:rPr>
          <w:rFonts w:ascii="arial" w:hAnsi="arial"/>
          <w:sz w:val="20"/>
        </w:rPr>
      </w:pPr>
      <w:r>
        <w:rPr>
          <w:rFonts w:ascii="arial" w:hAnsi="arial"/>
          <w:sz w:val="20"/>
        </w:rPr>
        <w:t xml:space="preserve">As part of our continuing education programs for directors, we previously provided members of the Audit Committee with access to Thomson Reuters Checkpoint Learning business, which offers a series of self-directed, online courses and instructor-led webinars and seminars. Courses cover topics such as accounting, auditing, ethics, finance, tax and technology. </w:t>
      </w:r>
    </w:p>
    <w:p>
      <w:pPr>
        <w:pStyle w:val="TextBody"/>
        <w:spacing w:before="120" w:after="0"/>
        <w:jc w:val="left"/>
        <w:rPr>
          <w:rFonts w:ascii="arial" w:hAnsi="arial"/>
          <w:sz w:val="20"/>
        </w:rPr>
      </w:pPr>
      <w:r>
        <w:rPr>
          <w:rFonts w:ascii="arial" w:hAnsi="arial"/>
          <w:sz w:val="20"/>
        </w:rPr>
        <w:t xml:space="preserve">The following table summarizes some of the education sessions provided to our directors in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08"/>
        <w:gridCol w:w="85"/>
        <w:gridCol w:w="4743"/>
        <w:gridCol w:w="85"/>
        <w:gridCol w:w="1362"/>
        <w:gridCol w:w="128"/>
        <w:gridCol w:w="2794"/>
      </w:tblGrid>
      <w:tr>
        <w:trPr/>
        <w:tc>
          <w:tcPr>
            <w:tcW w:w="100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474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794"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08" w:type="dxa"/>
            <w:tcBorders/>
            <w:shd w:fill="262626" w:val="clear"/>
            <w:vAlign w:val="center"/>
          </w:tcPr>
          <w:p>
            <w:pPr>
              <w:pStyle w:val="TableContents"/>
              <w:spacing w:before="0" w:after="283"/>
              <w:rPr>
                <w:sz w:val="4"/>
                <w:szCs w:val="4"/>
              </w:rPr>
            </w:pPr>
            <w:r>
              <w:rPr>
                <w:sz w:val="4"/>
                <w:szCs w:val="4"/>
              </w:rPr>
            </w:r>
          </w:p>
        </w:tc>
        <w:tc>
          <w:tcPr>
            <w:tcW w:w="4828" w:type="dxa"/>
            <w:gridSpan w:val="2"/>
            <w:tcBorders/>
            <w:shd w:fill="262626" w:val="clear"/>
            <w:vAlign w:val="center"/>
          </w:tcPr>
          <w:p>
            <w:pPr>
              <w:pStyle w:val="TableContents"/>
              <w:spacing w:before="0" w:after="283"/>
              <w:rPr>
                <w:sz w:val="4"/>
                <w:szCs w:val="4"/>
              </w:rPr>
            </w:pPr>
            <w:r>
              <w:rPr>
                <w:sz w:val="4"/>
                <w:szCs w:val="4"/>
              </w:rPr>
            </w:r>
          </w:p>
        </w:tc>
        <w:tc>
          <w:tcPr>
            <w:tcW w:w="1447" w:type="dxa"/>
            <w:gridSpan w:val="2"/>
            <w:tcBorders/>
            <w:shd w:fill="262626" w:val="clear"/>
            <w:vAlign w:val="center"/>
          </w:tcPr>
          <w:p>
            <w:pPr>
              <w:pStyle w:val="TableContents"/>
              <w:spacing w:before="0" w:after="283"/>
              <w:rPr>
                <w:sz w:val="4"/>
                <w:szCs w:val="4"/>
              </w:rPr>
            </w:pPr>
            <w:r>
              <w:rPr>
                <w:sz w:val="4"/>
                <w:szCs w:val="4"/>
              </w:rPr>
            </w:r>
          </w:p>
        </w:tc>
        <w:tc>
          <w:tcPr>
            <w:tcW w:w="2922" w:type="dxa"/>
            <w:gridSpan w:val="2"/>
            <w:tcBorders/>
            <w:shd w:fill="262626" w:val="clear"/>
            <w:vAlign w:val="center"/>
          </w:tcPr>
          <w:p>
            <w:pPr>
              <w:pStyle w:val="TableContents"/>
              <w:spacing w:before="0" w:after="283"/>
              <w:rPr>
                <w:sz w:val="4"/>
                <w:szCs w:val="4"/>
              </w:rPr>
            </w:pPr>
            <w:r>
              <w:rPr>
                <w:sz w:val="4"/>
                <w:szCs w:val="4"/>
              </w:rPr>
            </w:r>
          </w:p>
        </w:tc>
      </w:tr>
      <w:tr>
        <w:trPr/>
        <w:tc>
          <w:tcPr>
            <w:tcW w:w="1008" w:type="dxa"/>
            <w:tcBorders>
              <w:bottom w:val="single" w:sz="8" w:space="0" w:color="B94831"/>
            </w:tcBorders>
            <w:shd w:fill="262626" w:val="clear"/>
            <w:tcMar>
              <w:bottom w:w="28" w:type="dxa"/>
            </w:tcMar>
            <w:vAlign w:val="bottom"/>
          </w:tcPr>
          <w:p>
            <w:pPr>
              <w:pStyle w:val="TableContents"/>
              <w:spacing w:before="0" w:after="0"/>
              <w:rPr>
                <w:rFonts w:ascii="Arial" w:hAnsi="Arial"/>
                <w:b/>
                <w:color w:val="FFFFFF"/>
                <w:sz w:val="16"/>
              </w:rPr>
            </w:pPr>
            <w:r>
              <w:rPr>
                <w:rFonts w:ascii="Arial" w:hAnsi="Arial"/>
                <w:b/>
                <w:color w:val="FFFFFF"/>
                <w:sz w:val="16"/>
              </w:rPr>
              <w:t>Month</w:t>
            </w:r>
          </w:p>
        </w:tc>
        <w:tc>
          <w:tcPr>
            <w:tcW w:w="85" w:type="dxa"/>
            <w:tcBorders>
              <w:bottom w:val="single" w:sz="8" w:space="0" w:color="B94831"/>
            </w:tcBorders>
            <w:shd w:fill="262626" w:val="clear"/>
            <w:tcMar>
              <w:bottom w:w="28" w:type="dxa"/>
            </w:tcMar>
            <w:vAlign w:val="bottom"/>
          </w:tcPr>
          <w:p>
            <w:pPr>
              <w:pStyle w:val="TableContents"/>
              <w:spacing w:before="0" w:after="283"/>
              <w:rPr/>
            </w:pPr>
            <w:r>
              <w:rPr/>
              <w:t> </w:t>
            </w:r>
          </w:p>
        </w:tc>
        <w:tc>
          <w:tcPr>
            <w:tcW w:w="4743"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Topic/Subject</w:t>
            </w:r>
          </w:p>
        </w:tc>
        <w:tc>
          <w:tcPr>
            <w:tcW w:w="85" w:type="dxa"/>
            <w:tcBorders>
              <w:bottom w:val="single" w:sz="8" w:space="0" w:color="B94831"/>
            </w:tcBorders>
            <w:shd w:fill="262626" w:val="clear"/>
            <w:tcMar>
              <w:bottom w:w="28" w:type="dxa"/>
            </w:tcMar>
            <w:vAlign w:val="bottom"/>
          </w:tcPr>
          <w:p>
            <w:pPr>
              <w:pStyle w:val="TableContents"/>
              <w:spacing w:before="0" w:after="283"/>
              <w:rPr/>
            </w:pPr>
            <w:r>
              <w:rPr/>
              <w:t> </w:t>
            </w:r>
          </w:p>
        </w:tc>
        <w:tc>
          <w:tcPr>
            <w:tcW w:w="1362"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Attendees</w:t>
            </w:r>
          </w:p>
        </w:tc>
        <w:tc>
          <w:tcPr>
            <w:tcW w:w="128" w:type="dxa"/>
            <w:tcBorders>
              <w:bottom w:val="single" w:sz="8" w:space="0" w:color="B94831"/>
            </w:tcBorders>
            <w:shd w:fill="262626" w:val="clear"/>
            <w:tcMar>
              <w:bottom w:w="28" w:type="dxa"/>
            </w:tcMar>
            <w:vAlign w:val="bottom"/>
          </w:tcPr>
          <w:p>
            <w:pPr>
              <w:pStyle w:val="TableContents"/>
              <w:spacing w:before="0" w:after="283"/>
              <w:rPr/>
            </w:pPr>
            <w:r>
              <w:rPr/>
              <w:t>  </w:t>
            </w:r>
          </w:p>
        </w:tc>
        <w:tc>
          <w:tcPr>
            <w:tcW w:w="2794"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Presenter(s)</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February</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Executive compensation risks</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HR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vAlign w:val="bottom"/>
          </w:tcPr>
          <w:p>
            <w:pPr>
              <w:pStyle w:val="TableContents"/>
              <w:spacing w:before="0" w:after="283"/>
              <w:rPr/>
            </w:pPr>
            <w:r>
              <w:rPr/>
              <w:t>FW Cook (external compensation consultant)</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March</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Compliance update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Risk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Thomson Reuters Chief Compliance Officer</w:t>
            </w:r>
          </w:p>
        </w:tc>
      </w:tr>
      <w:tr>
        <w:trPr/>
        <w:tc>
          <w:tcPr>
            <w:tcW w:w="1008" w:type="dxa"/>
            <w:tcBorders>
              <w:bottom w:val="single" w:sz="2" w:space="0" w:color="AFAFAF"/>
            </w:tcBorders>
            <w:shd w:fill="auto" w:val="clear"/>
            <w:tcMar>
              <w:bottom w:w="28" w:type="dxa"/>
            </w:tcMar>
          </w:tcPr>
          <w:p>
            <w:pPr>
              <w:pStyle w:val="TableContents"/>
              <w:spacing w:before="0" w:after="283"/>
              <w:rPr/>
            </w:pPr>
            <w:r>
              <w:rPr/>
              <w:t> </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Disclosure controls and procedures update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Audit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Thomson Reuters internal legal counsel</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June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ESG update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Audit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PwC (independent auditor)</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September</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Executive compensation trends and developments</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HR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FW Cook (external compensation consultant)</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October</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Legal and compliance update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Board</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Thomson Reuters Chief Legal Officer</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November</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Global risk landscape overview and tabletop exercise</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Risk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Thomson Reuters Head of Risk and Compliance</w:t>
            </w:r>
          </w:p>
        </w:tc>
      </w:tr>
      <w:tr>
        <w:trPr/>
        <w:tc>
          <w:tcPr>
            <w:tcW w:w="100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Quarterly</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4743" w:type="dxa"/>
            <w:tcBorders>
              <w:bottom w:val="single" w:sz="2" w:space="0" w:color="AFAFAF"/>
            </w:tcBorders>
            <w:shd w:fill="auto" w:val="clear"/>
            <w:tcMar>
              <w:bottom w:w="28" w:type="dxa"/>
            </w:tcMar>
          </w:tcPr>
          <w:p>
            <w:pPr>
              <w:pStyle w:val="TableContents"/>
              <w:spacing w:before="0" w:after="283"/>
              <w:rPr/>
            </w:pPr>
            <w:r>
              <w:rPr/>
              <w:t>Tax updates</w:t>
            </w:r>
          </w:p>
        </w:tc>
        <w:tc>
          <w:tcPr>
            <w:tcW w:w="85" w:type="dxa"/>
            <w:tcBorders>
              <w:bottom w:val="single" w:sz="2" w:space="0" w:color="AFAFAF"/>
            </w:tcBorders>
            <w:shd w:fill="auto" w:val="clear"/>
            <w:tcMar>
              <w:bottom w:w="28" w:type="dxa"/>
            </w:tcMar>
            <w:vAlign w:val="bottom"/>
          </w:tcPr>
          <w:p>
            <w:pPr>
              <w:pStyle w:val="TableContents"/>
              <w:spacing w:before="0" w:after="283"/>
              <w:rPr/>
            </w:pPr>
            <w:r>
              <w:rPr/>
              <w:t> </w:t>
            </w:r>
          </w:p>
        </w:tc>
        <w:tc>
          <w:tcPr>
            <w:tcW w:w="1362" w:type="dxa"/>
            <w:tcBorders>
              <w:bottom w:val="single" w:sz="2" w:space="0" w:color="AFAFAF"/>
            </w:tcBorders>
            <w:shd w:fill="auto" w:val="clear"/>
            <w:tcMar>
              <w:bottom w:w="28" w:type="dxa"/>
            </w:tcMar>
          </w:tcPr>
          <w:p>
            <w:pPr>
              <w:pStyle w:val="TableContents"/>
              <w:spacing w:before="0" w:after="283"/>
              <w:rPr/>
            </w:pPr>
            <w:r>
              <w:rPr/>
              <w:t>Audit Committee</w:t>
            </w:r>
          </w:p>
        </w:tc>
        <w:tc>
          <w:tcPr>
            <w:tcW w:w="128" w:type="dxa"/>
            <w:tcBorders>
              <w:bottom w:val="single" w:sz="2" w:space="0" w:color="AFAFAF"/>
            </w:tcBorders>
            <w:shd w:fill="auto" w:val="clear"/>
            <w:tcMar>
              <w:bottom w:w="28" w:type="dxa"/>
            </w:tcMar>
            <w:vAlign w:val="bottom"/>
          </w:tcPr>
          <w:p>
            <w:pPr>
              <w:pStyle w:val="TableContents"/>
              <w:spacing w:before="0" w:after="283"/>
              <w:rPr/>
            </w:pPr>
            <w:r>
              <w:rPr/>
              <w:t>  </w:t>
            </w:r>
          </w:p>
        </w:tc>
        <w:tc>
          <w:tcPr>
            <w:tcW w:w="2794" w:type="dxa"/>
            <w:tcBorders>
              <w:bottom w:val="single" w:sz="2" w:space="0" w:color="AFAFAF"/>
            </w:tcBorders>
            <w:shd w:fill="auto" w:val="clear"/>
            <w:tcMar>
              <w:bottom w:w="28" w:type="dxa"/>
            </w:tcMar>
          </w:tcPr>
          <w:p>
            <w:pPr>
              <w:pStyle w:val="TableContents"/>
              <w:spacing w:before="0" w:after="283"/>
              <w:rPr/>
            </w:pPr>
            <w:r>
              <w:rPr/>
              <w:t>Thomson Reuters Head of Tax</w:t>
            </w:r>
          </w:p>
        </w:tc>
      </w:tr>
      <w:tr>
        <w:trPr/>
        <w:tc>
          <w:tcPr>
            <w:tcW w:w="1008"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Quarterly</w:t>
            </w:r>
          </w:p>
        </w:tc>
        <w:tc>
          <w:tcPr>
            <w:tcW w:w="85" w:type="dxa"/>
            <w:tcBorders>
              <w:bottom w:val="single" w:sz="8" w:space="0" w:color="B94831"/>
            </w:tcBorders>
            <w:shd w:fill="auto" w:val="clear"/>
            <w:tcMar>
              <w:bottom w:w="28" w:type="dxa"/>
            </w:tcMar>
            <w:vAlign w:val="bottom"/>
          </w:tcPr>
          <w:p>
            <w:pPr>
              <w:pStyle w:val="TableContents"/>
              <w:spacing w:before="0" w:after="283"/>
              <w:rPr/>
            </w:pPr>
            <w:r>
              <w:rPr/>
              <w:t> </w:t>
            </w:r>
          </w:p>
        </w:tc>
        <w:tc>
          <w:tcPr>
            <w:tcW w:w="4743" w:type="dxa"/>
            <w:tcBorders>
              <w:bottom w:val="single" w:sz="8" w:space="0" w:color="B94831"/>
            </w:tcBorders>
            <w:shd w:fill="auto" w:val="clear"/>
            <w:tcMar>
              <w:bottom w:w="28" w:type="dxa"/>
            </w:tcMar>
          </w:tcPr>
          <w:p>
            <w:pPr>
              <w:pStyle w:val="TableContents"/>
              <w:spacing w:before="0" w:after="283"/>
              <w:rPr/>
            </w:pPr>
            <w:r>
              <w:rPr/>
              <w:t>Accounting updates</w:t>
            </w:r>
          </w:p>
        </w:tc>
        <w:tc>
          <w:tcPr>
            <w:tcW w:w="85" w:type="dxa"/>
            <w:tcBorders>
              <w:bottom w:val="single" w:sz="8" w:space="0" w:color="B94831"/>
            </w:tcBorders>
            <w:shd w:fill="auto" w:val="clear"/>
            <w:tcMar>
              <w:bottom w:w="28" w:type="dxa"/>
            </w:tcMar>
            <w:vAlign w:val="bottom"/>
          </w:tcPr>
          <w:p>
            <w:pPr>
              <w:pStyle w:val="TableContents"/>
              <w:spacing w:before="0" w:after="283"/>
              <w:rPr/>
            </w:pPr>
            <w:r>
              <w:rPr/>
              <w:t> </w:t>
            </w:r>
          </w:p>
        </w:tc>
        <w:tc>
          <w:tcPr>
            <w:tcW w:w="1362" w:type="dxa"/>
            <w:tcBorders>
              <w:bottom w:val="single" w:sz="8" w:space="0" w:color="B94831"/>
            </w:tcBorders>
            <w:shd w:fill="auto" w:val="clear"/>
            <w:tcMar>
              <w:bottom w:w="28" w:type="dxa"/>
            </w:tcMar>
          </w:tcPr>
          <w:p>
            <w:pPr>
              <w:pStyle w:val="TableContents"/>
              <w:spacing w:before="0" w:after="283"/>
              <w:rPr/>
            </w:pPr>
            <w:r>
              <w:rPr/>
              <w:t>Audit Committee</w:t>
            </w:r>
          </w:p>
        </w:tc>
        <w:tc>
          <w:tcPr>
            <w:tcW w:w="128" w:type="dxa"/>
            <w:tcBorders>
              <w:bottom w:val="single" w:sz="8" w:space="0" w:color="B94831"/>
            </w:tcBorders>
            <w:shd w:fill="auto" w:val="clear"/>
            <w:tcMar>
              <w:bottom w:w="28" w:type="dxa"/>
            </w:tcMar>
            <w:vAlign w:val="bottom"/>
          </w:tcPr>
          <w:p>
            <w:pPr>
              <w:pStyle w:val="TableContents"/>
              <w:spacing w:before="0" w:after="283"/>
              <w:rPr/>
            </w:pPr>
            <w:r>
              <w:rPr/>
              <w:t>  </w:t>
            </w:r>
          </w:p>
        </w:tc>
        <w:tc>
          <w:tcPr>
            <w:tcW w:w="2794" w:type="dxa"/>
            <w:tcBorders>
              <w:bottom w:val="single" w:sz="8" w:space="0" w:color="B94831"/>
            </w:tcBorders>
            <w:shd w:fill="auto" w:val="clear"/>
            <w:tcMar>
              <w:bottom w:w="28" w:type="dxa"/>
            </w:tcMar>
          </w:tcPr>
          <w:p>
            <w:pPr>
              <w:pStyle w:val="TableContents"/>
              <w:spacing w:before="0" w:after="283"/>
              <w:rPr/>
            </w:pPr>
            <w:r>
              <w:rPr/>
              <w:t>Thomson Reuters Chief Accounting Officer</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Site Visits </w:t>
      </w:r>
    </w:p>
    <w:p>
      <w:pPr>
        <w:pStyle w:val="TextBody"/>
        <w:spacing w:before="40" w:after="0"/>
        <w:jc w:val="left"/>
        <w:rPr>
          <w:rFonts w:ascii="arial" w:hAnsi="arial"/>
          <w:sz w:val="20"/>
        </w:rPr>
      </w:pPr>
      <w:r>
        <w:rPr>
          <w:rFonts w:ascii="arial" w:hAnsi="arial"/>
          <w:sz w:val="20"/>
        </w:rPr>
        <w:t xml:space="preserve">In January 2023, the Corporate Governance Committee facilitated a visit by directors to the Thomson Reuters office in Mexico City, Mexico, our new global center. The Board coordinates the timing of these site visits to coincide with regularly scheduled Board meetings. This allows the directors to participate in the site visit at the same time and then attend a Board meeting as part of one trip. The visits are designed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Enable directors to update themselves on our key businesses,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Provide an opportunity for directors to interact with key executives, high potential talent and customers;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Give a broader selection of current and future executives the opportunity to meet directors. </w:t>
            </w:r>
          </w:p>
        </w:tc>
      </w:tr>
    </w:tbl>
    <w:p>
      <w:pPr>
        <w:pStyle w:val="TextBody"/>
        <w:spacing w:before="120" w:after="0"/>
        <w:jc w:val="left"/>
        <w:rPr>
          <w:rFonts w:ascii="arial" w:hAnsi="arial"/>
          <w:sz w:val="20"/>
        </w:rPr>
      </w:pPr>
      <w:r>
        <w:rPr>
          <w:rFonts w:ascii="arial" w:hAnsi="arial"/>
          <w:sz w:val="20"/>
        </w:rPr>
        <w:t xml:space="preserve">Feedback on this program from directors and location hosts has been positive and it is expected to continue in the future. </w:t>
      </w:r>
    </w:p>
    <w:p>
      <w:pPr>
        <w:pStyle w:val="TextBody"/>
        <w:spacing w:before="120" w:after="0"/>
        <w:jc w:val="left"/>
        <w:rPr>
          <w:rFonts w:ascii="arial" w:hAnsi="arial"/>
          <w:color w:val="B94831"/>
          <w:sz w:val="28"/>
        </w:rPr>
      </w:pPr>
      <w:r>
        <w:rPr>
          <w:rFonts w:ascii="arial" w:hAnsi="arial"/>
          <w:color w:val="B94831"/>
          <w:sz w:val="28"/>
        </w:rPr>
        <w:t xml:space="preserve">Board Effectiveness Review </w:t>
      </w:r>
    </w:p>
    <w:p>
      <w:pPr>
        <w:pStyle w:val="TextBody"/>
        <w:spacing w:before="40" w:after="0"/>
        <w:jc w:val="left"/>
        <w:rPr>
          <w:rFonts w:ascii="arial" w:hAnsi="arial"/>
          <w:sz w:val="20"/>
        </w:rPr>
      </w:pPr>
      <w:r>
        <w:rPr>
          <w:rFonts w:ascii="arial" w:hAnsi="arial"/>
          <w:sz w:val="20"/>
        </w:rPr>
        <w:t xml:space="preserve">The Corporate Governance Committee, together with the Lead Independent Director, reviews the effectiveness of the Board, its committees and individual directors annually. As part of the process, each director is required to complete a detailed questionnaire which includes an individual self-assessment and an assessment of the Board and each committee they are a member of. Thomson Reuters General Counsels Office collects the completed questionnaires and summarizes the results in a report to the Lead Independent Director. The Lead Independent Director then meets individually with each independent and non-independent director to discuss the results of the assessments. </w:t>
      </w:r>
    </w:p>
    <w:p>
      <w:pPr>
        <w:pStyle w:val="TextBody"/>
        <w:spacing w:before="120" w:after="0"/>
        <w:jc w:val="left"/>
        <w:rPr>
          <w:rFonts w:ascii="arial" w:hAnsi="arial"/>
          <w:sz w:val="20"/>
        </w:rPr>
      </w:pPr>
      <w:r>
        <w:rPr>
          <w:rFonts w:ascii="arial" w:hAnsi="arial"/>
          <w:sz w:val="20"/>
        </w:rPr>
        <w:t xml:space="preserve">The Lead Independent Director initially discusses the outcome of the assessments and his interviews with the Corporate Governance Committee and then an update is provided to the Board. The Corporate Governance Committee may make recommendations to the Board to improve the effectiveness of the Board in light of the results of the assessments. The Lead Independent Director most recently provided an update to the Corporate Governance Committee and the Board in March 2023. </w:t>
      </w:r>
    </w:p>
    <w:p>
      <w:pPr>
        <w:pStyle w:val="TextBody"/>
        <w:spacing w:before="120" w:after="0"/>
        <w:jc w:val="left"/>
        <w:rPr>
          <w:rFonts w:ascii="arial" w:hAnsi="arial"/>
          <w:sz w:val="20"/>
        </w:rPr>
      </w:pPr>
      <w:r>
        <w:rPr>
          <w:rFonts w:ascii="arial" w:hAnsi="arial"/>
          <w:sz w:val="20"/>
        </w:rPr>
        <w:t xml:space="preserve">The Corporate Governance Committee reviews the adequacy of the assessment process and the questionnaires periodically to take into account new trends and best practices. </w:t>
      </w:r>
    </w:p>
    <w:p>
      <w:pPr>
        <w:pStyle w:val="TextBody"/>
        <w:spacing w:before="120" w:after="0"/>
        <w:jc w:val="left"/>
        <w:rPr>
          <w:rFonts w:ascii="arial" w:hAnsi="arial"/>
          <w:sz w:val="20"/>
        </w:rPr>
      </w:pPr>
      <w:r>
        <w:rPr>
          <w:rFonts w:ascii="arial" w:hAnsi="arial"/>
          <w:sz w:val="20"/>
        </w:rPr>
        <w:t xml:space="preserve">Annually, the Board also reviews its responsibilities by assessing our corporate governance guidelines and each committee of the Board performs an annual review of its charter. The Corporate Governance Committee also reviews various position descriptions on an annual basis. </w:t>
      </w:r>
    </w:p>
    <w:p>
      <w:pPr>
        <w:pStyle w:val="TextBody"/>
        <w:spacing w:before="120" w:after="0"/>
        <w:jc w:val="left"/>
        <w:rPr>
          <w:rFonts w:ascii="arial" w:hAnsi="arial"/>
          <w:sz w:val="20"/>
        </w:rPr>
      </w:pPr>
      <w:r>
        <w:rPr>
          <w:rFonts w:ascii="arial" w:hAnsi="arial"/>
          <w:sz w:val="20"/>
        </w:rPr>
        <w:t xml:space="preserve">The Corporate Governance Committee believes that each director continues to be effective and that each director has demonstrated a commitment to his or her role on the Board and its committees. Based on the Corporate Governance Committees recommendations, the Board recommends that all of the director nominees be elected at the meeting to be held on June 14, 2023, as each of them is expected to bring valuable skills and experience to the Board and its committees. </w:t>
      </w:r>
    </w:p>
    <w:p>
      <w:pPr>
        <w:pStyle w:val="TextBody"/>
        <w:spacing w:before="120" w:after="0"/>
        <w:jc w:val="left"/>
        <w:rPr>
          <w:rFonts w:ascii="arial" w:hAnsi="arial"/>
          <w:color w:val="B94831"/>
          <w:sz w:val="28"/>
        </w:rPr>
      </w:pPr>
      <w:r>
        <w:rPr>
          <w:rFonts w:ascii="arial" w:hAnsi="arial"/>
          <w:color w:val="B94831"/>
          <w:sz w:val="28"/>
        </w:rPr>
        <w:t xml:space="preserve">Conflicts of Interest and Transactions Involving Directors or Officers </w:t>
      </w:r>
    </w:p>
    <w:p>
      <w:pPr>
        <w:pStyle w:val="TextBody"/>
        <w:spacing w:before="40" w:after="0"/>
        <w:jc w:val="left"/>
        <w:rPr>
          <w:rFonts w:ascii="arial" w:hAnsi="arial"/>
          <w:sz w:val="20"/>
        </w:rPr>
      </w:pPr>
      <w:r>
        <w:rPr>
          <w:rFonts w:ascii="arial" w:hAnsi="arial"/>
          <w:sz w:val="20"/>
        </w:rPr>
        <w:t xml:space="preserve">In the case of any potential or actual conflict of interest, each director is required to inform the Board and executive officers are required to inform the CEO. We also ask our directors and executive officers about potential or actual conflicts of interest in annual questionnaires. Our policies on conflicts of interest are reflected in our Code of Business Conduct and Ethics, our Corporate Governance Guidelines and in supplemental guidance approved by the Board. </w:t>
      </w:r>
    </w:p>
    <w:p>
      <w:pPr>
        <w:pStyle w:val="TextBody"/>
        <w:spacing w:before="120" w:after="0"/>
        <w:jc w:val="left"/>
        <w:rPr>
          <w:rFonts w:ascii="arial" w:hAnsi="arial"/>
          <w:sz w:val="20"/>
        </w:rPr>
      </w:pPr>
      <w:r>
        <w:rPr>
          <w:rFonts w:ascii="arial" w:hAnsi="arial"/>
          <w:sz w:val="20"/>
        </w:rPr>
        <w:t xml:space="preserve">Unless otherwise expressly determined by the Board or relevant committee of the Board, a director who has a conflict of interest in a matter before the Board or such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 </w:t>
      </w:r>
    </w:p>
    <w:p>
      <w:pPr>
        <w:pStyle w:val="TextBody"/>
        <w:spacing w:before="120" w:after="0"/>
        <w:jc w:val="left"/>
        <w:rPr>
          <w:rFonts w:ascii="arial" w:hAnsi="arial"/>
          <w:sz w:val="20"/>
        </w:rPr>
      </w:pPr>
      <w:r>
        <w:rPr>
          <w:rFonts w:ascii="arial" w:hAnsi="arial"/>
          <w:sz w:val="20"/>
        </w:rPr>
        <w:t xml:space="preserve">If a director has a significant, ongoing and irreconcilable conflict, voluntary resignation from the Board or the conflicting interest may be appropriate or required.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56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Related Party Transactions Policy </w:t>
      </w:r>
    </w:p>
    <w:p>
      <w:pPr>
        <w:pStyle w:val="TextBody"/>
        <w:spacing w:before="40" w:after="0"/>
        <w:jc w:val="left"/>
        <w:rPr>
          <w:rFonts w:ascii="arial" w:hAnsi="arial"/>
          <w:sz w:val="20"/>
        </w:rPr>
      </w:pPr>
      <w:r>
        <w:rPr>
          <w:rFonts w:ascii="arial" w:hAnsi="arial"/>
          <w:sz w:val="20"/>
        </w:rPr>
        <w:t xml:space="preserve">Under our current related party transactions policy, the disinterested members of the Corporate Governance Committee or an independent body of the Board conducts a reasonable prior review and oversight of related party transactions for potential conflicts of interests and will only approve such a transaction if it is determined that the transaction is in the best interests of Thomson Reuters and its stakeholders. </w:t>
      </w:r>
    </w:p>
    <w:p>
      <w:pPr>
        <w:pStyle w:val="TextBody"/>
        <w:spacing w:before="120" w:after="0"/>
        <w:jc w:val="left"/>
        <w:rPr>
          <w:rFonts w:ascii="arial" w:hAnsi="arial"/>
          <w:sz w:val="20"/>
        </w:rPr>
      </w:pPr>
      <w:r>
        <w:rPr>
          <w:rFonts w:ascii="arial" w:hAnsi="arial"/>
          <w:sz w:val="20"/>
        </w:rPr>
        <w:t xml:space="preserve">If it is not possible to convene a meeting of the Corporate Governance Committee to review and approve any such transaction in advance, then the Chair of the Corporate Governance Committee will consider whether the related party transaction is appropriate and, if so, will approve it. Any such transaction will be subject to ratification by the Corporate Governance Committee at its next regularly scheduled meeting. </w:t>
      </w:r>
    </w:p>
    <w:p>
      <w:pPr>
        <w:pStyle w:val="TextBody"/>
        <w:spacing w:before="120" w:after="0"/>
        <w:jc w:val="left"/>
        <w:rPr>
          <w:rFonts w:ascii="arial" w:hAnsi="arial"/>
          <w:sz w:val="20"/>
        </w:rPr>
      </w:pPr>
      <w:r>
        <w:rPr>
          <w:rFonts w:ascii="arial" w:hAnsi="arial"/>
          <w:sz w:val="20"/>
        </w:rPr>
        <w:t xml:space="preserve">An independent special committee of the Board shall be established in connection with related party transactions when required pursuant to applicable Canadian law or otherwise determined to be advisable. </w:t>
      </w:r>
    </w:p>
    <w:p>
      <w:pPr>
        <w:pStyle w:val="TextBody"/>
        <w:spacing w:before="120" w:after="0"/>
        <w:jc w:val="left"/>
        <w:rPr>
          <w:rFonts w:ascii="arial" w:hAnsi="arial"/>
          <w:sz w:val="20"/>
        </w:rPr>
      </w:pPr>
      <w:r>
        <w:rPr>
          <w:rFonts w:ascii="arial" w:hAnsi="arial"/>
          <w:sz w:val="20"/>
        </w:rPr>
        <w:t xml:space="preserve">The companys related party transactions policy includes various considerations for reviewing the relevant facts and circumstances of transactions and includes a set of related party transactions that are pre-approved for purposes of the policy. </w:t>
      </w:r>
    </w:p>
    <w:p>
      <w:pPr>
        <w:pStyle w:val="TextBody"/>
        <w:spacing w:before="120" w:after="0"/>
        <w:jc w:val="left"/>
        <w:rPr>
          <w:rFonts w:ascii="arial" w:hAnsi="arial"/>
          <w:sz w:val="20"/>
        </w:rPr>
      </w:pPr>
      <w:r>
        <w:rPr>
          <w:rFonts w:ascii="arial" w:hAnsi="arial"/>
          <w:sz w:val="20"/>
        </w:rPr>
        <w:t xml:space="preserve">A director who may not be considered independent for purposes of a related party transaction (e.g., a director, including any immediate family member, is a party to or has a potential conflict of interest in a proposed related party transaction, or has a material interest in any related party transaction or in a party to a related party transaction) is to disclose that fact and provide all material information concerning the transaction to the Chair of the Corporate Governance Committee and the Chief Legal Officer and Company Secretary as soon as they become aware. Any such director must not receive or review any written materials or correspondence related to the conflict subject area, nor attend any part of a meeting during which the matter is discussed or participate in any vote on the matter, except where the disinterested members of the Corporate Governance Committee have expressly determined that it is appropriate for him or her to do so. </w:t>
      </w:r>
    </w:p>
    <w:p>
      <w:pPr>
        <w:pStyle w:val="TextBody"/>
        <w:spacing w:before="120" w:after="0"/>
        <w:jc w:val="left"/>
        <w:rPr>
          <w:rFonts w:ascii="arial" w:hAnsi="arial"/>
          <w:sz w:val="20"/>
        </w:rPr>
      </w:pPr>
      <w:r>
        <w:rPr>
          <w:rFonts w:ascii="arial" w:hAnsi="arial"/>
          <w:sz w:val="20"/>
        </w:rPr>
        <w:t xml:space="preserve">All related party transactions that are required to be disclosed pursuant to Canadian law shall be disclosed in Thomson Reuters applicable filings with the Canadian securities regulatory authorities and/or the SEC. </w:t>
      </w:r>
    </w:p>
    <w:p>
      <w:pPr>
        <w:pStyle w:val="TextBody"/>
        <w:spacing w:before="120" w:after="0"/>
        <w:jc w:val="left"/>
        <w:rPr>
          <w:rFonts w:ascii="arial" w:hAnsi="arial"/>
          <w:sz w:val="20"/>
        </w:rPr>
      </w:pPr>
      <w:r>
        <w:rPr>
          <w:rFonts w:ascii="arial" w:hAnsi="arial"/>
          <w:sz w:val="20"/>
        </w:rPr>
        <w:t xml:space="preserve">For more information about related party transactions in the last two years, please see the managements discussion and analysis (MD&amp;A) section of our 2022 annual report. </w:t>
      </w:r>
    </w:p>
    <w:p>
      <w:pPr>
        <w:pStyle w:val="TextBody"/>
        <w:spacing w:before="120" w:after="0"/>
        <w:jc w:val="left"/>
        <w:rPr>
          <w:rFonts w:ascii="Arial" w:hAnsi="Arial"/>
          <w:b/>
          <w:sz w:val="28"/>
        </w:rPr>
      </w:pPr>
      <w:bookmarkStart w:id="23" w:name="tx494196_29"/>
      <w:bookmarkEnd w:id="23"/>
      <w:r>
        <w:rPr>
          <w:rFonts w:ascii="Arial" w:hAnsi="Arial"/>
          <w:b/>
          <w:sz w:val="28"/>
        </w:rPr>
        <w:t xml:space="preserve">HR Committee </w:t>
      </w:r>
    </w:p>
    <w:p>
      <w:pPr>
        <w:pStyle w:val="TextBody"/>
        <w:spacing w:before="40" w:after="0"/>
        <w:jc w:val="left"/>
        <w:rPr>
          <w:rFonts w:ascii="arial" w:hAnsi="arial"/>
          <w:sz w:val="20"/>
        </w:rPr>
      </w:pPr>
      <w:r>
        <w:rPr>
          <w:rFonts w:ascii="arial" w:hAnsi="arial"/>
          <w:sz w:val="20"/>
        </w:rPr>
        <w:t xml:space="preserve">The HR Committee is responsible for assisting the Board in fulfilling its oversight responsibilities in relation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selection and retention of senior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planning for the succession of senior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talent and professional development for senior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compensation of the CEO and other senior management and assessment of compensation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human capital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management of pension and significant benefit plans for employees;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any additional matters delegated to the HR Committee by the Board. </w:t>
            </w:r>
          </w:p>
        </w:tc>
      </w:tr>
    </w:tbl>
    <w:p>
      <w:pPr>
        <w:pStyle w:val="TextBody"/>
        <w:spacing w:before="120" w:after="0"/>
        <w:jc w:val="left"/>
        <w:rPr>
          <w:rFonts w:ascii="arial" w:hAnsi="arial"/>
          <w:sz w:val="20"/>
        </w:rPr>
      </w:pPr>
      <w:r>
        <w:rPr>
          <w:rFonts w:ascii="arial" w:hAnsi="arial"/>
          <w:sz w:val="20"/>
        </w:rPr>
        <w:t xml:space="preserve">The following table provides an overview of the HR Committees work plan for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57"/>
        <w:gridCol w:w="120"/>
        <w:gridCol w:w="4828"/>
      </w:tblGrid>
      <w:tr>
        <w:trPr/>
        <w:tc>
          <w:tcPr>
            <w:tcW w:w="52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2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8" w:space="0" w:color="B94831"/>
            </w:tcBorders>
            <w:shd w:fill="262626" w:val="clear"/>
            <w:tcMar>
              <w:bottom w:w="60" w:type="dxa"/>
            </w:tcMar>
            <w:vAlign w:val="bottom"/>
          </w:tcPr>
          <w:p>
            <w:pPr>
              <w:pStyle w:val="TableContents"/>
              <w:spacing w:before="0" w:after="0"/>
              <w:rPr>
                <w:rFonts w:ascii="Arial" w:hAnsi="Arial"/>
                <w:b/>
                <w:color w:val="FFFFFF"/>
                <w:sz w:val="17"/>
              </w:rPr>
            </w:pPr>
            <w:r>
              <w:rPr>
                <w:rFonts w:ascii="Arial" w:hAnsi="Arial"/>
                <w:b/>
                <w:color w:val="FFFFFF"/>
                <w:sz w:val="17"/>
              </w:rPr>
              <w:t>2022 Primary HR Committee Activities</w:t>
            </w:r>
          </w:p>
        </w:tc>
      </w:tr>
      <w:tr>
        <w:trPr>
          <w:trHeight w:val="75" w:hRule="atLeast"/>
        </w:trPr>
        <w:tc>
          <w:tcPr>
            <w:tcW w:w="5257" w:type="dxa"/>
            <w:tcBorders/>
            <w:shd w:fill="auto" w:val="clear"/>
            <w:vAlign w:val="center"/>
          </w:tcPr>
          <w:p>
            <w:pPr>
              <w:pStyle w:val="TableContents"/>
              <w:spacing w:before="0" w:after="283"/>
              <w:rPr>
                <w:sz w:val="4"/>
                <w:szCs w:val="4"/>
              </w:rPr>
            </w:pPr>
            <w:r>
              <w:rPr>
                <w:sz w:val="4"/>
                <w:szCs w:val="4"/>
              </w:rPr>
            </w:r>
          </w:p>
        </w:tc>
        <w:tc>
          <w:tcPr>
            <w:tcW w:w="4948" w:type="dxa"/>
            <w:gridSpan w:val="2"/>
            <w:tcBorders/>
            <w:shd w:fill="auto" w:val="clear"/>
            <w:vAlign w:val="center"/>
          </w:tcPr>
          <w:p>
            <w:pPr>
              <w:pStyle w:val="TableContents"/>
              <w:spacing w:before="0" w:after="283"/>
              <w:rPr>
                <w:sz w:val="4"/>
                <w:szCs w:val="4"/>
              </w:rPr>
            </w:pPr>
            <w:r>
              <w:rPr>
                <w:sz w:val="4"/>
                <w:szCs w:val="4"/>
              </w:rPr>
            </w:r>
          </w:p>
        </w:tc>
      </w:tr>
      <w:tr>
        <w:trPr/>
        <w:tc>
          <w:tcPr>
            <w:tcW w:w="5257" w:type="dxa"/>
            <w:tcBorders>
              <w:bottom w:val="single" w:sz="8" w:space="0" w:color="B94831"/>
            </w:tcBorders>
            <w:shd w:fill="auto" w:val="clear"/>
            <w:tcMar>
              <w:bottom w:w="60"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 Review target compensation for executive officers</w:t>
            </w:r>
          </w:p>
          <w:p>
            <w:pPr>
              <w:pStyle w:val="TableContents"/>
              <w:spacing w:before="0" w:after="0"/>
              <w:rPr>
                <w:rFonts w:ascii="arial" w:hAnsi="arial"/>
                <w:sz w:val="16"/>
              </w:rPr>
            </w:pPr>
            <w:r>
              <w:rPr>
                <w:rFonts w:ascii="SYMBOL" w:hAnsi="SYMBOL"/>
                <w:color w:val="B94831"/>
                <w:sz w:val="12"/>
              </w:rPr>
              <w:t>·</w:t>
            </w:r>
            <w:r>
              <w:rPr>
                <w:rFonts w:ascii="arial" w:hAnsi="arial"/>
                <w:sz w:val="16"/>
              </w:rPr>
              <w:t>   Evaluate the performance of the CEO and review of the evaluations of other executive officers</w:t>
            </w:r>
          </w:p>
          <w:p>
            <w:pPr>
              <w:pStyle w:val="TableContents"/>
              <w:spacing w:before="0" w:after="0"/>
              <w:rPr>
                <w:rFonts w:ascii="arial" w:hAnsi="arial"/>
                <w:sz w:val="16"/>
              </w:rPr>
            </w:pPr>
            <w:r>
              <w:rPr>
                <w:rFonts w:ascii="SYMBOL" w:hAnsi="SYMBOL"/>
                <w:color w:val="B94831"/>
                <w:sz w:val="12"/>
              </w:rPr>
              <w:t>·</w:t>
            </w:r>
            <w:r>
              <w:rPr>
                <w:rFonts w:ascii="arial" w:hAnsi="arial"/>
                <w:sz w:val="16"/>
              </w:rPr>
              <w:t>   Approve 2021 annual incentive award payouts</w:t>
            </w:r>
          </w:p>
          <w:p>
            <w:pPr>
              <w:pStyle w:val="TableContents"/>
              <w:spacing w:before="0" w:after="0"/>
              <w:rPr>
                <w:rFonts w:ascii="arial" w:hAnsi="arial"/>
                <w:sz w:val="16"/>
              </w:rPr>
            </w:pPr>
            <w:r>
              <w:rPr>
                <w:rFonts w:ascii="SYMBOL" w:hAnsi="SYMBOL"/>
                <w:color w:val="B94831"/>
                <w:sz w:val="12"/>
              </w:rPr>
              <w:t>·</w:t>
            </w:r>
            <w:r>
              <w:rPr>
                <w:rFonts w:ascii="arial" w:hAnsi="arial"/>
                <w:sz w:val="16"/>
              </w:rPr>
              <w:t>   Approve 2022 annual and long-term incentive award design, the mix of cash and equity compensation, the allocation of equity-based awards, and performance goals</w:t>
            </w:r>
          </w:p>
          <w:p>
            <w:pPr>
              <w:pStyle w:val="TableContents"/>
              <w:spacing w:before="0" w:after="0"/>
              <w:rPr>
                <w:rFonts w:ascii="arial" w:hAnsi="arial"/>
                <w:sz w:val="16"/>
              </w:rPr>
            </w:pPr>
            <w:r>
              <w:rPr>
                <w:rFonts w:ascii="SYMBOL" w:hAnsi="SYMBOL"/>
                <w:color w:val="B94831"/>
                <w:sz w:val="12"/>
              </w:rPr>
              <w:t>·</w:t>
            </w:r>
            <w:r>
              <w:rPr>
                <w:rFonts w:ascii="arial" w:hAnsi="arial"/>
                <w:sz w:val="16"/>
              </w:rPr>
              <w:t>   Discuss 2023 annual and long-term incentive award design</w:t>
            </w:r>
          </w:p>
          <w:p>
            <w:pPr>
              <w:pStyle w:val="TableContents"/>
              <w:spacing w:before="0" w:after="20"/>
              <w:rPr>
                <w:rFonts w:ascii="arial" w:hAnsi="arial"/>
                <w:sz w:val="16"/>
              </w:rPr>
            </w:pPr>
            <w:r>
              <w:rPr>
                <w:rFonts w:ascii="SYMBOL" w:hAnsi="SYMBOL"/>
                <w:color w:val="B94831"/>
                <w:sz w:val="12"/>
              </w:rPr>
              <w:t>·</w:t>
            </w:r>
            <w:r>
              <w:rPr>
                <w:rFonts w:ascii="arial" w:hAnsi="arial"/>
                <w:sz w:val="16"/>
              </w:rPr>
              <w:t>   Approve compensation disclosure in the annual management proxy circular</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4828" w:type="dxa"/>
            <w:tcBorders>
              <w:bottom w:val="single" w:sz="8" w:space="0" w:color="B94831"/>
            </w:tcBorders>
            <w:shd w:fill="auto" w:val="clear"/>
            <w:tcMar>
              <w:bottom w:w="60"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 Discuss human capital management matters such as diversity and inclusion initiatives, talent, organizational health and culture and related ESG matters</w:t>
            </w:r>
          </w:p>
          <w:p>
            <w:pPr>
              <w:pStyle w:val="TableContents"/>
              <w:spacing w:before="0" w:after="0"/>
              <w:rPr>
                <w:rFonts w:ascii="arial" w:hAnsi="arial"/>
                <w:sz w:val="16"/>
              </w:rPr>
            </w:pPr>
            <w:r>
              <w:rPr>
                <w:rFonts w:ascii="SYMBOL" w:hAnsi="SYMBOL"/>
                <w:color w:val="B94831"/>
                <w:sz w:val="12"/>
              </w:rPr>
              <w:t>·</w:t>
            </w:r>
            <w:r>
              <w:rPr>
                <w:rFonts w:ascii="arial" w:hAnsi="arial"/>
                <w:sz w:val="16"/>
              </w:rPr>
              <w:t>   Review succession planning</w:t>
            </w:r>
          </w:p>
          <w:p>
            <w:pPr>
              <w:pStyle w:val="TableContents"/>
              <w:spacing w:before="0" w:after="0"/>
              <w:rPr>
                <w:rFonts w:ascii="arial" w:hAnsi="arial"/>
                <w:sz w:val="16"/>
              </w:rPr>
            </w:pPr>
            <w:r>
              <w:rPr>
                <w:rFonts w:ascii="SYMBOL" w:hAnsi="SYMBOL"/>
                <w:color w:val="B94831"/>
                <w:sz w:val="12"/>
              </w:rPr>
              <w:t>·</w:t>
            </w:r>
            <w:r>
              <w:rPr>
                <w:rFonts w:ascii="arial" w:hAnsi="arial"/>
                <w:sz w:val="16"/>
              </w:rPr>
              <w:t>   Review compensation program risk assessment</w:t>
            </w:r>
          </w:p>
          <w:p>
            <w:pPr>
              <w:pStyle w:val="TableContents"/>
              <w:spacing w:before="0" w:after="0"/>
              <w:rPr>
                <w:rFonts w:ascii="arial" w:hAnsi="arial"/>
                <w:sz w:val="16"/>
              </w:rPr>
            </w:pPr>
            <w:r>
              <w:rPr>
                <w:rFonts w:ascii="SYMBOL" w:hAnsi="SYMBOL"/>
                <w:color w:val="B94831"/>
                <w:sz w:val="12"/>
              </w:rPr>
              <w:t>·</w:t>
            </w:r>
            <w:r>
              <w:rPr>
                <w:rFonts w:ascii="arial" w:hAnsi="arial"/>
                <w:sz w:val="16"/>
              </w:rPr>
              <w:t>   Review compensation trends and regulatory developments</w:t>
            </w:r>
          </w:p>
          <w:p>
            <w:pPr>
              <w:pStyle w:val="TableContents"/>
              <w:spacing w:before="0" w:after="0"/>
              <w:rPr>
                <w:rFonts w:ascii="arial" w:hAnsi="arial"/>
                <w:sz w:val="16"/>
              </w:rPr>
            </w:pPr>
            <w:r>
              <w:rPr>
                <w:rFonts w:ascii="SYMBOL" w:hAnsi="SYMBOL"/>
                <w:color w:val="B94831"/>
                <w:sz w:val="12"/>
              </w:rPr>
              <w:t>·</w:t>
            </w:r>
            <w:r>
              <w:rPr>
                <w:rFonts w:ascii="arial" w:hAnsi="arial"/>
                <w:sz w:val="16"/>
              </w:rPr>
              <w:t>   Approve compensation peer group</w:t>
            </w:r>
          </w:p>
          <w:p>
            <w:pPr>
              <w:pStyle w:val="TableContents"/>
              <w:spacing w:before="0" w:after="0"/>
              <w:rPr>
                <w:rFonts w:ascii="arial" w:hAnsi="arial"/>
                <w:sz w:val="16"/>
              </w:rPr>
            </w:pPr>
            <w:r>
              <w:rPr>
                <w:rFonts w:ascii="SYMBOL" w:hAnsi="SYMBOL"/>
                <w:color w:val="B94831"/>
                <w:sz w:val="12"/>
              </w:rPr>
              <w:t>·</w:t>
            </w:r>
            <w:r>
              <w:rPr>
                <w:rFonts w:ascii="arial" w:hAnsi="arial"/>
                <w:sz w:val="16"/>
              </w:rPr>
              <w:t>   Review equity share plan reserve analysis</w:t>
            </w:r>
          </w:p>
          <w:p>
            <w:pPr>
              <w:pStyle w:val="TableContents"/>
              <w:spacing w:before="0" w:after="0"/>
              <w:rPr>
                <w:rFonts w:ascii="arial" w:hAnsi="arial"/>
                <w:sz w:val="16"/>
              </w:rPr>
            </w:pPr>
            <w:r>
              <w:rPr>
                <w:rFonts w:ascii="SYMBOL" w:hAnsi="SYMBOL"/>
                <w:color w:val="B94831"/>
                <w:sz w:val="12"/>
              </w:rPr>
              <w:t>·</w:t>
            </w:r>
            <w:r>
              <w:rPr>
                <w:rFonts w:ascii="arial" w:hAnsi="arial"/>
                <w:sz w:val="16"/>
              </w:rPr>
              <w:t>   Review Say on pay modeling and evaluate outcome of Say on pay vote</w:t>
            </w:r>
          </w:p>
          <w:p>
            <w:pPr>
              <w:pStyle w:val="TableContents"/>
              <w:spacing w:before="0" w:after="0"/>
              <w:rPr>
                <w:rFonts w:ascii="arial" w:hAnsi="arial"/>
                <w:sz w:val="16"/>
              </w:rPr>
            </w:pPr>
            <w:r>
              <w:rPr>
                <w:rFonts w:ascii="SYMBOL" w:hAnsi="SYMBOL"/>
                <w:color w:val="B94831"/>
                <w:sz w:val="12"/>
              </w:rPr>
              <w:t>·</w:t>
            </w:r>
            <w:r>
              <w:rPr>
                <w:rFonts w:ascii="arial" w:hAnsi="arial"/>
                <w:sz w:val="16"/>
              </w:rPr>
              <w:t>   Review key global retirement plans</w:t>
            </w:r>
          </w:p>
          <w:p>
            <w:pPr>
              <w:pStyle w:val="TableContents"/>
              <w:spacing w:before="0" w:after="0"/>
              <w:rPr>
                <w:rFonts w:ascii="arial" w:hAnsi="arial"/>
                <w:sz w:val="16"/>
              </w:rPr>
            </w:pPr>
            <w:r>
              <w:rPr>
                <w:rFonts w:ascii="SYMBOL" w:hAnsi="SYMBOL"/>
                <w:color w:val="B94831"/>
                <w:sz w:val="12"/>
              </w:rPr>
              <w:t>·</w:t>
            </w:r>
            <w:r>
              <w:rPr>
                <w:rFonts w:ascii="arial" w:hAnsi="arial"/>
                <w:sz w:val="16"/>
              </w:rPr>
              <w:t>   Review senior managements share ownership guidelines</w:t>
            </w:r>
          </w:p>
          <w:p>
            <w:pPr>
              <w:pStyle w:val="TableContents"/>
              <w:spacing w:before="0" w:after="20"/>
              <w:rPr>
                <w:rFonts w:ascii="arial" w:hAnsi="arial"/>
                <w:sz w:val="16"/>
              </w:rPr>
            </w:pPr>
            <w:r>
              <w:rPr>
                <w:rFonts w:ascii="SYMBOL" w:hAnsi="SYMBOL"/>
                <w:color w:val="B94831"/>
                <w:sz w:val="12"/>
              </w:rPr>
              <w:t>·</w:t>
            </w:r>
            <w:r>
              <w:rPr>
                <w:rFonts w:ascii="arial" w:hAnsi="arial"/>
                <w:sz w:val="16"/>
              </w:rPr>
              <w:t>   Review certain new senior executive hirings and terminations</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following is a brief summary of the experience of each director nominee who is a member of the HR Committee that is relevant to the performance of his or her responsibilities.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94"/>
        <w:gridCol w:w="120"/>
        <w:gridCol w:w="6991"/>
      </w:tblGrid>
      <w:tr>
        <w:trPr/>
        <w:tc>
          <w:tcPr>
            <w:tcW w:w="30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99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094" w:type="dxa"/>
            <w:tcBorders/>
            <w:shd w:fill="262626" w:val="clear"/>
            <w:vAlign w:val="center"/>
          </w:tcPr>
          <w:p>
            <w:pPr>
              <w:pStyle w:val="TableContents"/>
              <w:spacing w:before="0" w:after="283"/>
              <w:rPr>
                <w:sz w:val="4"/>
                <w:szCs w:val="4"/>
              </w:rPr>
            </w:pPr>
            <w:r>
              <w:rPr>
                <w:sz w:val="4"/>
                <w:szCs w:val="4"/>
              </w:rPr>
            </w:r>
          </w:p>
        </w:tc>
        <w:tc>
          <w:tcPr>
            <w:tcW w:w="7111"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094" w:type="dxa"/>
            <w:tcBorders>
              <w:bottom w:val="single" w:sz="8"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HR Committee Member</w:t>
            </w:r>
          </w:p>
        </w:tc>
        <w:tc>
          <w:tcPr>
            <w:tcW w:w="120"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6991"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Experience</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W. Edmund Clark, C.M. (Chair)</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 Former Group President and Chief Executive Officer of TD Bank Group</w:t>
            </w:r>
          </w:p>
          <w:p>
            <w:pPr>
              <w:pStyle w:val="TableContents"/>
              <w:spacing w:before="0" w:after="20"/>
              <w:rPr>
                <w:rFonts w:ascii="arial" w:hAnsi="arial"/>
                <w:sz w:val="16"/>
              </w:rPr>
            </w:pPr>
            <w:r>
              <w:rPr>
                <w:rFonts w:ascii="SYMBOL" w:hAnsi="SYMBOL"/>
                <w:color w:val="B94831"/>
                <w:sz w:val="12"/>
              </w:rPr>
              <w:t>·</w:t>
            </w:r>
            <w:r>
              <w:rPr>
                <w:rFonts w:ascii="arial" w:hAnsi="arial"/>
                <w:sz w:val="16"/>
              </w:rPr>
              <w:t>   Familiarity with global compensation standards</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Kirk E. Arnold</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 Chair of Ingersoll Rand Inc. compensation committee</w:t>
            </w:r>
          </w:p>
          <w:p>
            <w:pPr>
              <w:pStyle w:val="TableContents"/>
              <w:spacing w:before="0" w:after="0"/>
              <w:rPr>
                <w:rFonts w:ascii="arial" w:hAnsi="arial"/>
                <w:sz w:val="16"/>
              </w:rPr>
            </w:pPr>
            <w:r>
              <w:rPr>
                <w:rFonts w:ascii="SYMBOL" w:hAnsi="SYMBOL"/>
                <w:color w:val="B94831"/>
                <w:sz w:val="12"/>
              </w:rPr>
              <w:t>·</w:t>
            </w:r>
            <w:r>
              <w:rPr>
                <w:rFonts w:ascii="arial" w:hAnsi="arial"/>
                <w:sz w:val="16"/>
              </w:rPr>
              <w:t>   Member of Trane Technologies PLC human resources and compensation committee</w:t>
            </w:r>
          </w:p>
          <w:p>
            <w:pPr>
              <w:pStyle w:val="TableContents"/>
              <w:spacing w:before="0" w:after="0"/>
              <w:rPr>
                <w:rFonts w:ascii="arial" w:hAnsi="arial"/>
                <w:sz w:val="16"/>
              </w:rPr>
            </w:pPr>
            <w:r>
              <w:rPr>
                <w:rFonts w:ascii="SYMBOL" w:hAnsi="SYMBOL"/>
                <w:color w:val="B94831"/>
                <w:sz w:val="12"/>
              </w:rPr>
              <w:t>·</w:t>
            </w:r>
            <w:r>
              <w:rPr>
                <w:rFonts w:ascii="arial" w:hAnsi="arial"/>
                <w:sz w:val="16"/>
              </w:rPr>
              <w:t>   Member of the Board of Directors of The Predictive Index, a private software company focused on human resource engagement tools and leadership practices</w:t>
            </w:r>
          </w:p>
          <w:p>
            <w:pPr>
              <w:pStyle w:val="TableContents"/>
              <w:spacing w:before="0" w:after="0"/>
              <w:rPr>
                <w:rFonts w:ascii="arial" w:hAnsi="arial"/>
                <w:sz w:val="16"/>
              </w:rPr>
            </w:pPr>
            <w:r>
              <w:rPr>
                <w:rFonts w:ascii="SYMBOL" w:hAnsi="SYMBOL"/>
                <w:color w:val="B94831"/>
                <w:sz w:val="12"/>
              </w:rPr>
              <w:t>·</w:t>
            </w:r>
            <w:r>
              <w:rPr>
                <w:rFonts w:ascii="arial" w:hAnsi="arial"/>
                <w:sz w:val="16"/>
              </w:rPr>
              <w:t>   Senior Lecturer at MIT Sloan School of Management, including teaching a course on compensation strategies</w:t>
            </w:r>
          </w:p>
          <w:p>
            <w:pPr>
              <w:pStyle w:val="TableContents"/>
              <w:spacing w:before="0" w:after="20"/>
              <w:rPr>
                <w:rFonts w:ascii="arial" w:hAnsi="arial"/>
                <w:sz w:val="16"/>
              </w:rPr>
            </w:pPr>
            <w:r>
              <w:rPr>
                <w:rFonts w:ascii="SYMBOL" w:hAnsi="SYMBOL"/>
                <w:color w:val="B94831"/>
                <w:sz w:val="12"/>
              </w:rPr>
              <w:t>·</w:t>
            </w:r>
            <w:r>
              <w:rPr>
                <w:rFonts w:ascii="arial" w:hAnsi="arial"/>
                <w:sz w:val="16"/>
              </w:rPr>
              <w:t>   Former Chief Executive Officer of Data Intensity, Inc., Keane, Inc. and NerveWire</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David W. Binet</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 Former member of the Compensation Committee of CTV Globemedia</w:t>
            </w:r>
          </w:p>
          <w:p>
            <w:pPr>
              <w:pStyle w:val="TableContents"/>
              <w:spacing w:before="0" w:after="20"/>
              <w:rPr>
                <w:rFonts w:ascii="arial" w:hAnsi="arial"/>
                <w:sz w:val="16"/>
              </w:rPr>
            </w:pPr>
            <w:r>
              <w:rPr>
                <w:rFonts w:ascii="SYMBOL" w:hAnsi="SYMBOL"/>
                <w:color w:val="B94831"/>
                <w:sz w:val="12"/>
              </w:rPr>
              <w:t>·</w:t>
            </w:r>
            <w:r>
              <w:rPr>
                <w:rFonts w:ascii="arial" w:hAnsi="arial"/>
                <w:sz w:val="16"/>
              </w:rPr>
              <w:t>   Secretary to the Thomson Reuters HR Committee for 12 years</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Michael E. Daniels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 Over 25 years of executive experience at IBM</w:t>
            </w:r>
          </w:p>
          <w:p>
            <w:pPr>
              <w:pStyle w:val="TableContents"/>
              <w:spacing w:before="0" w:after="0"/>
              <w:rPr>
                <w:rFonts w:ascii="arial" w:hAnsi="arial"/>
                <w:sz w:val="16"/>
              </w:rPr>
            </w:pPr>
            <w:r>
              <w:rPr>
                <w:rFonts w:ascii="SYMBOL" w:hAnsi="SYMBOL"/>
                <w:color w:val="B94831"/>
                <w:sz w:val="12"/>
              </w:rPr>
              <w:t>·</w:t>
            </w:r>
            <w:r>
              <w:rPr>
                <w:rFonts w:ascii="arial" w:hAnsi="arial"/>
                <w:sz w:val="16"/>
              </w:rPr>
              <w:t>   Familiarity with global compensation standards</w:t>
            </w:r>
          </w:p>
          <w:p>
            <w:pPr>
              <w:pStyle w:val="TableContents"/>
              <w:spacing w:before="0" w:after="20"/>
              <w:rPr>
                <w:rFonts w:ascii="arial" w:hAnsi="arial"/>
                <w:sz w:val="16"/>
              </w:rPr>
            </w:pPr>
            <w:r>
              <w:rPr>
                <w:rFonts w:ascii="SYMBOL" w:hAnsi="SYMBOL"/>
                <w:color w:val="B94831"/>
                <w:sz w:val="12"/>
              </w:rPr>
              <w:t>·</w:t>
            </w:r>
            <w:r>
              <w:rPr>
                <w:rFonts w:ascii="arial" w:hAnsi="arial"/>
                <w:sz w:val="16"/>
              </w:rPr>
              <w:t>   Chair of Johnson Controls International plc compensation committee</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Kirk Koenigsbauer</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 Chief Operating Officer and Corporate Vice President at Microsoft Corporation.</w:t>
            </w:r>
          </w:p>
          <w:p>
            <w:pPr>
              <w:pStyle w:val="TableContents"/>
              <w:spacing w:before="0" w:after="20"/>
              <w:rPr>
                <w:rFonts w:ascii="arial" w:hAnsi="arial"/>
                <w:sz w:val="16"/>
              </w:rPr>
            </w:pPr>
            <w:r>
              <w:rPr>
                <w:rFonts w:ascii="SYMBOL" w:hAnsi="SYMBOL"/>
                <w:color w:val="B94831"/>
                <w:sz w:val="12"/>
              </w:rPr>
              <w:t>·</w:t>
            </w:r>
            <w:r>
              <w:rPr>
                <w:rFonts w:ascii="arial" w:hAnsi="arial"/>
                <w:sz w:val="16"/>
              </w:rPr>
              <w:t>   Familiarity with global compensation standards</w:t>
            </w:r>
          </w:p>
        </w:tc>
      </w:tr>
      <w:tr>
        <w:trPr/>
        <w:tc>
          <w:tcPr>
            <w:tcW w:w="3094" w:type="dxa"/>
            <w:tcBorders>
              <w:bottom w:val="single" w:sz="2" w:space="0" w:color="AFAFAF"/>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Peter J. Thomson</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991"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 Chair of Woodbridge and familiar with compensation programs at many companies</w:t>
            </w:r>
          </w:p>
          <w:p>
            <w:pPr>
              <w:pStyle w:val="TableContents"/>
              <w:spacing w:before="0" w:after="20"/>
              <w:rPr>
                <w:rFonts w:ascii="arial" w:hAnsi="arial"/>
                <w:sz w:val="16"/>
              </w:rPr>
            </w:pPr>
            <w:r>
              <w:rPr>
                <w:rFonts w:ascii="SYMBOL" w:hAnsi="SYMBOL"/>
                <w:color w:val="B94831"/>
                <w:sz w:val="12"/>
              </w:rPr>
              <w:t>·</w:t>
            </w:r>
            <w:r>
              <w:rPr>
                <w:rFonts w:ascii="arial" w:hAnsi="arial"/>
                <w:sz w:val="16"/>
              </w:rPr>
              <w:t>   Familiarity with global compensation standards</w:t>
            </w:r>
          </w:p>
        </w:tc>
      </w:tr>
      <w:tr>
        <w:trPr/>
        <w:tc>
          <w:tcPr>
            <w:tcW w:w="3094" w:type="dxa"/>
            <w:tcBorders>
              <w:bottom w:val="single" w:sz="8" w:space="0" w:color="B94831"/>
              <w:right w:val="single" w:sz="2" w:space="0" w:color="AFAFAF"/>
            </w:tcBorders>
            <w:shd w:fill="auto" w:val="clear"/>
            <w:tcMar>
              <w:bottom w:w="28" w:type="dxa"/>
              <w:right w:w="28" w:type="dxa"/>
            </w:tcMar>
          </w:tcPr>
          <w:p>
            <w:pPr>
              <w:pStyle w:val="TableContents"/>
              <w:spacing w:before="0" w:after="283"/>
              <w:rPr>
                <w:rFonts w:ascii="Arial" w:hAnsi="Arial"/>
                <w:b/>
              </w:rPr>
            </w:pPr>
            <w:r>
              <w:rPr>
                <w:rFonts w:ascii="Arial" w:hAnsi="Arial"/>
                <w:b/>
              </w:rPr>
              <w:t>Beth Wilson</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6991" w:type="dxa"/>
            <w:tcBorders>
              <w:bottom w:val="single" w:sz="8" w:space="0" w:color="B94831"/>
            </w:tcBorders>
            <w:shd w:fill="auto" w:val="clear"/>
            <w:tcMar>
              <w:bottom w:w="28" w:type="dxa"/>
            </w:tcMar>
            <w:vAlign w:val="bottom"/>
          </w:tcPr>
          <w:p>
            <w:pPr>
              <w:pStyle w:val="TableContents"/>
              <w:spacing w:before="0" w:after="0"/>
              <w:rPr>
                <w:rFonts w:ascii="arial" w:hAnsi="arial"/>
                <w:sz w:val="16"/>
              </w:rPr>
            </w:pPr>
            <w:r>
              <w:rPr>
                <w:rFonts w:ascii="SYMBOL" w:hAnsi="SYMBOL"/>
                <w:color w:val="B94831"/>
                <w:sz w:val="12"/>
              </w:rPr>
              <w:t>·</w:t>
            </w:r>
            <w:r>
              <w:rPr>
                <w:rFonts w:ascii="arial" w:hAnsi="arial"/>
                <w:sz w:val="16"/>
              </w:rPr>
              <w:t>   Director at Woodgreen Foundation and IGM Financial Inc.</w:t>
            </w:r>
          </w:p>
          <w:p>
            <w:pPr>
              <w:pStyle w:val="TableContents"/>
              <w:spacing w:before="0" w:after="0"/>
              <w:rPr>
                <w:rFonts w:ascii="arial" w:hAnsi="arial"/>
                <w:sz w:val="16"/>
              </w:rPr>
            </w:pPr>
            <w:r>
              <w:rPr>
                <w:rFonts w:ascii="SYMBOL" w:hAnsi="SYMBOL"/>
                <w:color w:val="B94831"/>
                <w:sz w:val="12"/>
              </w:rPr>
              <w:t>·</w:t>
            </w:r>
            <w:r>
              <w:rPr>
                <w:rFonts w:ascii="arial" w:hAnsi="arial"/>
                <w:sz w:val="16"/>
              </w:rPr>
              <w:t>   Former Chief Human Resources Officer at KPMG</w:t>
            </w:r>
          </w:p>
          <w:p>
            <w:pPr>
              <w:pStyle w:val="TableContents"/>
              <w:spacing w:before="0" w:after="0"/>
              <w:rPr>
                <w:rFonts w:ascii="arial" w:hAnsi="arial"/>
                <w:sz w:val="16"/>
              </w:rPr>
            </w:pPr>
            <w:r>
              <w:rPr>
                <w:rFonts w:ascii="SYMBOL" w:hAnsi="SYMBOL"/>
                <w:color w:val="B94831"/>
                <w:sz w:val="12"/>
              </w:rPr>
              <w:t>·</w:t>
            </w:r>
            <w:r>
              <w:rPr>
                <w:rFonts w:ascii="arial" w:hAnsi="arial"/>
                <w:sz w:val="16"/>
              </w:rPr>
              <w:t>   Former Chief Executive Officer at Dentons LLP</w:t>
            </w:r>
          </w:p>
          <w:p>
            <w:pPr>
              <w:pStyle w:val="TableContents"/>
              <w:spacing w:before="0" w:after="20"/>
              <w:rPr>
                <w:rFonts w:ascii="arial" w:hAnsi="arial"/>
                <w:sz w:val="16"/>
              </w:rPr>
            </w:pPr>
            <w:r>
              <w:rPr>
                <w:rFonts w:ascii="SYMBOL" w:hAnsi="SYMBOL"/>
                <w:color w:val="B94831"/>
                <w:sz w:val="12"/>
              </w:rPr>
              <w:t>·</w:t>
            </w:r>
            <w:r>
              <w:rPr>
                <w:rFonts w:ascii="arial" w:hAnsi="arial"/>
                <w:sz w:val="16"/>
              </w:rPr>
              <w:t>   Familiarity with global compensation standards</w:t>
            </w:r>
          </w:p>
        </w:tc>
      </w:tr>
    </w:tbl>
    <w:p>
      <w:pPr>
        <w:pStyle w:val="TextBody"/>
        <w:spacing w:before="120" w:after="0"/>
        <w:jc w:val="left"/>
        <w:rPr>
          <w:rFonts w:ascii="arial" w:hAnsi="arial"/>
          <w:color w:val="B94831"/>
          <w:sz w:val="28"/>
        </w:rPr>
      </w:pPr>
      <w:r>
        <w:rPr>
          <w:rFonts w:ascii="arial" w:hAnsi="arial"/>
          <w:color w:val="B94831"/>
          <w:sz w:val="28"/>
        </w:rPr>
        <w:t xml:space="preserve">Compensation Planning </w:t>
      </w:r>
    </w:p>
    <w:p>
      <w:pPr>
        <w:pStyle w:val="TextBody"/>
        <w:spacing w:before="40" w:after="0"/>
        <w:jc w:val="left"/>
        <w:rPr>
          <w:rFonts w:ascii="arial" w:hAnsi="arial"/>
          <w:sz w:val="20"/>
        </w:rPr>
      </w:pPr>
      <w:r>
        <w:rPr>
          <w:rFonts w:ascii="arial" w:hAnsi="arial"/>
          <w:sz w:val="20"/>
        </w:rPr>
        <w:t xml:space="preserve">The HR Committees responsibilities include establishing, implementing and overseeing our compensation policies and programs. A detailed discussion of the HR Committees responsibilities in this area is provided in the Compensation Discussion and Analysis section of this circular. </w:t>
      </w:r>
    </w:p>
    <w:p>
      <w:pPr>
        <w:pStyle w:val="TextBody"/>
        <w:spacing w:before="120" w:after="0"/>
        <w:jc w:val="left"/>
        <w:rPr>
          <w:rFonts w:ascii="arial" w:hAnsi="arial"/>
          <w:color w:val="B94831"/>
          <w:sz w:val="28"/>
        </w:rPr>
      </w:pPr>
      <w:r>
        <w:rPr>
          <w:rFonts w:ascii="arial" w:hAnsi="arial"/>
          <w:color w:val="B94831"/>
          <w:sz w:val="28"/>
        </w:rPr>
        <w:t xml:space="preserve">CEO Performance Evaluation and Objectives Setting </w:t>
      </w:r>
    </w:p>
    <w:p>
      <w:pPr>
        <w:pStyle w:val="TextBody"/>
        <w:spacing w:before="40" w:after="0"/>
        <w:jc w:val="left"/>
        <w:rPr>
          <w:rFonts w:ascii="arial" w:hAnsi="arial"/>
          <w:sz w:val="20"/>
        </w:rPr>
      </w:pPr>
      <w:r>
        <w:rPr>
          <w:rFonts w:ascii="arial" w:hAnsi="arial"/>
          <w:sz w:val="20"/>
        </w:rPr>
        <w:t xml:space="preserve">The HR Committee assists the Board in setting objectives each year for the CEO. The HR Committee evaluates the performance of the CEO against these objectives at year end. The HR Committee reports to the full Board on the objectives for the forthcoming year and the performance against objectives in the preceding year. The HR Committee also maintains a written position description for the CEO. </w:t>
      </w:r>
    </w:p>
    <w:p>
      <w:pPr>
        <w:pStyle w:val="TextBody"/>
        <w:spacing w:before="120" w:after="0"/>
        <w:jc w:val="left"/>
        <w:rPr>
          <w:rFonts w:ascii="arial" w:hAnsi="arial"/>
          <w:color w:val="B94831"/>
          <w:sz w:val="28"/>
        </w:rPr>
      </w:pPr>
      <w:bookmarkStart w:id="24" w:name="tx494196_8"/>
      <w:bookmarkEnd w:id="24"/>
      <w:r>
        <w:rPr>
          <w:rFonts w:ascii="arial" w:hAnsi="arial"/>
          <w:color w:val="B94831"/>
          <w:sz w:val="28"/>
        </w:rPr>
        <w:t xml:space="preserve">Human Capital Management </w:t>
      </w:r>
    </w:p>
    <w:p>
      <w:pPr>
        <w:pStyle w:val="TextBody"/>
        <w:spacing w:before="40" w:after="0"/>
        <w:jc w:val="left"/>
        <w:rPr>
          <w:rFonts w:ascii="arial" w:hAnsi="arial"/>
          <w:sz w:val="20"/>
        </w:rPr>
      </w:pPr>
      <w:r>
        <w:rPr>
          <w:rFonts w:ascii="arial" w:hAnsi="arial"/>
          <w:sz w:val="20"/>
        </w:rPr>
        <w:t xml:space="preserve">Our human capital practices and initiatives are designed to attract, motivate and retain high quality and talented employees across all of our businesses who feel valued, are provided with opportunities to grow, and are driven to succeed. We focus on a variety of human capital topics that apply to our workforce, such as compensation and benefits, culture and employee engagement, talent acquisition/development, and diversity and inclusion. Over the last few years, oversight of human capital management has also been a greater focus area for our Board of Directors. </w:t>
      </w:r>
    </w:p>
    <w:p>
      <w:pPr>
        <w:pStyle w:val="TextBody"/>
        <w:spacing w:before="120" w:after="0"/>
        <w:jc w:val="left"/>
        <w:rPr>
          <w:rFonts w:ascii="arial" w:hAnsi="arial"/>
          <w:sz w:val="20"/>
        </w:rPr>
      </w:pPr>
      <w:r>
        <w:rPr>
          <w:rFonts w:ascii="arial" w:hAnsi="arial"/>
          <w:sz w:val="20"/>
        </w:rPr>
        <w:t xml:space="preserve">Starting in April 2022, most of our employees around the world began to transition to hybrid working arrangements, splitting their time between working from home and the office. We believe that a hybrid model provides the environment and resources to enable our teams and people to do their best work and grow. At the same time, we have maintained a focus on inclusive and equitable work and talent practices under this hybrid work arrangement, while also keeping in mind that many of our teams work across multiple locations and have colleagues who are fully remote. </w:t>
      </w:r>
    </w:p>
    <w:p>
      <w:pPr>
        <w:pStyle w:val="TextBody"/>
        <w:spacing w:before="120" w:after="0"/>
        <w:jc w:val="left"/>
        <w:rPr>
          <w:rFonts w:ascii="arial" w:hAnsi="arial"/>
          <w:sz w:val="20"/>
        </w:rPr>
      </w:pPr>
      <w:r>
        <w:rPr>
          <w:rFonts w:ascii="arial" w:hAnsi="arial"/>
          <w:sz w:val="20"/>
        </w:rPr>
        <w:t xml:space="preserve">The HR Committee plays a key role in overseeing talent management and succession planning strategies, with strong leadership from our CEO and Chief People Officer. As such, the HR Committee is regularly updated on the leadership development, and engagement of our employees. The HR Committee also partners with the CEO and the Chief People Officer in reviewing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58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succession and developmental plans for executive management, critical talent and succession risk metrics, progress made over the year and plans for the upcoming year. The Board and management also engage in detailed succession planning discussions for all senior roles, and the principles employed at the senior-most levels of the organization are embraced by management throughout the entire organization. </w:t>
      </w:r>
    </w:p>
    <w:p>
      <w:pPr>
        <w:pStyle w:val="TextBody"/>
        <w:spacing w:before="120" w:after="0"/>
        <w:jc w:val="left"/>
        <w:rPr>
          <w:rFonts w:ascii="arial" w:hAnsi="arial"/>
          <w:sz w:val="20"/>
        </w:rPr>
      </w:pPr>
      <w:r>
        <w:rPr>
          <w:rFonts w:ascii="arial" w:hAnsi="arial"/>
          <w:sz w:val="20"/>
        </w:rPr>
        <w:t xml:space="preserve">In 2022, the Board, HR Committee and management also had several talent and culture discussions related to our Change Program. </w:t>
      </w:r>
    </w:p>
    <w:p>
      <w:pPr>
        <w:pStyle w:val="TextBody"/>
        <w:spacing w:before="120" w:after="0"/>
        <w:jc w:val="left"/>
        <w:rPr>
          <w:rFonts w:ascii="arial" w:hAnsi="arial"/>
          <w:sz w:val="20"/>
        </w:rPr>
      </w:pPr>
      <w:r>
        <w:rPr>
          <w:rFonts w:ascii="arial" w:hAnsi="arial"/>
          <w:sz w:val="20"/>
        </w:rPr>
        <w:t xml:space="preserve">While we voluntarily publish numerous human capital-related metrics and data in our securities filings and on our website (notably in our Social Impact &amp; ESG Report), some metrics and data are not publicly disclosed due to competitive considerations.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shd w:fill="F4E3E0" w:val="clear"/>
            <w:tcMar>
              <w:top w:w="28" w:type="dxa"/>
              <w:left w:w="160" w:type="dxa"/>
              <w:bottom w:w="28" w:type="dxa"/>
              <w:right w:w="40" w:type="dxa"/>
            </w:tcMar>
          </w:tcPr>
          <w:p>
            <w:pPr>
              <w:pStyle w:val="TableContents"/>
              <w:spacing w:before="0" w:after="0"/>
              <w:rPr/>
            </w:pPr>
            <w:r>
              <w:rPr/>
              <w:t> </w:t>
            </w:r>
          </w:p>
          <w:p>
            <w:pPr>
              <w:pStyle w:val="TableContents"/>
              <w:spacing w:before="0" w:after="0"/>
              <w:jc w:val="center"/>
              <w:rPr>
                <w:rFonts w:ascii="arial" w:hAnsi="arial"/>
                <w:sz w:val="20"/>
              </w:rPr>
            </w:pPr>
            <w:r>
              <w:rPr>
                <w:rFonts w:ascii="arial" w:hAnsi="arial"/>
                <w:sz w:val="20"/>
              </w:rPr>
              <w:t>For additional information regarding some of our human capital management initiatives,</w:t>
              <w:br/>
              <w:t>please see the ESG section of this proxy circular.</w:t>
            </w:r>
          </w:p>
          <w:p>
            <w:pPr>
              <w:pStyle w:val="TableContents"/>
              <w:spacing w:before="0" w:after="0"/>
              <w:jc w:val="left"/>
              <w:rPr/>
            </w:pPr>
            <w:r>
              <w:rPr/>
              <w:t> </w:t>
            </w:r>
          </w:p>
          <w:p>
            <w:pPr>
              <w:pStyle w:val="TableContents"/>
              <w:spacing w:before="0" w:after="20"/>
              <w:rPr/>
            </w:pPr>
            <w:r>
              <w:rPr/>
              <w:t> </w:t>
            </w:r>
          </w:p>
        </w:tc>
      </w:tr>
    </w:tbl>
    <w:p>
      <w:pPr>
        <w:pStyle w:val="TextBody"/>
        <w:spacing w:before="120" w:after="0"/>
        <w:jc w:val="left"/>
        <w:rPr>
          <w:rFonts w:ascii="arial" w:hAnsi="arial"/>
          <w:sz w:val="20"/>
        </w:rPr>
      </w:pPr>
      <w:bookmarkStart w:id="25" w:name="tx494196_8a"/>
      <w:bookmarkEnd w:id="25"/>
      <w:r>
        <w:rPr>
          <w:rFonts w:ascii="arial" w:hAnsi="arial"/>
          <w:sz w:val="20"/>
        </w:rPr>
        <w:t xml:space="preserve">We expect that human capital management will continue to be an important focus area in the future for management and the Board because it ensures solid stewardship of our organization, supports important societal objectives, and is key to ensuring strategic advantage in the marketplace. </w:t>
      </w:r>
    </w:p>
    <w:p>
      <w:pPr>
        <w:pStyle w:val="TextBody"/>
        <w:spacing w:before="120" w:after="0"/>
        <w:jc w:val="left"/>
        <w:rPr>
          <w:rFonts w:ascii="Arial" w:hAnsi="Arial"/>
          <w:b/>
          <w:sz w:val="28"/>
        </w:rPr>
      </w:pPr>
      <w:bookmarkStart w:id="26" w:name="tx494196_30"/>
      <w:bookmarkEnd w:id="26"/>
      <w:r>
        <w:rPr>
          <w:rFonts w:ascii="Arial" w:hAnsi="Arial"/>
          <w:b/>
          <w:sz w:val="28"/>
        </w:rPr>
        <w:t xml:space="preserve">Risk Committee </w:t>
      </w:r>
    </w:p>
    <w:p>
      <w:pPr>
        <w:pStyle w:val="TextBody"/>
        <w:spacing w:before="40" w:after="0"/>
        <w:jc w:val="left"/>
        <w:rPr>
          <w:rFonts w:ascii="arial" w:hAnsi="arial"/>
          <w:sz w:val="20"/>
        </w:rPr>
      </w:pPr>
      <w:r>
        <w:rPr>
          <w:rFonts w:ascii="arial" w:hAnsi="arial"/>
          <w:sz w:val="20"/>
        </w:rPr>
        <w:t xml:space="preserve">The Risk Committee is responsible for assisting the Board in fulfilling its oversight responsibilities in relation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Thomson Reuters identification, assessment and management of enterprise risks, other than financial risks (which are overseen by the Audit Committee) or risks related to talent/employee matters (which are overseen by the HR Committee);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any additional matters delegated to the Risk Committee by the Board. </w:t>
            </w:r>
          </w:p>
        </w:tc>
      </w:tr>
    </w:tbl>
    <w:p>
      <w:pPr>
        <w:pStyle w:val="TextBody"/>
        <w:spacing w:before="120" w:after="0"/>
        <w:jc w:val="left"/>
        <w:rPr>
          <w:rFonts w:ascii="arial" w:hAnsi="arial"/>
          <w:sz w:val="20"/>
        </w:rPr>
      </w:pPr>
      <w:r>
        <w:rPr>
          <w:rFonts w:ascii="arial" w:hAnsi="arial"/>
          <w:sz w:val="20"/>
        </w:rPr>
        <w:t xml:space="preserve">In 2022, the Risk Committee met with senior management to review the companys controls and policies regarding risk assessment and risk management, including the steps and process taken to monitor and control risks. As part of this review, senior management presented an overview of its 2022 ERM process to the Risk Committee. The overview reflected key risks identified by management and a proposed calendar of future meetings for deep dive reviews and discussions about specific risks (at the Board or committee level). While the Risk Committee oversees and manages our companys framework policies and procedures with respect to risk identification, assessment and management, it is the responsibility of our CEO and senior management to identify, assess and manage our companys risks through the design, implementation and maintenance of our ERM program. The Risk Committees responsibilities include reviewing and approving the ERM framework on an annual basis. </w:t>
      </w:r>
    </w:p>
    <w:p>
      <w:pPr>
        <w:pStyle w:val="TextBody"/>
        <w:spacing w:before="120" w:after="0"/>
        <w:jc w:val="left"/>
        <w:rPr>
          <w:rFonts w:ascii="arial" w:hAnsi="arial"/>
          <w:sz w:val="20"/>
        </w:rPr>
      </w:pPr>
      <w:r>
        <w:rPr>
          <w:rFonts w:ascii="arial" w:hAnsi="arial"/>
          <w:sz w:val="20"/>
        </w:rPr>
        <w:t xml:space="preserve">The following table provides an overview of the Risk Committees work plan for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05"/>
        <w:gridCol w:w="121"/>
        <w:gridCol w:w="4779"/>
      </w:tblGrid>
      <w:tr>
        <w:trPr/>
        <w:tc>
          <w:tcPr>
            <w:tcW w:w="53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779"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6"/>
              </w:rPr>
            </w:pPr>
            <w:r>
              <w:rPr>
                <w:rFonts w:ascii="Arial" w:hAnsi="Arial"/>
                <w:b/>
                <w:color w:val="FFFFFF"/>
                <w:sz w:val="16"/>
              </w:rPr>
              <w:t>2022 Primary Risk Committee Activities</w:t>
            </w:r>
          </w:p>
        </w:tc>
      </w:tr>
      <w:tr>
        <w:trPr/>
        <w:tc>
          <w:tcPr>
            <w:tcW w:w="5305" w:type="dxa"/>
            <w:tcBorders>
              <w:bottom w:val="single" w:sz="2" w:space="0" w:color="B94831"/>
            </w:tcBorders>
            <w:shd w:fill="auto" w:val="clear"/>
            <w:tcMar>
              <w:bottom w:w="28" w:type="dxa"/>
            </w:tcMar>
          </w:tcPr>
          <w:p>
            <w:pPr>
              <w:pStyle w:val="TableContents"/>
              <w:spacing w:before="0" w:after="0"/>
              <w:rPr>
                <w:rFonts w:ascii="arial" w:hAnsi="arial"/>
                <w:sz w:val="16"/>
              </w:rPr>
            </w:pPr>
            <w:r>
              <w:rPr>
                <w:rFonts w:ascii="SYMBOL" w:hAnsi="SYMBOL"/>
                <w:color w:val="B94831"/>
                <w:sz w:val="12"/>
              </w:rPr>
              <w:t>·</w:t>
            </w:r>
            <w:r>
              <w:rPr>
                <w:rFonts w:ascii="arial" w:hAnsi="arial"/>
                <w:sz w:val="16"/>
              </w:rPr>
              <w:t>   Approve top 2022 ERM risks</w:t>
            </w:r>
          </w:p>
          <w:p>
            <w:pPr>
              <w:pStyle w:val="TableContents"/>
              <w:spacing w:before="0" w:after="0"/>
              <w:rPr>
                <w:rFonts w:ascii="arial" w:hAnsi="arial"/>
                <w:sz w:val="16"/>
              </w:rPr>
            </w:pPr>
            <w:r>
              <w:rPr>
                <w:rFonts w:ascii="SYMBOL" w:hAnsi="SYMBOL"/>
                <w:color w:val="B94831"/>
                <w:sz w:val="12"/>
              </w:rPr>
              <w:t>·</w:t>
            </w:r>
            <w:r>
              <w:rPr>
                <w:rFonts w:ascii="arial" w:hAnsi="arial"/>
                <w:sz w:val="16"/>
              </w:rPr>
              <w:t>   Discuss cybersecurity, data protection controls, business continuity/disaster recovery systems and other information security matters</w:t>
            </w:r>
          </w:p>
          <w:p>
            <w:pPr>
              <w:pStyle w:val="TableContents"/>
              <w:spacing w:before="0" w:after="0"/>
              <w:rPr>
                <w:rFonts w:ascii="arial" w:hAnsi="arial"/>
                <w:sz w:val="16"/>
              </w:rPr>
            </w:pPr>
            <w:r>
              <w:rPr>
                <w:rFonts w:ascii="SYMBOL" w:hAnsi="SYMBOL"/>
                <w:color w:val="B94831"/>
                <w:sz w:val="12"/>
              </w:rPr>
              <w:t>·</w:t>
            </w:r>
            <w:r>
              <w:rPr>
                <w:rFonts w:ascii="arial" w:hAnsi="arial"/>
                <w:sz w:val="16"/>
              </w:rPr>
              <w:t>   Oversee Thomson Reuters Change Program and discuss key technology and other risks related to Thomson Reuters Change Program</w:t>
            </w:r>
          </w:p>
          <w:p>
            <w:pPr>
              <w:pStyle w:val="TableContents"/>
              <w:spacing w:before="0" w:after="0"/>
              <w:rPr>
                <w:rFonts w:ascii="arial" w:hAnsi="arial"/>
                <w:sz w:val="16"/>
              </w:rPr>
            </w:pPr>
            <w:r>
              <w:rPr>
                <w:rFonts w:ascii="SYMBOL" w:hAnsi="SYMBOL"/>
                <w:color w:val="B94831"/>
                <w:sz w:val="12"/>
              </w:rPr>
              <w:t>·</w:t>
            </w:r>
            <w:r>
              <w:rPr>
                <w:rFonts w:ascii="arial" w:hAnsi="arial"/>
                <w:sz w:val="16"/>
              </w:rPr>
              <w:t>   Discuss key risks related to macroeconomic and geopolitical environment, product stability, third party issues and competitors</w:t>
            </w:r>
          </w:p>
          <w:p>
            <w:pPr>
              <w:pStyle w:val="TableContents"/>
              <w:spacing w:before="0" w:after="0"/>
              <w:rPr>
                <w:rFonts w:ascii="arial" w:hAnsi="arial"/>
                <w:sz w:val="16"/>
              </w:rPr>
            </w:pPr>
            <w:r>
              <w:rPr>
                <w:rFonts w:ascii="SYMBOL" w:hAnsi="SYMBOL"/>
                <w:color w:val="B94831"/>
                <w:sz w:val="12"/>
              </w:rPr>
              <w:t>·</w:t>
            </w:r>
            <w:r>
              <w:rPr>
                <w:rFonts w:ascii="arial" w:hAnsi="arial"/>
                <w:sz w:val="16"/>
              </w:rPr>
              <w:t>   Discuss key risks and business matters related to the companys Risk, Fraud and Compliance businesses</w:t>
            </w:r>
          </w:p>
          <w:p>
            <w:pPr>
              <w:pStyle w:val="TableContents"/>
              <w:spacing w:before="0" w:after="0"/>
              <w:rPr>
                <w:rFonts w:ascii="arial" w:hAnsi="arial"/>
                <w:sz w:val="16"/>
              </w:rPr>
            </w:pPr>
            <w:r>
              <w:rPr>
                <w:rFonts w:ascii="SYMBOL" w:hAnsi="SYMBOL"/>
                <w:color w:val="B94831"/>
                <w:sz w:val="12"/>
              </w:rPr>
              <w:t>·</w:t>
            </w:r>
            <w:r>
              <w:rPr>
                <w:rFonts w:ascii="arial" w:hAnsi="arial"/>
                <w:sz w:val="16"/>
              </w:rPr>
              <w:t>   Discuss legal and regulatory compliance risks that are not overseen by the Audit Committee</w:t>
            </w:r>
          </w:p>
          <w:p>
            <w:pPr>
              <w:pStyle w:val="TableContents"/>
              <w:spacing w:before="0" w:after="0"/>
              <w:rPr>
                <w:rFonts w:ascii="arial" w:hAnsi="arial"/>
                <w:sz w:val="16"/>
              </w:rPr>
            </w:pPr>
            <w:r>
              <w:rPr>
                <w:rFonts w:ascii="SYMBOL" w:hAnsi="SYMBOL"/>
                <w:color w:val="B94831"/>
                <w:sz w:val="12"/>
              </w:rPr>
              <w:t>·</w:t>
            </w:r>
            <w:r>
              <w:rPr>
                <w:rFonts w:ascii="arial" w:hAnsi="arial"/>
                <w:sz w:val="16"/>
              </w:rPr>
              <w:t>   Discuss cybersecurity and risk oversight disclosure</w:t>
            </w:r>
          </w:p>
          <w:p>
            <w:pPr>
              <w:pStyle w:val="TableContents"/>
              <w:spacing w:before="0" w:after="20"/>
              <w:rPr>
                <w:rFonts w:ascii="arial" w:hAnsi="arial"/>
                <w:sz w:val="16"/>
              </w:rPr>
            </w:pPr>
            <w:r>
              <w:rPr>
                <w:rFonts w:ascii="SYMBOL" w:hAnsi="SYMBOL"/>
                <w:color w:val="B94831"/>
                <w:sz w:val="12"/>
              </w:rPr>
              <w:t>·</w:t>
            </w:r>
            <w:r>
              <w:rPr>
                <w:rFonts w:ascii="arial" w:hAnsi="arial"/>
                <w:sz w:val="16"/>
              </w:rPr>
              <w:t>   Approve 2023 ERM framework</w:t>
            </w:r>
          </w:p>
        </w:tc>
        <w:tc>
          <w:tcPr>
            <w:tcW w:w="121" w:type="dxa"/>
            <w:tcBorders>
              <w:bottom w:val="single" w:sz="2" w:space="0" w:color="B94831"/>
            </w:tcBorders>
            <w:shd w:fill="auto" w:val="clear"/>
            <w:tcMar>
              <w:bottom w:w="28" w:type="dxa"/>
            </w:tcMar>
            <w:vAlign w:val="bottom"/>
          </w:tcPr>
          <w:p>
            <w:pPr>
              <w:pStyle w:val="TableContents"/>
              <w:spacing w:before="0" w:after="283"/>
              <w:rPr/>
            </w:pPr>
            <w:r>
              <w:rPr/>
              <w:t>  </w:t>
            </w:r>
          </w:p>
        </w:tc>
        <w:tc>
          <w:tcPr>
            <w:tcW w:w="4779" w:type="dxa"/>
            <w:tcBorders>
              <w:bottom w:val="single" w:sz="2"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Periodically</w:t>
            </w:r>
          </w:p>
          <w:p>
            <w:pPr>
              <w:pStyle w:val="TableContents"/>
              <w:spacing w:before="0" w:after="0"/>
              <w:rPr>
                <w:rFonts w:ascii="arial" w:hAnsi="arial"/>
                <w:sz w:val="16"/>
              </w:rPr>
            </w:pPr>
            <w:r>
              <w:rPr>
                <w:rFonts w:ascii="SYMBOL" w:hAnsi="SYMBOL"/>
                <w:color w:val="B94831"/>
                <w:sz w:val="12"/>
              </w:rPr>
              <w:t>·</w:t>
            </w:r>
            <w:r>
              <w:rPr>
                <w:rFonts w:ascii="arial" w:hAnsi="arial"/>
                <w:sz w:val="16"/>
              </w:rPr>
              <w:t>   Table-top exercises on topics such as cybersecurity</w:t>
            </w:r>
          </w:p>
          <w:p>
            <w:pPr>
              <w:pStyle w:val="TableContents"/>
              <w:spacing w:before="0" w:after="0"/>
              <w:rPr>
                <w:rFonts w:ascii="arial" w:hAnsi="arial"/>
                <w:sz w:val="16"/>
              </w:rPr>
            </w:pPr>
            <w:r>
              <w:rPr>
                <w:rFonts w:ascii="SYMBOL" w:hAnsi="SYMBOL"/>
                <w:color w:val="B94831"/>
                <w:sz w:val="12"/>
              </w:rPr>
              <w:t>·</w:t>
            </w:r>
            <w:r>
              <w:rPr>
                <w:rFonts w:ascii="arial" w:hAnsi="arial"/>
                <w:sz w:val="16"/>
              </w:rPr>
              <w:t>   Deep dives on selected risk topics</w:t>
            </w:r>
          </w:p>
          <w:p>
            <w:pPr>
              <w:pStyle w:val="TableContents"/>
              <w:spacing w:before="0" w:after="20"/>
              <w:rPr>
                <w:rFonts w:ascii="arial" w:hAnsi="arial"/>
                <w:sz w:val="16"/>
              </w:rPr>
            </w:pPr>
            <w:r>
              <w:rPr>
                <w:rFonts w:ascii="SYMBOL" w:hAnsi="SYMBOL"/>
                <w:color w:val="B94831"/>
                <w:sz w:val="12"/>
              </w:rPr>
              <w:t>·</w:t>
            </w:r>
            <w:r>
              <w:rPr>
                <w:rFonts w:ascii="arial" w:hAnsi="arial"/>
                <w:sz w:val="16"/>
              </w:rPr>
              <w:t>   Discuss reputational risks, other than those related to compliance with the Thomson Reuters Trust Principles, which are overseen by the Corporate Governance Committee</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27" w:name="tx494196_31"/>
      <w:bookmarkEnd w:id="27"/>
      <w:r>
        <w:rPr>
          <w:rFonts w:ascii="Arial" w:hAnsi="Arial"/>
          <w:b/>
          <w:sz w:val="28"/>
        </w:rPr>
        <w:t xml:space="preserve">Joint Audit Committee and Risk Committee Meetings </w:t>
      </w:r>
    </w:p>
    <w:p>
      <w:pPr>
        <w:pStyle w:val="TextBody"/>
        <w:spacing w:before="40" w:after="0"/>
        <w:jc w:val="left"/>
        <w:rPr>
          <w:rFonts w:ascii="arial" w:hAnsi="arial"/>
          <w:sz w:val="20"/>
        </w:rPr>
      </w:pPr>
      <w:r>
        <w:rPr>
          <w:rFonts w:ascii="arial" w:hAnsi="arial"/>
          <w:sz w:val="20"/>
        </w:rPr>
        <w:t xml:space="preserve">As part of the Boards risk assessment and risk management oversight, the Audit Committee and the Risk Committee met jointly in March 2022 and November 2022 to discuss topics of interest to each committee. These meetings were held after one committee ended its own scheduled meeting, and prior to the start of the other committees own scheduled meeting. The joint committee meetings were co-chaired by Barry Salzberg (Audit Committee Chair) and Kirk Arnold (Risk Committee Chair). </w:t>
      </w:r>
    </w:p>
    <w:p>
      <w:pPr>
        <w:pStyle w:val="TextBody"/>
        <w:spacing w:before="120" w:after="0"/>
        <w:jc w:val="left"/>
        <w:rPr>
          <w:rFonts w:ascii="arial" w:hAnsi="arial"/>
          <w:sz w:val="20"/>
        </w:rPr>
      </w:pPr>
      <w:r>
        <w:rPr>
          <w:rFonts w:ascii="arial" w:hAnsi="arial"/>
          <w:sz w:val="20"/>
        </w:rPr>
        <w:t xml:space="preserve">The topics discussed by the joint committees were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Review of the 2022 internal audit work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Review of Risk Factors disclosure for the annual report and general review of the risk assessment process;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Review of the companys enterprise lead-to-cash program.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28" w:name="tx494196_32"/>
      <w:bookmarkEnd w:id="28"/>
      <w:r>
        <w:rPr>
          <w:rFonts w:ascii="arial" w:hAnsi="arial"/>
          <w:color w:val="B94831"/>
          <w:sz w:val="52"/>
        </w:rPr>
        <w:t xml:space="preserve">About Our Independent Auditor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30"/>
        </w:rPr>
      </w:pPr>
      <w:r>
        <w:rPr>
          <w:rFonts w:ascii="arial" w:hAnsi="arial"/>
          <w:color w:val="B94831"/>
          <w:sz w:val="30"/>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rFonts w:ascii="SYMBOL" w:hAnsi="SYMBOL"/>
                <w:color w:val="B94831"/>
                <w:sz w:val="12"/>
              </w:rPr>
              <w:t>·</w:t>
            </w: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We are proposing to re-appoint PricewaterhouseCoopers LLP (U.S.) as our independent auditor for another year until the 2024 annual meeting of shareholders.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unanimously recommends that PricewaterhouseCoopers LLP (U.S.) be appointed as the auditor of our company, to hold office until the next annual meeting of shareholders. It is also recommended that the Board be authorized to fix the remuneration of PricewaterhouseCoopers LLP (U.S.). </w:t>
      </w:r>
    </w:p>
    <w:p>
      <w:pPr>
        <w:pStyle w:val="TextBody"/>
        <w:spacing w:before="240" w:after="0"/>
        <w:jc w:val="left"/>
        <w:rPr>
          <w:rFonts w:ascii="arial" w:hAnsi="arial"/>
          <w:sz w:val="20"/>
        </w:rPr>
      </w:pPr>
      <w:r>
        <w:rPr>
          <w:rFonts w:ascii="arial" w:hAnsi="arial"/>
          <w:sz w:val="20"/>
        </w:rPr>
        <w:t xml:space="preserve">The following table sets forth fees related to services rendered by PricewaterhouseCoopers LLP and its affiliates in 2022 and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059"/>
        <w:gridCol w:w="163"/>
        <w:gridCol w:w="155"/>
        <w:gridCol w:w="567"/>
        <w:gridCol w:w="119"/>
        <w:gridCol w:w="238"/>
        <w:gridCol w:w="140"/>
        <w:gridCol w:w="567"/>
        <w:gridCol w:w="197"/>
      </w:tblGrid>
      <w:tr>
        <w:trPr/>
        <w:tc>
          <w:tcPr>
            <w:tcW w:w="805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8059" w:type="dxa"/>
            <w:tcBorders/>
            <w:shd w:fill="262626" w:val="clear"/>
            <w:vAlign w:val="center"/>
          </w:tcPr>
          <w:p>
            <w:pPr>
              <w:pStyle w:val="TableContents"/>
              <w:spacing w:before="0" w:after="283"/>
              <w:rPr>
                <w:sz w:val="4"/>
                <w:szCs w:val="4"/>
              </w:rPr>
            </w:pPr>
            <w:r>
              <w:rPr>
                <w:sz w:val="4"/>
                <w:szCs w:val="4"/>
              </w:rPr>
            </w:r>
          </w:p>
        </w:tc>
        <w:tc>
          <w:tcPr>
            <w:tcW w:w="1004" w:type="dxa"/>
            <w:gridSpan w:val="4"/>
            <w:tcBorders/>
            <w:shd w:fill="262626" w:val="clear"/>
            <w:vAlign w:val="center"/>
          </w:tcPr>
          <w:p>
            <w:pPr>
              <w:pStyle w:val="TableContents"/>
              <w:spacing w:before="0" w:after="283"/>
              <w:rPr>
                <w:sz w:val="4"/>
                <w:szCs w:val="4"/>
              </w:rPr>
            </w:pPr>
            <w:r>
              <w:rPr>
                <w:sz w:val="4"/>
                <w:szCs w:val="4"/>
              </w:rPr>
            </w:r>
          </w:p>
        </w:tc>
        <w:tc>
          <w:tcPr>
            <w:tcW w:w="1142" w:type="dxa"/>
            <w:gridSpan w:val="4"/>
            <w:tcBorders/>
            <w:shd w:fill="262626" w:val="clear"/>
            <w:vAlign w:val="center"/>
          </w:tcPr>
          <w:p>
            <w:pPr>
              <w:pStyle w:val="TableContents"/>
              <w:spacing w:before="0" w:after="283"/>
              <w:rPr>
                <w:sz w:val="4"/>
                <w:szCs w:val="4"/>
              </w:rPr>
            </w:pPr>
            <w:r>
              <w:rPr>
                <w:sz w:val="4"/>
                <w:szCs w:val="4"/>
              </w:rPr>
            </w:r>
          </w:p>
        </w:tc>
      </w:tr>
      <w:tr>
        <w:trPr/>
        <w:tc>
          <w:tcPr>
            <w:tcW w:w="8059" w:type="dxa"/>
            <w:tcBorders>
              <w:bottom w:val="single" w:sz="8" w:space="0" w:color="B94831"/>
            </w:tcBorders>
            <w:shd w:fill="262626" w:val="clear"/>
            <w:tcMar>
              <w:bottom w:w="28" w:type="dxa"/>
            </w:tcMar>
            <w:vAlign w:val="bottom"/>
          </w:tcPr>
          <w:p>
            <w:pPr>
              <w:pStyle w:val="TableContents"/>
              <w:spacing w:before="0" w:after="0"/>
              <w:rPr>
                <w:rFonts w:ascii="Arial" w:hAnsi="Arial"/>
                <w:b/>
                <w:color w:val="FFFFFF"/>
                <w:sz w:val="16"/>
              </w:rPr>
            </w:pPr>
            <w:r>
              <w:rPr>
                <w:rFonts w:ascii="Arial" w:hAnsi="Arial"/>
                <w:b/>
                <w:color w:val="FFFFFF"/>
                <w:sz w:val="16"/>
              </w:rPr>
              <w:t>(in millions of U.S. dollars)</w:t>
            </w:r>
          </w:p>
        </w:tc>
        <w:tc>
          <w:tcPr>
            <w:tcW w:w="163" w:type="dxa"/>
            <w:tcBorders>
              <w:bottom w:val="single" w:sz="8" w:space="0" w:color="B94831"/>
            </w:tcBorders>
            <w:shd w:fill="262626" w:val="clear"/>
            <w:tcMar>
              <w:bottom w:w="28" w:type="dxa"/>
            </w:tcMar>
            <w:vAlign w:val="bottom"/>
          </w:tcPr>
          <w:p>
            <w:pPr>
              <w:pStyle w:val="TableContents"/>
              <w:spacing w:before="0" w:after="283"/>
              <w:rPr/>
            </w:pPr>
            <w:r>
              <w:rPr/>
              <w:t>  </w:t>
            </w:r>
          </w:p>
        </w:tc>
        <w:tc>
          <w:tcPr>
            <w:tcW w:w="155"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7"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w:t>
            </w:r>
          </w:p>
        </w:tc>
        <w:tc>
          <w:tcPr>
            <w:tcW w:w="119"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238" w:type="dxa"/>
            <w:tcBorders>
              <w:bottom w:val="single" w:sz="8"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7"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2021</w:t>
            </w:r>
          </w:p>
        </w:tc>
        <w:tc>
          <w:tcPr>
            <w:tcW w:w="197"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r>
      <w:tr>
        <w:trPr/>
        <w:tc>
          <w:tcPr>
            <w:tcW w:w="80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Audit fees</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rFonts w:ascii="Arial" w:hAnsi="Arial"/>
                <w:b/>
              </w:rPr>
            </w:pPr>
            <w:r>
              <w:rPr>
                <w:rFonts w:ascii="Arial" w:hAnsi="Arial"/>
                <w:b/>
              </w:rPr>
              <w:t>$</w:t>
            </w:r>
          </w:p>
        </w:tc>
        <w:tc>
          <w:tcPr>
            <w:tcW w:w="567" w:type="dxa"/>
            <w:tcBorders>
              <w:bottom w:val="single" w:sz="2" w:space="0" w:color="AFAFAF"/>
            </w:tcBorders>
            <w:shd w:fill="auto" w:val="clear"/>
            <w:tcMar>
              <w:bottom w:w="28" w:type="dxa"/>
            </w:tcMar>
            <w:vAlign w:val="bottom"/>
          </w:tcPr>
          <w:p>
            <w:pPr>
              <w:pStyle w:val="TableContents"/>
              <w:spacing w:before="0" w:after="283"/>
              <w:jc w:val="right"/>
              <w:rPr>
                <w:rFonts w:ascii="Arial" w:hAnsi="Arial"/>
                <w:b/>
              </w:rPr>
            </w:pPr>
            <w:r>
              <w:rPr>
                <w:rFonts w:ascii="Arial" w:hAnsi="Arial"/>
                <w:b/>
              </w:rPr>
              <w:t>11.9</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238"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28" w:type="dxa"/>
            </w:tcMar>
            <w:vAlign w:val="bottom"/>
          </w:tcPr>
          <w:p>
            <w:pPr>
              <w:pStyle w:val="TableContents"/>
              <w:spacing w:before="0" w:after="283"/>
              <w:rPr/>
            </w:pPr>
            <w:r>
              <w:rPr/>
              <w:t>$</w:t>
            </w:r>
          </w:p>
        </w:tc>
        <w:tc>
          <w:tcPr>
            <w:tcW w:w="567" w:type="dxa"/>
            <w:tcBorders>
              <w:bottom w:val="single" w:sz="2" w:space="0" w:color="AFAFAF"/>
            </w:tcBorders>
            <w:shd w:fill="auto" w:val="clear"/>
            <w:tcMar>
              <w:bottom w:w="28" w:type="dxa"/>
            </w:tcMar>
            <w:vAlign w:val="bottom"/>
          </w:tcPr>
          <w:p>
            <w:pPr>
              <w:pStyle w:val="TableContents"/>
              <w:spacing w:before="0" w:after="283"/>
              <w:jc w:val="right"/>
              <w:rPr/>
            </w:pPr>
            <w:r>
              <w:rPr/>
              <w:t>11.5</w:t>
            </w:r>
          </w:p>
        </w:tc>
        <w:tc>
          <w:tcPr>
            <w:tcW w:w="19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80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Audit-related fees</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pPr>
            <w:r>
              <w:rPr/>
              <w:t> </w:t>
            </w:r>
          </w:p>
        </w:tc>
        <w:tc>
          <w:tcPr>
            <w:tcW w:w="567" w:type="dxa"/>
            <w:tcBorders>
              <w:bottom w:val="single" w:sz="2" w:space="0" w:color="AFAFAF"/>
            </w:tcBorders>
            <w:shd w:fill="auto" w:val="clear"/>
            <w:tcMar>
              <w:bottom w:w="28" w:type="dxa"/>
            </w:tcMar>
            <w:vAlign w:val="bottom"/>
          </w:tcPr>
          <w:p>
            <w:pPr>
              <w:pStyle w:val="TableContents"/>
              <w:spacing w:before="0" w:after="283"/>
              <w:jc w:val="right"/>
              <w:rPr>
                <w:rFonts w:ascii="Arial" w:hAnsi="Arial"/>
                <w:b/>
              </w:rPr>
            </w:pPr>
            <w:r>
              <w:rPr>
                <w:rFonts w:ascii="Arial" w:hAnsi="Arial"/>
                <w:b/>
              </w:rPr>
              <w:t>2.0</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238"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28" w:type="dxa"/>
            </w:tcMar>
            <w:vAlign w:val="bottom"/>
          </w:tcPr>
          <w:p>
            <w:pPr>
              <w:pStyle w:val="TableContents"/>
              <w:spacing w:before="0" w:after="283"/>
              <w:rPr/>
            </w:pPr>
            <w:r>
              <w:rPr/>
              <w:t> </w:t>
            </w:r>
          </w:p>
        </w:tc>
        <w:tc>
          <w:tcPr>
            <w:tcW w:w="567" w:type="dxa"/>
            <w:tcBorders>
              <w:bottom w:val="single" w:sz="2" w:space="0" w:color="AFAFAF"/>
            </w:tcBorders>
            <w:shd w:fill="auto" w:val="clear"/>
            <w:tcMar>
              <w:bottom w:w="28" w:type="dxa"/>
            </w:tcMar>
            <w:vAlign w:val="bottom"/>
          </w:tcPr>
          <w:p>
            <w:pPr>
              <w:pStyle w:val="TableContents"/>
              <w:spacing w:before="0" w:after="283"/>
              <w:jc w:val="right"/>
              <w:rPr/>
            </w:pPr>
            <w:r>
              <w:rPr/>
              <w:t>1.3</w:t>
            </w:r>
          </w:p>
        </w:tc>
        <w:tc>
          <w:tcPr>
            <w:tcW w:w="19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80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Tax fees</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pPr>
            <w:r>
              <w:rPr/>
              <w:t> </w:t>
            </w:r>
          </w:p>
        </w:tc>
        <w:tc>
          <w:tcPr>
            <w:tcW w:w="567" w:type="dxa"/>
            <w:tcBorders>
              <w:bottom w:val="single" w:sz="2" w:space="0" w:color="AFAFAF"/>
            </w:tcBorders>
            <w:shd w:fill="auto" w:val="clear"/>
            <w:tcMar>
              <w:bottom w:w="28" w:type="dxa"/>
            </w:tcMar>
            <w:vAlign w:val="bottom"/>
          </w:tcPr>
          <w:p>
            <w:pPr>
              <w:pStyle w:val="TableContents"/>
              <w:spacing w:before="0" w:after="283"/>
              <w:jc w:val="right"/>
              <w:rPr>
                <w:rFonts w:ascii="Arial" w:hAnsi="Arial"/>
                <w:b/>
              </w:rPr>
            </w:pPr>
            <w:r>
              <w:rPr>
                <w:rFonts w:ascii="Arial" w:hAnsi="Arial"/>
                <w:b/>
              </w:rPr>
              <w:t>1.3</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238"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28" w:type="dxa"/>
            </w:tcMar>
            <w:vAlign w:val="bottom"/>
          </w:tcPr>
          <w:p>
            <w:pPr>
              <w:pStyle w:val="TableContents"/>
              <w:spacing w:before="0" w:after="283"/>
              <w:rPr/>
            </w:pPr>
            <w:r>
              <w:rPr/>
              <w:t> </w:t>
            </w:r>
          </w:p>
        </w:tc>
        <w:tc>
          <w:tcPr>
            <w:tcW w:w="567" w:type="dxa"/>
            <w:tcBorders>
              <w:bottom w:val="single" w:sz="2" w:space="0" w:color="AFAFAF"/>
            </w:tcBorders>
            <w:shd w:fill="auto" w:val="clear"/>
            <w:tcMar>
              <w:bottom w:w="28" w:type="dxa"/>
            </w:tcMar>
            <w:vAlign w:val="bottom"/>
          </w:tcPr>
          <w:p>
            <w:pPr>
              <w:pStyle w:val="TableContents"/>
              <w:spacing w:before="0" w:after="283"/>
              <w:jc w:val="right"/>
              <w:rPr/>
            </w:pPr>
            <w:r>
              <w:rPr/>
              <w:t>2.5</w:t>
            </w:r>
          </w:p>
        </w:tc>
        <w:tc>
          <w:tcPr>
            <w:tcW w:w="19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805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All other fees</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567" w:type="dxa"/>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w:t>
            </w:r>
          </w:p>
        </w:tc>
        <w:tc>
          <w:tcPr>
            <w:tcW w:w="119" w:type="dxa"/>
            <w:tcBorders>
              <w:bottom w:val="single" w:sz="8" w:space="0" w:color="B94831"/>
            </w:tcBorders>
            <w:shd w:fill="auto" w:val="clear"/>
            <w:tcMar>
              <w:bottom w:w="28" w:type="dxa"/>
            </w:tcMar>
            <w:vAlign w:val="bottom"/>
          </w:tcPr>
          <w:p>
            <w:pPr>
              <w:pStyle w:val="TableContents"/>
              <w:spacing w:before="0" w:after="283"/>
              <w:rPr/>
            </w:pPr>
            <w:r>
              <w:rPr/>
              <w:t> </w:t>
            </w:r>
          </w:p>
        </w:tc>
        <w:tc>
          <w:tcPr>
            <w:tcW w:w="238"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28" w:type="dxa"/>
            </w:tcMar>
            <w:vAlign w:val="bottom"/>
          </w:tcPr>
          <w:p>
            <w:pPr>
              <w:pStyle w:val="TableContents"/>
              <w:spacing w:before="0" w:after="283"/>
              <w:rPr/>
            </w:pPr>
            <w:r>
              <w:rPr/>
              <w:t> </w:t>
            </w:r>
          </w:p>
        </w:tc>
        <w:tc>
          <w:tcPr>
            <w:tcW w:w="567"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197"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805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rFonts w:ascii="Arial" w:hAnsi="Arial"/>
                <w:b/>
              </w:rPr>
            </w:pPr>
            <w:r>
              <w:rPr>
                <w:rFonts w:ascii="Arial" w:hAnsi="Arial"/>
                <w:b/>
              </w:rPr>
              <w:t>$</w:t>
            </w:r>
          </w:p>
        </w:tc>
        <w:tc>
          <w:tcPr>
            <w:tcW w:w="567" w:type="dxa"/>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15.2</w:t>
            </w:r>
          </w:p>
        </w:tc>
        <w:tc>
          <w:tcPr>
            <w:tcW w:w="119" w:type="dxa"/>
            <w:tcBorders>
              <w:bottom w:val="single" w:sz="8" w:space="0" w:color="B94831"/>
            </w:tcBorders>
            <w:shd w:fill="auto" w:val="clear"/>
            <w:tcMar>
              <w:bottom w:w="28" w:type="dxa"/>
            </w:tcMar>
            <w:vAlign w:val="bottom"/>
          </w:tcPr>
          <w:p>
            <w:pPr>
              <w:pStyle w:val="TableContents"/>
              <w:spacing w:before="0" w:after="283"/>
              <w:rPr/>
            </w:pPr>
            <w:r>
              <w:rPr/>
              <w:t> </w:t>
            </w:r>
          </w:p>
        </w:tc>
        <w:tc>
          <w:tcPr>
            <w:tcW w:w="238"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28" w:type="dxa"/>
            </w:tcMar>
            <w:vAlign w:val="bottom"/>
          </w:tcPr>
          <w:p>
            <w:pPr>
              <w:pStyle w:val="TableContents"/>
              <w:spacing w:before="0" w:after="283"/>
              <w:rPr/>
            </w:pPr>
            <w:r>
              <w:rPr/>
              <w:t>$</w:t>
            </w:r>
          </w:p>
        </w:tc>
        <w:tc>
          <w:tcPr>
            <w:tcW w:w="567" w:type="dxa"/>
            <w:tcBorders>
              <w:bottom w:val="single" w:sz="8" w:space="0" w:color="B94831"/>
            </w:tcBorders>
            <w:shd w:fill="auto" w:val="clear"/>
            <w:tcMar>
              <w:bottom w:w="28" w:type="dxa"/>
            </w:tcMar>
            <w:vAlign w:val="bottom"/>
          </w:tcPr>
          <w:p>
            <w:pPr>
              <w:pStyle w:val="TableContents"/>
              <w:spacing w:before="0" w:after="283"/>
              <w:jc w:val="right"/>
              <w:rPr/>
            </w:pPr>
            <w:r>
              <w:rPr/>
              <w:t>15.3</w:t>
            </w:r>
          </w:p>
        </w:tc>
        <w:tc>
          <w:tcPr>
            <w:tcW w:w="197"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The following are descriptions of fees for services rendered by PricewaterhouseCoopers LLP in 2022 and 2021. </w:t>
      </w:r>
    </w:p>
    <w:p>
      <w:pPr>
        <w:pStyle w:val="TextBody"/>
        <w:spacing w:before="120" w:after="0"/>
        <w:jc w:val="left"/>
        <w:rPr>
          <w:rFonts w:ascii="arial" w:hAnsi="arial"/>
          <w:color w:val="B94831"/>
          <w:sz w:val="28"/>
        </w:rPr>
      </w:pPr>
      <w:r>
        <w:rPr>
          <w:rFonts w:ascii="arial" w:hAnsi="arial"/>
          <w:color w:val="B94831"/>
          <w:sz w:val="28"/>
        </w:rPr>
        <w:t xml:space="preserve">Audit Fees </w:t>
      </w:r>
    </w:p>
    <w:p>
      <w:pPr>
        <w:pStyle w:val="TextBody"/>
        <w:spacing w:before="40" w:after="0"/>
        <w:jc w:val="left"/>
        <w:rPr>
          <w:rFonts w:ascii="arial" w:hAnsi="arial"/>
          <w:sz w:val="20"/>
        </w:rPr>
      </w:pPr>
      <w:r>
        <w:rPr>
          <w:rFonts w:ascii="arial" w:hAnsi="arial"/>
          <w:sz w:val="20"/>
        </w:rPr>
        <w:t xml:space="preserve">These audit fees were for professional services rendered for the audits of consolidated financial statements, reviews of interim financial statements included in periodic reports, audits related to internal control over financial reporting, statutory audits and services that generally only the independent auditor can reasonably provide, such as comfort letters and consents. These services included French translations of our financial statements, MD&amp;A and financial information included in our interim and annual filings and prospectuses and other offering documents. </w:t>
      </w:r>
    </w:p>
    <w:p>
      <w:pPr>
        <w:pStyle w:val="TextBody"/>
        <w:spacing w:before="120" w:after="0"/>
        <w:jc w:val="left"/>
        <w:rPr>
          <w:rFonts w:ascii="arial" w:hAnsi="arial"/>
          <w:color w:val="B94831"/>
          <w:sz w:val="28"/>
        </w:rPr>
      </w:pPr>
      <w:r>
        <w:rPr>
          <w:rFonts w:ascii="arial" w:hAnsi="arial"/>
          <w:color w:val="B94831"/>
          <w:sz w:val="28"/>
        </w:rPr>
        <w:t xml:space="preserve">Audit-related Fees </w:t>
      </w:r>
    </w:p>
    <w:p>
      <w:pPr>
        <w:pStyle w:val="TextBody"/>
        <w:spacing w:before="40" w:after="0"/>
        <w:jc w:val="left"/>
        <w:rPr>
          <w:rFonts w:ascii="arial" w:hAnsi="arial"/>
          <w:sz w:val="20"/>
        </w:rPr>
      </w:pPr>
      <w:r>
        <w:rPr>
          <w:rFonts w:ascii="arial" w:hAnsi="arial"/>
          <w:sz w:val="20"/>
        </w:rPr>
        <w:t xml:space="preserve">These audit-related fees were for assurance and related services that are reasonably related to the performance of the audit or review of the financial statements and are not reported under the audit fees category above. These services included transaction due diligence, system pre-post implementation reviews, other attestation engagements, licensing of technical research material, audits of various employee benefit plans and agreed-upon procedures principally related to executive compensation reporting. </w:t>
      </w:r>
    </w:p>
    <w:p>
      <w:pPr>
        <w:pStyle w:val="TextBody"/>
        <w:spacing w:before="120" w:after="0"/>
        <w:jc w:val="left"/>
        <w:rPr>
          <w:rFonts w:ascii="arial" w:hAnsi="arial"/>
          <w:color w:val="B94831"/>
          <w:sz w:val="28"/>
        </w:rPr>
      </w:pPr>
      <w:r>
        <w:rPr>
          <w:rFonts w:ascii="arial" w:hAnsi="arial"/>
          <w:color w:val="B94831"/>
          <w:sz w:val="28"/>
        </w:rPr>
        <w:t xml:space="preserve">Tax Fees </w:t>
      </w:r>
    </w:p>
    <w:p>
      <w:pPr>
        <w:pStyle w:val="TextBody"/>
        <w:spacing w:before="40" w:after="0"/>
        <w:jc w:val="left"/>
        <w:rPr>
          <w:rFonts w:ascii="arial" w:hAnsi="arial"/>
          <w:sz w:val="20"/>
        </w:rPr>
      </w:pPr>
      <w:r>
        <w:rPr>
          <w:rFonts w:ascii="arial" w:hAnsi="arial"/>
          <w:sz w:val="20"/>
        </w:rPr>
        <w:t xml:space="preserve">Tax fees were for tax compliance, tax advice and tax planning. These services included the preparation and review of corporate tax returns, assistance with tax audits and transfer pricing matters, advisory services relating to federal, state, provincial and international tax compliance, and restructurings, mergers and acquisitions and divestitures. </w:t>
      </w:r>
    </w:p>
    <w:p>
      <w:pPr>
        <w:pStyle w:val="TextBody"/>
        <w:spacing w:before="120" w:after="0"/>
        <w:jc w:val="left"/>
        <w:rPr>
          <w:rFonts w:ascii="arial" w:hAnsi="arial"/>
          <w:color w:val="B94831"/>
          <w:sz w:val="28"/>
        </w:rPr>
      </w:pPr>
      <w:r>
        <w:rPr>
          <w:rFonts w:ascii="arial" w:hAnsi="arial"/>
          <w:color w:val="B94831"/>
          <w:sz w:val="28"/>
        </w:rPr>
        <w:t xml:space="preserve">All Other Fees </w:t>
      </w:r>
    </w:p>
    <w:p>
      <w:pPr>
        <w:pStyle w:val="TextBody"/>
        <w:spacing w:before="40" w:after="0"/>
        <w:jc w:val="left"/>
        <w:rPr>
          <w:rFonts w:ascii="arial" w:hAnsi="arial"/>
          <w:sz w:val="20"/>
        </w:rPr>
      </w:pPr>
      <w:r>
        <w:rPr>
          <w:rFonts w:ascii="arial" w:hAnsi="arial"/>
          <w:sz w:val="20"/>
        </w:rPr>
        <w:t xml:space="preserve">Fees disclosed in the tables above under the item all other fees were for services other than the audit fees, audit-related fees and tax fees described above. </w:t>
      </w:r>
    </w:p>
    <w:p>
      <w:pPr>
        <w:pStyle w:val="TextBody"/>
        <w:spacing w:before="120" w:after="0"/>
        <w:jc w:val="left"/>
        <w:rPr>
          <w:rFonts w:ascii="arial" w:hAnsi="arial"/>
          <w:color w:val="B94831"/>
          <w:sz w:val="28"/>
        </w:rPr>
      </w:pPr>
      <w:r>
        <w:rPr>
          <w:rFonts w:ascii="arial" w:hAnsi="arial"/>
          <w:color w:val="B94831"/>
          <w:sz w:val="28"/>
        </w:rPr>
        <w:t xml:space="preserve">Pre-approval Policies and Procedures </w:t>
      </w:r>
    </w:p>
    <w:p>
      <w:pPr>
        <w:pStyle w:val="TextBody"/>
        <w:spacing w:before="40" w:after="0"/>
        <w:jc w:val="left"/>
        <w:rPr>
          <w:rFonts w:ascii="arial" w:hAnsi="arial"/>
          <w:sz w:val="20"/>
        </w:rPr>
      </w:pPr>
      <w:r>
        <w:rPr>
          <w:rFonts w:ascii="arial" w:hAnsi="arial"/>
          <w:sz w:val="20"/>
        </w:rPr>
        <w:t xml:space="preserve">Information regarding our policy regarding pre-approval of all audit and permissible non-audit services is set forth in the corporate governance disclosure included earlier in this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29" w:name="tx494196_33"/>
      <w:bookmarkEnd w:id="29"/>
      <w:r>
        <w:rPr>
          <w:rFonts w:ascii="arial" w:hAnsi="arial"/>
          <w:color w:val="B94831"/>
          <w:sz w:val="52"/>
        </w:rPr>
        <w:t xml:space="preserve">Stakeholder Engagement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30"/>
        </w:rPr>
      </w:pPr>
      <w:r>
        <w:rPr>
          <w:rFonts w:ascii="arial" w:hAnsi="arial"/>
          <w:color w:val="B94831"/>
          <w:sz w:val="30"/>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rFonts w:ascii="SYMBOL" w:hAnsi="SYMBOL"/>
                <w:color w:val="B94831"/>
                <w:sz w:val="12"/>
              </w:rPr>
              <w:t>·</w:t>
            </w: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We actively engage with our stakeholders throughout the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rFonts w:ascii="SYMBOL" w:hAnsi="SYMBOL"/>
                <w:color w:val="B94831"/>
                <w:sz w:val="12"/>
              </w:rPr>
              <w:t>·</w:t>
            </w: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We welcome feedback and input from our stakeholders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Thomson Reuters actively engages with its stakeholders on a variety of topics,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Corporate/growth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Corporate governance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Executive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Human capital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Diversity and inclusion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Other ESG-related topics (as discussed further on the next page of this circular) </w:t>
            </w:r>
          </w:p>
        </w:tc>
      </w:tr>
    </w:tbl>
    <w:p>
      <w:pPr>
        <w:pStyle w:val="TextBody"/>
        <w:spacing w:before="120" w:after="0"/>
        <w:jc w:val="left"/>
        <w:rPr>
          <w:rFonts w:ascii="arial" w:hAnsi="arial"/>
          <w:sz w:val="20"/>
        </w:rPr>
      </w:pPr>
      <w:r>
        <w:rPr>
          <w:rFonts w:ascii="arial" w:hAnsi="arial"/>
          <w:sz w:val="20"/>
        </w:rPr>
        <w:t xml:space="preserve">In 2022, stakeholder engagement was conducted by different leaders and groups across our company,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Investor Relations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Our CEO and CFO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Our Chief Communications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Our Chief Legal Officer and Company Secretary </w:t>
            </w:r>
          </w:p>
        </w:tc>
      </w:tr>
    </w:tbl>
    <w:p>
      <w:pPr>
        <w:pStyle w:val="TextBody"/>
        <w:spacing w:before="120" w:after="0"/>
        <w:jc w:val="left"/>
        <w:rPr>
          <w:rFonts w:ascii="arial" w:hAnsi="arial"/>
          <w:sz w:val="20"/>
        </w:rPr>
      </w:pPr>
      <w:r>
        <w:rPr>
          <w:rFonts w:ascii="arial" w:hAnsi="arial"/>
          <w:sz w:val="20"/>
        </w:rPr>
        <w:t xml:space="preserve">On a day-to-day basis, inquiries or other communications from stakeholders to management are answered by our Investor Relations and other Corporate departments or are referred to another appropriate person in our company. </w:t>
      </w:r>
    </w:p>
    <w:p>
      <w:pPr>
        <w:pStyle w:val="TextBody"/>
        <w:spacing w:before="120" w:after="0"/>
        <w:jc w:val="left"/>
        <w:rPr>
          <w:rFonts w:ascii="arial" w:hAnsi="arial"/>
          <w:sz w:val="20"/>
        </w:rPr>
      </w:pPr>
      <w:r>
        <w:rPr>
          <w:rFonts w:ascii="arial" w:hAnsi="arial"/>
          <w:sz w:val="20"/>
        </w:rPr>
        <w:t xml:space="preserve">Our earnings conference calls are broadcast live via webcast and are accessible to interested stakeholders, the media and members of the public. </w:t>
      </w:r>
    </w:p>
    <w:p>
      <w:pPr>
        <w:pStyle w:val="TextBody"/>
        <w:spacing w:before="120" w:after="0"/>
        <w:jc w:val="left"/>
        <w:rPr>
          <w:rFonts w:ascii="arial" w:hAnsi="arial"/>
          <w:sz w:val="20"/>
        </w:rPr>
      </w:pPr>
      <w:r>
        <w:rPr>
          <w:rFonts w:ascii="arial" w:hAnsi="arial"/>
          <w:sz w:val="20"/>
        </w:rPr>
        <w:t xml:space="preserve">At the annual meeting, shareholders are provided with an opportunity to ask questions to our Board, CEO, CFO and other members of senior management. </w:t>
      </w:r>
    </w:p>
    <w:p>
      <w:pPr>
        <w:pStyle w:val="TextBody"/>
        <w:spacing w:before="120" w:after="0"/>
        <w:jc w:val="left"/>
        <w:rPr>
          <w:rFonts w:ascii="arial" w:hAnsi="arial"/>
          <w:sz w:val="20"/>
        </w:rPr>
      </w:pPr>
      <w:r>
        <w:rPr>
          <w:rFonts w:ascii="arial" w:hAnsi="arial"/>
          <w:sz w:val="20"/>
        </w:rPr>
        <w:t xml:space="preserve">Our company also has meetings throughout the year with shareholders and other stakeholders, shareholder advocacy groups and financial analysts. In 2022, the former Lead Independent Director and the Chair of the Corporate Governance Committee met with representatives from CCGG to discuss governance, Board composition, succession and executive compensation. In 2022, we received a shareholder proposal in connection with last years annual meeting of shareholders. We received a new proposal from the same shareholder for consideration at this years meeting. In both instances, we engaged with a representative of the shareholder proponent prior to the meetings to better understand and discuss their requests and, following a constructive discussion with our company and based on our progress, ongoing work and commitments in this area, the shareholder agreed not to submit its proposal to a vote at last years meeting and this years meeting. </w:t>
      </w:r>
    </w:p>
    <w:p>
      <w:pPr>
        <w:pStyle w:val="TextBody"/>
        <w:spacing w:before="120" w:after="0"/>
        <w:jc w:val="left"/>
        <w:rPr>
          <w:rFonts w:ascii="arial" w:hAnsi="arial"/>
          <w:sz w:val="20"/>
        </w:rPr>
      </w:pPr>
      <w:r>
        <w:rPr>
          <w:rFonts w:ascii="arial" w:hAnsi="arial"/>
          <w:sz w:val="20"/>
        </w:rPr>
        <w:t xml:space="preserve">Shareholders and other stakeholders with questions about our company are encouraged to contact our Investor Relations department by e-mail at </w:t>
      </w:r>
      <w:r>
        <w:rPr>
          <w:rFonts w:ascii="Arial" w:hAnsi="Arial"/>
          <w:b/>
          <w:color w:val="335367"/>
          <w:sz w:val="20"/>
        </w:rPr>
        <w:t>investor.relations@tr.com</w:t>
      </w:r>
      <w:r>
        <w:rPr>
          <w:rFonts w:ascii="arial" w:hAnsi="arial"/>
          <w:sz w:val="20"/>
        </w:rPr>
        <w:t xml:space="preserve"> or by phone at 1.332.219.1046. </w:t>
      </w:r>
    </w:p>
    <w:p>
      <w:pPr>
        <w:pStyle w:val="TextBody"/>
        <w:spacing w:before="120" w:after="0"/>
        <w:jc w:val="left"/>
        <w:rPr>
          <w:rFonts w:ascii="arial" w:hAnsi="arial"/>
          <w:sz w:val="20"/>
        </w:rPr>
      </w:pPr>
      <w:r>
        <w:rPr>
          <w:rFonts w:ascii="arial" w:hAnsi="arial"/>
          <w:sz w:val="20"/>
        </w:rPr>
        <w:t xml:space="preserve">Shareholders and other interested parties may contact the Board or its non-management or independent directors as a group, or the directors who preside over their meetings, by e-mail at </w:t>
      </w:r>
      <w:r>
        <w:rPr>
          <w:rFonts w:ascii="Arial" w:hAnsi="Arial"/>
          <w:b/>
          <w:color w:val="335367"/>
          <w:sz w:val="20"/>
        </w:rPr>
        <w:t>board@tr.com</w:t>
      </w:r>
      <w:r>
        <w:rPr>
          <w:rFonts w:ascii="arial" w:hAnsi="arial"/>
          <w:sz w:val="20"/>
        </w:rPr>
        <w:t xml:space="preserve"> or by writing to them c/o Jimma Elliott-Stevens, Interim Chief Legal Officer and Company Secretary, Thomson Reuters, 333 Bay Street, Suite 300, Toronto, Ontario, M5H 2R2, Canada.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30" w:name="tx494196_5"/>
      <w:bookmarkStart w:id="31" w:name="tx494196_34"/>
      <w:bookmarkEnd w:id="30"/>
      <w:bookmarkEnd w:id="31"/>
      <w:r>
        <w:rPr>
          <w:rFonts w:ascii="arial" w:hAnsi="arial"/>
          <w:color w:val="B94831"/>
          <w:sz w:val="52"/>
        </w:rPr>
        <w:t xml:space="preserve">ESG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30"/>
        </w:rPr>
      </w:pPr>
      <w:r>
        <w:rPr>
          <w:rFonts w:ascii="arial" w:hAnsi="arial"/>
          <w:color w:val="B94831"/>
          <w:sz w:val="30"/>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rFonts w:ascii="SYMBOL" w:hAnsi="SYMBOL"/>
                <w:color w:val="B94831"/>
                <w:sz w:val="12"/>
              </w:rPr>
              <w:t>·</w:t>
            </w:r>
            <w:r>
              <w:rPr/>
              <w:t> </w:t>
            </w:r>
          </w:p>
        </w:tc>
        <w:tc>
          <w:tcPr>
            <w:tcW w:w="9901" w:type="dxa"/>
            <w:tcBorders/>
            <w:shd w:fill="auto" w:val="clear"/>
          </w:tcPr>
          <w:p>
            <w:pPr>
              <w:pStyle w:val="TableContents"/>
              <w:spacing w:before="0" w:after="0"/>
              <w:jc w:val="left"/>
              <w:rPr>
                <w:rFonts w:ascii="arial" w:hAnsi="arial"/>
                <w:sz w:val="30"/>
              </w:rPr>
            </w:pPr>
            <w:r>
              <w:rPr>
                <w:rFonts w:ascii="arial" w:hAnsi="arial"/>
                <w:sz w:val="30"/>
              </w:rPr>
              <w:t xml:space="preserve">We manage our business for the long term and view programs that improve environmental, social and governance (ESG) through that lens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rFonts w:ascii="SYMBOL" w:hAnsi="SYMBOL"/>
                <w:color w:val="B94831"/>
                <w:sz w:val="12"/>
              </w:rPr>
              <w:t>·</w:t>
            </w:r>
            <w:r>
              <w:rPr/>
              <w:t> </w:t>
            </w:r>
          </w:p>
        </w:tc>
        <w:tc>
          <w:tcPr>
            <w:tcW w:w="9901" w:type="dxa"/>
            <w:tcBorders/>
            <w:shd w:fill="auto" w:val="clear"/>
          </w:tcPr>
          <w:p>
            <w:pPr>
              <w:pStyle w:val="TableContents"/>
              <w:spacing w:before="0" w:after="0"/>
              <w:jc w:val="left"/>
              <w:rPr>
                <w:rFonts w:ascii="arial" w:hAnsi="arial"/>
                <w:sz w:val="30"/>
              </w:rPr>
            </w:pPr>
            <w:r>
              <w:rPr>
                <w:rFonts w:ascii="arial" w:hAnsi="arial"/>
                <w:sz w:val="30"/>
              </w:rPr>
              <w:t xml:space="preserve">We consider ESG one important mechanism for sustained value creation, reinforcing the underlying health of our company now and beyond the horizon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company is dedicated to serving institutions and businesses that keep the wheels of commerce turning, uphold justice and taxation systems, fight fraud, support law enforcement and report on world events with impartiality, as an important source of unbiased news globally. In these and many other ways, we aspire to strengthen the foundations of society in partnership with our customers. </w:t>
      </w:r>
    </w:p>
    <w:p>
      <w:pPr>
        <w:pStyle w:val="TextBody"/>
        <w:spacing w:before="120" w:after="0"/>
        <w:jc w:val="left"/>
        <w:rPr>
          <w:rFonts w:ascii="arial" w:hAnsi="arial"/>
          <w:sz w:val="20"/>
        </w:rPr>
      </w:pPr>
      <w:r>
        <w:rPr>
          <w:rFonts w:ascii="arial" w:hAnsi="arial"/>
          <w:sz w:val="20"/>
        </w:rPr>
        <w:t xml:space="preserve">We pursue ESG initiatives because they contribute to value creation for our customers, employees, shareholders and other stakeholders. The Board and its committees oversee different ESG-related areas that are of the greatest importance to the organization and our stakeholders to achieve our long-term strategic objectives. Ultimately, though, our ESG-related initiatives require employees who take on responsibility for them and are empowered to achieve them. Subject matter experts lead the work, and senior executives are accountable for embedding programs in the business, for maximum impact and duration. </w:t>
      </w:r>
    </w:p>
    <w:p>
      <w:pPr>
        <w:pStyle w:val="TextBody"/>
        <w:spacing w:before="120" w:after="0"/>
        <w:jc w:val="left"/>
        <w:rPr>
          <w:rFonts w:ascii="arial" w:hAnsi="arial"/>
          <w:sz w:val="20"/>
        </w:rPr>
      </w:pPr>
      <w:r>
        <w:rPr>
          <w:rFonts w:ascii="arial" w:hAnsi="arial"/>
          <w:sz w:val="20"/>
        </w:rPr>
        <w:t xml:space="preserve">We now have greater cohesion to our ESG-related workstreams, which include sustainability, diversity and inclusion, community relations and volunteerism. ESG factors are considered in our ERM processes. The work of the Thomson Reuters Foundation also contributes to our ongoing ESG efforts. </w:t>
      </w:r>
    </w:p>
    <w:p>
      <w:pPr>
        <w:pStyle w:val="TextBody"/>
        <w:spacing w:before="120" w:after="0"/>
        <w:jc w:val="left"/>
        <w:rPr>
          <w:rFonts w:ascii="arial" w:hAnsi="arial"/>
          <w:sz w:val="20"/>
        </w:rPr>
      </w:pPr>
      <w:r>
        <w:rPr>
          <w:rFonts w:ascii="arial" w:hAnsi="arial"/>
          <w:sz w:val="20"/>
        </w:rPr>
        <w:t xml:space="preserve">Thomson Reuters understands that ESG measures are important to our stakeholders and drive positive impact on global issues. Conducting business in a principled manner  and transparently disclosing relevant targets and metrics related to our ESG programs  will not only allow our stakeholders to be informed on our progress, but also encourage others to lead.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8" w:space="0" w:color="000000"/>
              <w:left w:val="single" w:sz="8" w:space="0" w:color="000000"/>
              <w:bottom w:val="single" w:sz="8" w:space="0" w:color="000000"/>
              <w:right w:val="single" w:sz="8" w:space="0" w:color="000000"/>
            </w:tcBorders>
            <w:shd w:fill="F4E3E0" w:val="clear"/>
            <w:tcMar>
              <w:top w:w="28" w:type="dxa"/>
              <w:left w:w="160" w:type="dxa"/>
              <w:bottom w:w="28" w:type="dxa"/>
              <w:right w:w="40" w:type="dxa"/>
            </w:tcMar>
          </w:tcPr>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We post a Social Impact &amp; ESG Report annually on our website, </w:t>
            </w:r>
            <w:r>
              <w:rPr>
                <w:rFonts w:ascii="Arial" w:hAnsi="Arial"/>
                <w:b/>
                <w:color w:val="335367"/>
                <w:sz w:val="20"/>
              </w:rPr>
              <w:t>www.tr.com/social-impact-report</w:t>
            </w:r>
            <w:r>
              <w:rPr>
                <w:rFonts w:ascii="arial" w:hAnsi="arial"/>
                <w:sz w:val="20"/>
              </w:rPr>
              <w:t>, which summarizes our strategy, includes stories of progress and tracks performance, tying our efforts to our business strategy and commercial expertise. The report highlights how we run our business with purpose, manage our sustainability goals, foster an inclusive workplace, and make a difference in communities through wider-ranging social impact programs pursuing access to justice, truth and transparency. We encourage you to review the Social Impact &amp; ESG Report to gain a better understanding of our accomplishments and practices in these areas.</w:t>
            </w:r>
          </w:p>
          <w:p>
            <w:pPr>
              <w:pStyle w:val="TableContents"/>
              <w:spacing w:before="0" w:after="0"/>
              <w:rPr/>
            </w:pPr>
            <w:r>
              <w:rPr/>
              <w:t> </w:t>
            </w:r>
          </w:p>
          <w:p>
            <w:pPr>
              <w:pStyle w:val="TableContents"/>
              <w:spacing w:before="0" w:after="20"/>
              <w:rPr/>
            </w:pPr>
            <w:r>
              <w:rPr/>
              <w:t> </w:t>
            </w:r>
          </w:p>
        </w:tc>
      </w:tr>
    </w:tbl>
    <w:p>
      <w:pPr>
        <w:pStyle w:val="TextBody"/>
        <w:spacing w:before="120" w:after="0"/>
        <w:jc w:val="left"/>
        <w:rPr>
          <w:rFonts w:ascii="arial" w:hAnsi="arial"/>
          <w:sz w:val="20"/>
        </w:rPr>
      </w:pPr>
      <w:r>
        <w:rPr>
          <w:rFonts w:ascii="arial" w:hAnsi="arial"/>
          <w:sz w:val="20"/>
        </w:rPr>
        <w:t>We believe that by uniting our technical capabilities with those of our customers in these areas, we will drive the greatest change. We also believe in the power of collaboration with the international business community, so we are signatories of the United Nations Global Compact (UNGC), a non-binding United Nations (U.N.) pact to encourage businesses and firms worldwide to adopt sustainable and socially responsible policies. We are actively partnering to advance the Sustainable Development Goals, particularly SDG 16 </w:t>
      </w:r>
      <w:r>
        <w:rPr>
          <w:rFonts w:ascii="arial" w:hAnsi="arial"/>
          <w:i/>
          <w:sz w:val="20"/>
        </w:rPr>
        <w:t xml:space="preserve">Peace, Justice and Strong Institutions. </w:t>
      </w:r>
    </w:p>
    <w:p>
      <w:pPr>
        <w:pStyle w:val="TextBody"/>
        <w:spacing w:before="120" w:after="0"/>
        <w:jc w:val="left"/>
        <w:rPr>
          <w:rFonts w:ascii="arial" w:hAnsi="arial"/>
          <w:sz w:val="20"/>
        </w:rPr>
      </w:pPr>
      <w:r>
        <w:rPr>
          <w:rFonts w:ascii="arial" w:hAnsi="arial"/>
          <w:sz w:val="20"/>
        </w:rPr>
        <w:t xml:space="preserve">We are also aligned with the United Nations Guiding Principles on Business and Human Rights (UNGPs), which augment our longstanding commitment to the UNGC, the U.N. Declaration on Human Rights, and other international standards. The UNGPs are the global standard for preventing and addressing the risk of adverse impacts on human rights linked to business activity, and they provide the internationally accepted framework for enhancing standards and practices with regard to business and human rights. </w:t>
      </w:r>
    </w:p>
    <w:p>
      <w:pPr>
        <w:pStyle w:val="TextBody"/>
        <w:spacing w:before="120" w:after="0"/>
        <w:jc w:val="left"/>
        <w:rPr>
          <w:rFonts w:ascii="arial" w:hAnsi="arial"/>
          <w:sz w:val="20"/>
        </w:rPr>
      </w:pPr>
      <w:r>
        <w:rPr>
          <w:rFonts w:ascii="arial" w:hAnsi="arial"/>
          <w:sz w:val="20"/>
        </w:rPr>
        <w:t xml:space="preserve">Earlier this year, we completed our first ESG materiality assessment, an assessment that allows companies to identify and prioritize the ESG issues that are most likely to impact their business and stakeholders in the short and long-term. We used double materiality as our lens  which means we examined how material ESG topics affect our business and create or erode enterprise value as well as how material ESG risks and opportunities in our business could positively or negatively impact people, economies and the environment. We took a thorough approach engaging internal and external experts and stakeholders as well as benchmarking ourselves against our peers and leading companies.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As part of our ESG materiality assessment, we also conducted a company-wide human rights impact assessment (HRIA) of our global operations, products, and services. In doing so, we sought to proactively manage actual and potential human rights impacts in order to mitigate risks to both Thomson Reuters and to stakeholder groups. The methodology for this assessment included desk-based research, internal and external stakeholder interviews, and detailed analysis and discussions of the findings. This process also included benchmarking ourselves against our peers and leading companies. This assessment examined potential impacts across stakeholder groups and helped us identify salient human rights risks which were then mapped against the expectations of the UNGPs, which now inform our human rights strategy and roadmap. Our commitment to respecting human rights throughout our operations will continue to guide our work and the recommendations from this comprehensive ESG assessment will continue to help us identify, assess, and proactively respond to salient and material risks across our enterprise. Our 2023 Social Impact &amp; ESG Report, which we anticipate publishing in April 2023, will contain information on the key findings from the ESG materiality assessment and the HRIA. </w:t>
      </w:r>
    </w:p>
    <w:p>
      <w:pPr>
        <w:pStyle w:val="TextBody"/>
        <w:spacing w:before="120" w:after="0"/>
        <w:jc w:val="left"/>
        <w:rPr>
          <w:rFonts w:ascii="arial" w:hAnsi="arial"/>
          <w:color w:val="B94831"/>
          <w:sz w:val="28"/>
        </w:rPr>
      </w:pPr>
      <w:r>
        <w:rPr>
          <w:rFonts w:ascii="arial" w:hAnsi="arial"/>
          <w:color w:val="B94831"/>
          <w:sz w:val="28"/>
        </w:rPr>
        <w:t xml:space="preserve">Environmental Practices </w:t>
      </w:r>
    </w:p>
    <w:p>
      <w:pPr>
        <w:pStyle w:val="TextBody"/>
        <w:spacing w:before="40" w:after="0"/>
        <w:jc w:val="left"/>
        <w:rPr>
          <w:rFonts w:ascii="arial" w:hAnsi="arial"/>
          <w:sz w:val="20"/>
        </w:rPr>
      </w:pPr>
      <w:r>
        <w:rPr>
          <w:rFonts w:ascii="arial" w:hAnsi="arial"/>
          <w:sz w:val="20"/>
        </w:rPr>
        <w:t xml:space="preserve">Some of our environmental initiatives and accomplishments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Since 2021, we have sourced renewable energy for 100% of our operations. We have achieved this largely through the purchase of renewable power by matching our electricity usage with renewable energy credits acquired around the world. We are also working closely with our suppliers to drive lower emissions within our supply chain.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We joined the Science Based Targets Initiative (SBTi) in 2020, aligning to the most ambitious 1.5-degree Celsius pathway. Thomson Reuters is among a leading group of approximately 2,100 companies globally to have done so.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In 2020, we announced our commitment to targeting net-zero emissions by 2050. As of the end of 2021, we had reduced our Scope 1 and Scope 2 GHG emissions by 93% from our 2018 baseline and we are significantly ahead of our SBTI commitment. We will continue to measure and manage our own emissions and environmental impacts and continue to identify ways to further assess, monitor and improve our carbon footprint.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We continue to optimize our real estate portfolio utilization to adjust to market trends, business needs, and evolving ways of working. This is contributing to a decreased carbon footprint by reducing the number of office locations. The COVID-19 pandemic has also resulted in less business travel and increased use of more virtual and collaboration tools by our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Our strategy to migrate more of our revenue to the cloud will help reduce our environmental footprint as we will be less reliant on energy use associated with company-managed data centers. We will take advantage of cloud hosting environments that utilize resources more efficiently and can be easily optimized to reduce waste.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Some of our content and other information products help our customers address climate change matters. For example, Practical Law includes a tracker covering key Biden Administration actions and initiatives on climate, energy and environmental issues and other resources related to climate change disclosures for U.S. public companies. The Thomson Reuters Institute also launched an ESG Resource Center which offers insights for corporations and governments around the world on the most pressing current and future issues concerning ESG topics. </w:t>
            </w:r>
          </w:p>
        </w:tc>
      </w:tr>
    </w:tbl>
    <w:p>
      <w:pPr>
        <w:pStyle w:val="TextBody"/>
        <w:spacing w:before="120" w:after="0"/>
        <w:jc w:val="left"/>
        <w:rPr>
          <w:rFonts w:ascii="arial" w:hAnsi="arial"/>
          <w:color w:val="B94831"/>
          <w:sz w:val="28"/>
        </w:rPr>
      </w:pPr>
      <w:r>
        <w:rPr>
          <w:rFonts w:ascii="arial" w:hAnsi="arial"/>
          <w:i/>
          <w:color w:val="B94831"/>
          <w:sz w:val="28"/>
        </w:rPr>
        <w:t>Social Practices</w:t>
      </w:r>
      <w:r>
        <w:rPr>
          <w:rFonts w:ascii="arial" w:hAnsi="arial"/>
          <w:color w:val="B94831"/>
          <w:sz w:val="28"/>
        </w:rPr>
        <w:t xml:space="preserve"> </w:t>
      </w:r>
    </w:p>
    <w:p>
      <w:pPr>
        <w:pStyle w:val="TextBody"/>
        <w:spacing w:before="120" w:after="0"/>
        <w:jc w:val="left"/>
        <w:rPr>
          <w:rFonts w:ascii="arial" w:hAnsi="arial"/>
          <w:i/>
          <w:sz w:val="21"/>
        </w:rPr>
      </w:pPr>
      <w:r>
        <w:rPr>
          <w:rFonts w:ascii="arial" w:hAnsi="arial"/>
          <w:i/>
          <w:sz w:val="21"/>
        </w:rPr>
        <w:t xml:space="preserve">Our values and culture </w:t>
      </w:r>
    </w:p>
    <w:p>
      <w:pPr>
        <w:pStyle w:val="TextBody"/>
        <w:spacing w:before="40" w:after="0"/>
        <w:jc w:val="left"/>
        <w:rPr>
          <w:rFonts w:ascii="arial" w:hAnsi="arial"/>
          <w:sz w:val="20"/>
        </w:rPr>
      </w:pPr>
      <w:r>
        <w:rPr>
          <w:rFonts w:ascii="arial" w:hAnsi="arial"/>
          <w:sz w:val="20"/>
        </w:rPr>
        <w:t xml:space="preserve">Thomson Reuters has a long history of being recognized as a leading employer. As we strive for continued progress, we appreciate being recognized for our work in this space, but we are acutely aware of the need to increase momentum. In 2022, our awards and recognitions included: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Canadas Best Employers, Great Place to Work, Canada, Greater Torontos Top Employers, and Top 100 Employers in Canada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Best Employer for Diversity, Forbes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LinkedIns Top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Best Places to Work for Disability Inclusion, Disability: 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Human Rights Campaign Best Places to Work for LGBTQ Equality and 100% score, Human Rights Campaigns Corporate Equality Index </w:t>
            </w:r>
          </w:p>
        </w:tc>
      </w:tr>
    </w:tbl>
    <w:p>
      <w:pPr>
        <w:pStyle w:val="TextBody"/>
        <w:spacing w:before="120" w:after="0"/>
        <w:jc w:val="left"/>
        <w:rPr>
          <w:rFonts w:ascii="arial" w:hAnsi="arial"/>
          <w:sz w:val="20"/>
        </w:rPr>
      </w:pPr>
      <w:r>
        <w:rPr>
          <w:rFonts w:ascii="arial" w:hAnsi="arial"/>
          <w:sz w:val="20"/>
        </w:rPr>
        <w:t xml:space="preserve">In all our work, we uphold the Thomson Reuters Trust Principles, including that of integrity, independence and freedom from bias.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sz w:val="21"/>
        </w:rPr>
      </w:pPr>
      <w:r>
        <w:rPr>
          <w:rFonts w:ascii="arial" w:hAnsi="arial"/>
          <w:i/>
          <w:sz w:val="21"/>
        </w:rPr>
        <w:t xml:space="preserve">Diversity and Inclusion </w:t>
      </w:r>
    </w:p>
    <w:p>
      <w:pPr>
        <w:pStyle w:val="TextBody"/>
        <w:spacing w:before="120" w:after="0"/>
        <w:jc w:val="left"/>
        <w:rPr>
          <w:rFonts w:ascii="arial" w:hAnsi="arial"/>
          <w:sz w:val="20"/>
        </w:rPr>
      </w:pPr>
      <w:r>
        <w:rPr>
          <w:rFonts w:ascii="arial" w:hAnsi="arial"/>
          <w:sz w:val="20"/>
        </w:rPr>
        <w:t xml:space="preserve">The way forward will be a diverse and inclusive onefor the customers and societies we serve, and for Thomson Reuters as a company. Diversity and Inclusion (D&amp;I) is core to Thomson Reuters purpose and values. In 2022, we continued to make progress on D&amp;I within Thomson Reuters in the face of significant change as a company. We remain committed to prioritizing D&amp;I as a business imperative, continually improving the inclusiveness and equity of our employee experience for all colleagues and achieving our D&amp;I goals. </w:t>
      </w:r>
    </w:p>
    <w:p>
      <w:pPr>
        <w:pStyle w:val="TextBody"/>
        <w:spacing w:before="120" w:after="0"/>
        <w:jc w:val="left"/>
        <w:rPr>
          <w:rFonts w:ascii="arial" w:hAnsi="arial"/>
          <w:sz w:val="20"/>
        </w:rPr>
      </w:pPr>
      <w:r>
        <w:rPr>
          <w:rFonts w:ascii="arial" w:hAnsi="arial"/>
          <w:sz w:val="20"/>
        </w:rPr>
        <w:t xml:space="preserve">In 2020, Thomson Reuters established aspirational goals for diversifying our senior leadership (director and above). In 2022, we continued to increase the representation of racially/ethnically diverse talent in senior leadership while the representation of women and Black employees in senior leadership remained flat year-over-year. As of April 21, 2023, 50% (5) of our current 10 executive officers are women and 30% (3) identify as racially/ethnically diverse. </w:t>
      </w:r>
    </w:p>
    <w:p>
      <w:pPr>
        <w:pStyle w:val="TextBody"/>
        <w:spacing w:before="120" w:after="0"/>
        <w:jc w:val="left"/>
        <w:rPr>
          <w:rFonts w:ascii="arial" w:hAnsi="arial"/>
          <w:sz w:val="20"/>
        </w:rPr>
      </w:pPr>
      <w:r>
        <w:rPr>
          <w:rFonts w:ascii="arial" w:hAnsi="arial"/>
          <w:sz w:val="20"/>
        </w:rPr>
        <w:t xml:space="preserve">Increased Black senior executive hiringthe result of focused efforts to establish relationships with senior Black talent and achieving diverse candidate slates for executive recruitment was offset by attrition. Focused actions to support growth and improve retention include highlighting Black high potential talent in CEO talent reviews, stay interviews, career coaching and opportunity matching, and mentorship by executive team members. While we did not ultimately achieve our representation goals in 2022, we made meaningful progress and are re-committing to them in 2023. </w:t>
      </w:r>
    </w:p>
    <w:p>
      <w:pPr>
        <w:pStyle w:val="TextBody"/>
        <w:spacing w:before="120" w:after="0"/>
        <w:jc w:val="left"/>
        <w:rPr>
          <w:rFonts w:ascii="arial" w:hAnsi="arial"/>
          <w:sz w:val="20"/>
        </w:rPr>
      </w:pPr>
      <w:r>
        <w:rPr>
          <w:rFonts w:ascii="arial" w:hAnsi="arial"/>
          <w:sz w:val="20"/>
        </w:rPr>
        <w:t xml:space="preserve">The following table sets forth our diverse talent representation in 2020, 2021 and 2022, as well as our 2023 goals: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411"/>
        <w:gridCol w:w="170"/>
        <w:gridCol w:w="105"/>
        <w:gridCol w:w="459"/>
        <w:gridCol w:w="184"/>
        <w:gridCol w:w="236"/>
        <w:gridCol w:w="105"/>
        <w:gridCol w:w="459"/>
        <w:gridCol w:w="251"/>
        <w:gridCol w:w="236"/>
        <w:gridCol w:w="60"/>
        <w:gridCol w:w="565"/>
        <w:gridCol w:w="250"/>
        <w:gridCol w:w="236"/>
        <w:gridCol w:w="214"/>
        <w:gridCol w:w="1004"/>
        <w:gridCol w:w="260"/>
      </w:tblGrid>
      <w:tr>
        <w:trPr/>
        <w:tc>
          <w:tcPr>
            <w:tcW w:w="541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5411" w:type="dxa"/>
            <w:tcBorders/>
            <w:shd w:fill="262626" w:val="clear"/>
            <w:vAlign w:val="center"/>
          </w:tcPr>
          <w:p>
            <w:pPr>
              <w:pStyle w:val="TableContents"/>
              <w:spacing w:before="0" w:after="283"/>
              <w:rPr>
                <w:sz w:val="4"/>
                <w:szCs w:val="4"/>
              </w:rPr>
            </w:pPr>
            <w:r>
              <w:rPr>
                <w:sz w:val="4"/>
                <w:szCs w:val="4"/>
              </w:rPr>
            </w:r>
          </w:p>
        </w:tc>
        <w:tc>
          <w:tcPr>
            <w:tcW w:w="918"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051"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111"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714"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5411"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Goal</w:t>
            </w:r>
          </w:p>
        </w:tc>
        <w:tc>
          <w:tcPr>
            <w:tcW w:w="170"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564" w:type="dxa"/>
            <w:gridSpan w:val="2"/>
            <w:tcBorders>
              <w:bottom w:val="single" w:sz="8"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2020</w:t>
            </w:r>
          </w:p>
        </w:tc>
        <w:tc>
          <w:tcPr>
            <w:tcW w:w="184" w:type="dxa"/>
            <w:tcBorders>
              <w:bottom w:val="single" w:sz="8" w:space="0" w:color="B94831"/>
            </w:tcBorders>
            <w:shd w:fill="262626" w:val="clear"/>
            <w:tcMar>
              <w:bottom w:w="28" w:type="dxa"/>
            </w:tcMar>
            <w:vAlign w:val="bottom"/>
          </w:tcPr>
          <w:p>
            <w:pPr>
              <w:pStyle w:val="TableContents"/>
              <w:spacing w:before="0" w:after="283"/>
              <w:rPr/>
            </w:pPr>
            <w:r>
              <w:rPr/>
              <w:t> </w:t>
            </w:r>
          </w:p>
        </w:tc>
        <w:tc>
          <w:tcPr>
            <w:tcW w:w="236"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564" w:type="dxa"/>
            <w:gridSpan w:val="2"/>
            <w:tcBorders>
              <w:bottom w:val="single" w:sz="8"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2021</w:t>
            </w:r>
          </w:p>
        </w:tc>
        <w:tc>
          <w:tcPr>
            <w:tcW w:w="251" w:type="dxa"/>
            <w:tcBorders>
              <w:bottom w:val="single" w:sz="8" w:space="0" w:color="B94831"/>
            </w:tcBorders>
            <w:shd w:fill="262626" w:val="clear"/>
            <w:tcMar>
              <w:bottom w:w="28" w:type="dxa"/>
            </w:tcMar>
            <w:vAlign w:val="bottom"/>
          </w:tcPr>
          <w:p>
            <w:pPr>
              <w:pStyle w:val="TableContents"/>
              <w:spacing w:before="0" w:after="283"/>
              <w:rPr/>
            </w:pPr>
            <w:r>
              <w:rPr/>
              <w:t> </w:t>
            </w:r>
          </w:p>
        </w:tc>
        <w:tc>
          <w:tcPr>
            <w:tcW w:w="236"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625" w:type="dxa"/>
            <w:gridSpan w:val="2"/>
            <w:tcBorders>
              <w:bottom w:val="single" w:sz="8"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2022</w:t>
            </w:r>
          </w:p>
        </w:tc>
        <w:tc>
          <w:tcPr>
            <w:tcW w:w="250" w:type="dxa"/>
            <w:tcBorders>
              <w:bottom w:val="single" w:sz="8" w:space="0" w:color="B94831"/>
            </w:tcBorders>
            <w:shd w:fill="262626" w:val="clear"/>
            <w:tcMar>
              <w:bottom w:w="28" w:type="dxa"/>
            </w:tcMar>
            <w:vAlign w:val="bottom"/>
          </w:tcPr>
          <w:p>
            <w:pPr>
              <w:pStyle w:val="TableContents"/>
              <w:spacing w:before="0" w:after="283"/>
              <w:rPr/>
            </w:pPr>
            <w:r>
              <w:rPr/>
              <w:t> </w:t>
            </w:r>
          </w:p>
        </w:tc>
        <w:tc>
          <w:tcPr>
            <w:tcW w:w="236"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218" w:type="dxa"/>
            <w:gridSpan w:val="2"/>
            <w:tcBorders>
              <w:bottom w:val="single" w:sz="8"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2023 Goal</w:t>
            </w:r>
          </w:p>
        </w:tc>
        <w:tc>
          <w:tcPr>
            <w:tcW w:w="260" w:type="dxa"/>
            <w:tcBorders>
              <w:bottom w:val="single" w:sz="8" w:space="0" w:color="B94831"/>
            </w:tcBorders>
            <w:shd w:fill="262626" w:val="clear"/>
            <w:tcMar>
              <w:bottom w:w="28" w:type="dxa"/>
            </w:tcMar>
            <w:vAlign w:val="bottom"/>
          </w:tcPr>
          <w:p>
            <w:pPr>
              <w:pStyle w:val="TableContents"/>
              <w:spacing w:before="0" w:after="283"/>
              <w:rPr/>
            </w:pPr>
            <w:r>
              <w:rPr/>
              <w:t> </w:t>
            </w:r>
          </w:p>
        </w:tc>
      </w:tr>
      <w:tr>
        <w:trPr/>
        <w:tc>
          <w:tcPr>
            <w:tcW w:w="5411"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Women in senior leadership</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459" w:type="dxa"/>
            <w:tcBorders>
              <w:bottom w:val="single" w:sz="2" w:space="0" w:color="AFAFAF"/>
            </w:tcBorders>
            <w:shd w:fill="auto" w:val="clear"/>
            <w:tcMar>
              <w:bottom w:w="28" w:type="dxa"/>
            </w:tcMar>
            <w:vAlign w:val="bottom"/>
          </w:tcPr>
          <w:p>
            <w:pPr>
              <w:pStyle w:val="TableContents"/>
              <w:spacing w:before="0" w:after="283"/>
              <w:jc w:val="right"/>
              <w:rPr/>
            </w:pPr>
            <w:r>
              <w:rPr/>
              <w:t>39%</w:t>
            </w:r>
          </w:p>
        </w:tc>
        <w:tc>
          <w:tcPr>
            <w:tcW w:w="184"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459" w:type="dxa"/>
            <w:tcBorders>
              <w:bottom w:val="single" w:sz="2" w:space="0" w:color="AFAFAF"/>
            </w:tcBorders>
            <w:shd w:fill="auto" w:val="clear"/>
            <w:tcMar>
              <w:bottom w:w="28" w:type="dxa"/>
            </w:tcMar>
            <w:vAlign w:val="bottom"/>
          </w:tcPr>
          <w:p>
            <w:pPr>
              <w:pStyle w:val="TableContents"/>
              <w:spacing w:before="0" w:after="283"/>
              <w:jc w:val="right"/>
              <w:rPr/>
            </w:pPr>
            <w:r>
              <w:rPr/>
              <w:t>41%</w:t>
            </w:r>
          </w:p>
        </w:tc>
        <w:tc>
          <w:tcPr>
            <w:tcW w:w="251"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5" w:type="dxa"/>
            <w:tcBorders>
              <w:bottom w:val="single" w:sz="2" w:space="0" w:color="AFAFAF"/>
            </w:tcBorders>
            <w:shd w:fill="auto" w:val="clear"/>
            <w:tcMar>
              <w:bottom w:w="28" w:type="dxa"/>
            </w:tcMar>
            <w:vAlign w:val="bottom"/>
          </w:tcPr>
          <w:p>
            <w:pPr>
              <w:pStyle w:val="TableContents"/>
              <w:spacing w:before="0" w:after="283"/>
              <w:jc w:val="right"/>
              <w:rPr>
                <w:rFonts w:ascii="Arial" w:hAnsi="Arial"/>
                <w:b/>
              </w:rPr>
            </w:pPr>
            <w:r>
              <w:rPr>
                <w:rFonts w:ascii="Arial" w:hAnsi="Arial"/>
                <w:b/>
              </w:rPr>
              <w:t>41%</w:t>
            </w:r>
          </w:p>
        </w:tc>
        <w:tc>
          <w:tcPr>
            <w:tcW w:w="250"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14"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28" w:type="dxa"/>
            </w:tcMar>
            <w:vAlign w:val="bottom"/>
          </w:tcPr>
          <w:p>
            <w:pPr>
              <w:pStyle w:val="TableContents"/>
              <w:spacing w:before="0" w:after="283"/>
              <w:jc w:val="right"/>
              <w:rPr/>
            </w:pPr>
            <w:r>
              <w:rPr/>
              <w:t>45%</w:t>
            </w:r>
          </w:p>
        </w:tc>
        <w:tc>
          <w:tcPr>
            <w:tcW w:w="260"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r>
      <w:tr>
        <w:trPr/>
        <w:tc>
          <w:tcPr>
            <w:tcW w:w="5411"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Racially/ethnically diverse talent in senior leadership</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459" w:type="dxa"/>
            <w:tcBorders>
              <w:bottom w:val="single" w:sz="2" w:space="0" w:color="AFAFAF"/>
            </w:tcBorders>
            <w:shd w:fill="auto" w:val="clear"/>
            <w:tcMar>
              <w:bottom w:w="28" w:type="dxa"/>
            </w:tcMar>
            <w:vAlign w:val="bottom"/>
          </w:tcPr>
          <w:p>
            <w:pPr>
              <w:pStyle w:val="TableContents"/>
              <w:spacing w:before="0" w:after="283"/>
              <w:jc w:val="right"/>
              <w:rPr/>
            </w:pPr>
            <w:r>
              <w:rPr/>
              <w:t>14%</w:t>
            </w:r>
          </w:p>
        </w:tc>
        <w:tc>
          <w:tcPr>
            <w:tcW w:w="184"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459" w:type="dxa"/>
            <w:tcBorders>
              <w:bottom w:val="single" w:sz="2" w:space="0" w:color="AFAFAF"/>
            </w:tcBorders>
            <w:shd w:fill="auto" w:val="clear"/>
            <w:tcMar>
              <w:bottom w:w="28" w:type="dxa"/>
            </w:tcMar>
            <w:vAlign w:val="bottom"/>
          </w:tcPr>
          <w:p>
            <w:pPr>
              <w:pStyle w:val="TableContents"/>
              <w:spacing w:before="0" w:after="283"/>
              <w:jc w:val="right"/>
              <w:rPr/>
            </w:pPr>
            <w:r>
              <w:rPr/>
              <w:t>16%</w:t>
            </w:r>
          </w:p>
        </w:tc>
        <w:tc>
          <w:tcPr>
            <w:tcW w:w="251"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5" w:type="dxa"/>
            <w:tcBorders>
              <w:bottom w:val="single" w:sz="2" w:space="0" w:color="AFAFAF"/>
            </w:tcBorders>
            <w:shd w:fill="auto" w:val="clear"/>
            <w:tcMar>
              <w:bottom w:w="28" w:type="dxa"/>
            </w:tcMar>
            <w:vAlign w:val="bottom"/>
          </w:tcPr>
          <w:p>
            <w:pPr>
              <w:pStyle w:val="TableContents"/>
              <w:spacing w:before="0" w:after="283"/>
              <w:jc w:val="right"/>
              <w:rPr>
                <w:rFonts w:ascii="Arial" w:hAnsi="Arial"/>
                <w:b/>
              </w:rPr>
            </w:pPr>
            <w:r>
              <w:rPr>
                <w:rFonts w:ascii="Arial" w:hAnsi="Arial"/>
                <w:b/>
              </w:rPr>
              <w:t>18%</w:t>
            </w:r>
          </w:p>
        </w:tc>
        <w:tc>
          <w:tcPr>
            <w:tcW w:w="250" w:type="dxa"/>
            <w:tcBorders>
              <w:bottom w:val="single" w:sz="2" w:space="0" w:color="AFAFAF"/>
            </w:tcBorders>
            <w:shd w:fill="auto" w:val="clear"/>
            <w:tcMar>
              <w:bottom w:w="28" w:type="dxa"/>
            </w:tcMar>
            <w:vAlign w:val="bottom"/>
          </w:tcPr>
          <w:p>
            <w:pPr>
              <w:pStyle w:val="TableContents"/>
              <w:spacing w:before="0" w:after="283"/>
              <w:rPr/>
            </w:pPr>
            <w:r>
              <w:rPr/>
              <w:t> </w:t>
            </w:r>
          </w:p>
        </w:tc>
        <w:tc>
          <w:tcPr>
            <w:tcW w:w="2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14" w:type="dxa"/>
            <w:tcBorders>
              <w:bottom w:val="single" w:sz="2" w:space="0" w:color="AFAFAF"/>
            </w:tcBorders>
            <w:shd w:fill="auto" w:val="clear"/>
            <w:tcMar>
              <w:bottom w:w="28" w:type="dxa"/>
            </w:tcMar>
            <w:vAlign w:val="bottom"/>
          </w:tcPr>
          <w:p>
            <w:pPr>
              <w:pStyle w:val="TableContents"/>
              <w:spacing w:before="0" w:after="283"/>
              <w:rPr/>
            </w:pPr>
            <w:r>
              <w:rPr/>
              <w:t> </w:t>
            </w:r>
          </w:p>
        </w:tc>
        <w:tc>
          <w:tcPr>
            <w:tcW w:w="1004" w:type="dxa"/>
            <w:tcBorders>
              <w:bottom w:val="single" w:sz="2" w:space="0" w:color="AFAFAF"/>
            </w:tcBorders>
            <w:shd w:fill="auto" w:val="clear"/>
            <w:tcMar>
              <w:bottom w:w="28" w:type="dxa"/>
            </w:tcMar>
            <w:vAlign w:val="bottom"/>
          </w:tcPr>
          <w:p>
            <w:pPr>
              <w:pStyle w:val="TableContents"/>
              <w:spacing w:before="0" w:after="283"/>
              <w:jc w:val="right"/>
              <w:rPr/>
            </w:pPr>
            <w:r>
              <w:rPr/>
              <w:t>20%</w:t>
            </w:r>
          </w:p>
        </w:tc>
        <w:tc>
          <w:tcPr>
            <w:tcW w:w="260" w:type="dxa"/>
            <w:tcBorders>
              <w:bottom w:val="single" w:sz="2" w:space="0" w:color="AFAFAF"/>
            </w:tcBorders>
            <w:shd w:fill="auto" w:val="clear"/>
            <w:tcMar>
              <w:bottom w:w="28" w:type="dxa"/>
            </w:tcMar>
            <w:vAlign w:val="bottom"/>
          </w:tcPr>
          <w:p>
            <w:pPr>
              <w:pStyle w:val="TableContents"/>
              <w:spacing w:before="0" w:after="283"/>
              <w:rPr>
                <w:sz w:val="4"/>
                <w:szCs w:val="4"/>
              </w:rPr>
            </w:pPr>
            <w:r>
              <w:rPr>
                <w:sz w:val="4"/>
                <w:szCs w:val="4"/>
              </w:rPr>
            </w:r>
          </w:p>
        </w:tc>
      </w:tr>
      <w:tr>
        <w:trPr/>
        <w:tc>
          <w:tcPr>
            <w:tcW w:w="5411"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Number of Black employees in senior leadership</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05" w:type="dxa"/>
            <w:tcBorders>
              <w:bottom w:val="single" w:sz="8" w:space="0" w:color="B94831"/>
            </w:tcBorders>
            <w:shd w:fill="auto" w:val="clear"/>
            <w:tcMar>
              <w:bottom w:w="28" w:type="dxa"/>
            </w:tcMar>
            <w:vAlign w:val="bottom"/>
          </w:tcPr>
          <w:p>
            <w:pPr>
              <w:pStyle w:val="TableContents"/>
              <w:spacing w:before="0" w:after="283"/>
              <w:rPr/>
            </w:pPr>
            <w:r>
              <w:rPr/>
              <w:t> </w:t>
            </w:r>
          </w:p>
        </w:tc>
        <w:tc>
          <w:tcPr>
            <w:tcW w:w="459" w:type="dxa"/>
            <w:tcBorders>
              <w:bottom w:val="single" w:sz="8" w:space="0" w:color="B94831"/>
            </w:tcBorders>
            <w:shd w:fill="auto" w:val="clear"/>
            <w:tcMar>
              <w:bottom w:w="28" w:type="dxa"/>
            </w:tcMar>
            <w:vAlign w:val="bottom"/>
          </w:tcPr>
          <w:p>
            <w:pPr>
              <w:pStyle w:val="TableContents"/>
              <w:spacing w:before="0" w:after="283"/>
              <w:jc w:val="right"/>
              <w:rPr/>
            </w:pPr>
            <w:r>
              <w:rPr/>
              <w:t>32</w:t>
            </w:r>
          </w:p>
        </w:tc>
        <w:tc>
          <w:tcPr>
            <w:tcW w:w="184"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05" w:type="dxa"/>
            <w:tcBorders>
              <w:bottom w:val="single" w:sz="8" w:space="0" w:color="B94831"/>
            </w:tcBorders>
            <w:shd w:fill="auto" w:val="clear"/>
            <w:tcMar>
              <w:bottom w:w="28" w:type="dxa"/>
            </w:tcMar>
            <w:vAlign w:val="bottom"/>
          </w:tcPr>
          <w:p>
            <w:pPr>
              <w:pStyle w:val="TableContents"/>
              <w:spacing w:before="0" w:after="283"/>
              <w:rPr/>
            </w:pPr>
            <w:r>
              <w:rPr/>
              <w:t> </w:t>
            </w:r>
          </w:p>
        </w:tc>
        <w:tc>
          <w:tcPr>
            <w:tcW w:w="459" w:type="dxa"/>
            <w:tcBorders>
              <w:bottom w:val="single" w:sz="8" w:space="0" w:color="B94831"/>
            </w:tcBorders>
            <w:shd w:fill="auto" w:val="clear"/>
            <w:tcMar>
              <w:bottom w:w="28" w:type="dxa"/>
            </w:tcMar>
            <w:vAlign w:val="bottom"/>
          </w:tcPr>
          <w:p>
            <w:pPr>
              <w:pStyle w:val="TableContents"/>
              <w:spacing w:before="0" w:after="283"/>
              <w:jc w:val="right"/>
              <w:rPr/>
            </w:pPr>
            <w:r>
              <w:rPr/>
              <w:t>37</w:t>
            </w:r>
          </w:p>
        </w:tc>
        <w:tc>
          <w:tcPr>
            <w:tcW w:w="251"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c>
          <w:tcPr>
            <w:tcW w:w="236"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5" w:type="dxa"/>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38</w:t>
            </w:r>
          </w:p>
        </w:tc>
        <w:tc>
          <w:tcPr>
            <w:tcW w:w="250" w:type="dxa"/>
            <w:tcBorders>
              <w:bottom w:val="single" w:sz="8" w:space="0" w:color="B94831"/>
            </w:tcBorders>
            <w:shd w:fill="auto" w:val="clear"/>
            <w:tcMar>
              <w:bottom w:w="28" w:type="dxa"/>
            </w:tcMar>
            <w:vAlign w:val="bottom"/>
          </w:tcPr>
          <w:p>
            <w:pPr>
              <w:pStyle w:val="TableContents"/>
              <w:spacing w:before="0" w:after="283"/>
              <w:rPr/>
            </w:pPr>
            <w:r>
              <w:rPr/>
              <w:t> </w:t>
            </w:r>
          </w:p>
        </w:tc>
        <w:tc>
          <w:tcPr>
            <w:tcW w:w="236"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14" w:type="dxa"/>
            <w:tcBorders>
              <w:bottom w:val="single" w:sz="8" w:space="0" w:color="B94831"/>
            </w:tcBorders>
            <w:shd w:fill="auto" w:val="clear"/>
            <w:tcMar>
              <w:bottom w:w="28" w:type="dxa"/>
            </w:tcMar>
            <w:vAlign w:val="bottom"/>
          </w:tcPr>
          <w:p>
            <w:pPr>
              <w:pStyle w:val="TableContents"/>
              <w:spacing w:before="0" w:after="283"/>
              <w:rPr/>
            </w:pPr>
            <w:r>
              <w:rPr/>
              <w:t> </w:t>
            </w:r>
          </w:p>
        </w:tc>
        <w:tc>
          <w:tcPr>
            <w:tcW w:w="1004" w:type="dxa"/>
            <w:tcBorders>
              <w:bottom w:val="single" w:sz="8" w:space="0" w:color="B94831"/>
            </w:tcBorders>
            <w:shd w:fill="auto" w:val="clear"/>
            <w:tcMar>
              <w:bottom w:w="28" w:type="dxa"/>
            </w:tcMar>
            <w:vAlign w:val="bottom"/>
          </w:tcPr>
          <w:p>
            <w:pPr>
              <w:pStyle w:val="TableContents"/>
              <w:spacing w:before="0" w:after="283"/>
              <w:jc w:val="right"/>
              <w:rPr/>
            </w:pPr>
            <w:r>
              <w:rPr/>
              <w:t>60</w:t>
            </w:r>
          </w:p>
        </w:tc>
        <w:tc>
          <w:tcPr>
            <w:tcW w:w="260" w:type="dxa"/>
            <w:tcBorders>
              <w:bottom w:val="single" w:sz="8" w:space="0" w:color="B94831"/>
            </w:tcBorders>
            <w:shd w:fill="auto" w:val="clear"/>
            <w:tcMar>
              <w:bottom w:w="28" w:type="dxa"/>
            </w:tcMar>
            <w:vAlign w:val="bottom"/>
          </w:tcPr>
          <w:p>
            <w:pPr>
              <w:pStyle w:val="TableContents"/>
              <w:spacing w:before="0" w:after="283"/>
              <w:rPr>
                <w:sz w:val="4"/>
                <w:szCs w:val="4"/>
              </w:rPr>
            </w:pPr>
            <w:r>
              <w:rPr>
                <w:sz w:val="4"/>
                <w:szCs w:val="4"/>
              </w:rPr>
            </w:r>
          </w:p>
        </w:tc>
      </w:tr>
    </w:tbl>
    <w:p>
      <w:pPr>
        <w:pStyle w:val="TextBody"/>
        <w:spacing w:before="80" w:after="0"/>
        <w:jc w:val="left"/>
        <w:rPr>
          <w:rFonts w:ascii="arial" w:hAnsi="arial"/>
          <w:sz w:val="15"/>
        </w:rPr>
      </w:pPr>
      <w:r>
        <w:rPr>
          <w:rFonts w:ascii="arial" w:hAnsi="arial"/>
          <w:i/>
          <w:sz w:val="15"/>
        </w:rPr>
        <w:t>Note  our racial/ethnically diverse representation and Black talent representation goals are only measured for the U.S. (including Puerto Rico), U.K., Canada, Brazil and South Africa.</w:t>
      </w:r>
      <w:r>
        <w:rPr>
          <w:rFonts w:ascii="arial" w:hAnsi="arial"/>
          <w:sz w:val="15"/>
        </w:rPr>
        <w:t xml:space="preserve"> </w:t>
      </w:r>
    </w:p>
    <w:p>
      <w:pPr>
        <w:pStyle w:val="TextBody"/>
        <w:spacing w:before="120" w:after="0"/>
        <w:jc w:val="left"/>
        <w:rPr>
          <w:rFonts w:ascii="arial" w:hAnsi="arial"/>
          <w:sz w:val="20"/>
        </w:rPr>
      </w:pPr>
      <w:r>
        <w:rPr>
          <w:rFonts w:ascii="arial" w:hAnsi="arial"/>
          <w:sz w:val="20"/>
        </w:rPr>
        <w:t xml:space="preserve">Additional D&amp;I initiatives wed like to highlight from 2022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Recruitment of entry-level Black talent through various universities and programs, including partnerships with Historically Black Colleges and Universities (HBCUs) and other local partners that support students of color (e.g., Page Education Foundation, P-TECH, Best Prep, and more). In addition, we have launched a new Black Internship Scheme (BIS) in the UK to foster the inclusion and advancement of employees that self-identify as Black or of African descent, promoted through our Thomson Reuters careers blog and a podcast, INTERNING;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Corporate partnerships with initiatives that promote the employability, development and visibility of underrepresented groups, including Ascend Canada, Ascend US, Black Professionals in Technology Network, Catalyst, Disability:IN, HACE (Hispanic Alliance for Career Enhancement) and Out&amp;Equal;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Sponsorship of nine Business Resource Groups (BRGs), which play a critical role in driving awareness, understanding of diverse backgrounds and execution against our diversity and inclusion strategy. Current BRGs include: Asian Affinity Network, Black Employee Network, Disability Employee Network, Early Careers Network, Indigenous Peoples Network, Latino Employee Network, Pride at TR, Veterans Employee Network and Women at TR. Collectively, the BRGs span more than 70 chapters around the world, with the support of more than 150 volunteers leading them across the globe;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Training programs and innovative learning opportunities include: a Breaking Bias program that we launched to all employees globally in 2021 and reinforced in 2022, resulting in 66% global employee completion; and continued growth and expansion of Diverse Talent Academies (in partnership with McKinsey), which reached 220 racial and ethnically diverse talent that self-identify as Black, Latino, and Asian;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Count Me In internal initiative, which grew our voluntary self-identification data by 10% in 2022 and deepened our talent insights;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Expanded external reporting including disaggregated data on racial and ethnic representation and the introduction of additional diversity talent representation data, where available, for LGBTQ+, disability, and veterans. </w:t>
            </w:r>
          </w:p>
        </w:tc>
      </w:tr>
    </w:tbl>
    <w:p>
      <w:pPr>
        <w:pStyle w:val="TextBody"/>
        <w:spacing w:before="120" w:after="0"/>
        <w:jc w:val="left"/>
        <w:rPr>
          <w:rFonts w:ascii="arial" w:hAnsi="arial"/>
          <w:i/>
          <w:sz w:val="21"/>
        </w:rPr>
      </w:pPr>
      <w:r>
        <w:rPr>
          <w:rFonts w:ascii="arial" w:hAnsi="arial"/>
          <w:i/>
          <w:sz w:val="21"/>
        </w:rPr>
        <w:t xml:space="preserve">Health and Wellbeing </w:t>
      </w:r>
    </w:p>
    <w:p>
      <w:pPr>
        <w:pStyle w:val="TextBody"/>
        <w:spacing w:before="40" w:after="0"/>
        <w:jc w:val="left"/>
        <w:rPr>
          <w:rFonts w:ascii="arial" w:hAnsi="arial"/>
          <w:sz w:val="20"/>
        </w:rPr>
      </w:pPr>
      <w:r>
        <w:rPr>
          <w:rFonts w:ascii="arial" w:hAnsi="arial"/>
          <w:sz w:val="20"/>
        </w:rPr>
        <w:t xml:space="preserve">The past few years have had a profound impact on all of us and our company has adjusted to new ways of working. The health and wellbeing of our employees is a priority for our leadership and we have put in place several initiatives related to mental, physical, financial and social wellbeing to support them.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recently launched a new Flex My Way program, which is a supportive workplace policy that promotes work-life balance and improved flexibility. Policies include flexible and hybrid working, caregiver paid time off, increased bereavement leave and work from anywhere for up to eight weeks per year (with up to four weeks in an authorized country and the remaining in your country of employment), sabbatical leave and flexible vacation in the US and Canada. </w:t>
      </w:r>
    </w:p>
    <w:p>
      <w:pPr>
        <w:pStyle w:val="TextBody"/>
        <w:spacing w:before="120" w:after="0"/>
        <w:jc w:val="left"/>
        <w:rPr>
          <w:rFonts w:ascii="arial" w:hAnsi="arial"/>
          <w:sz w:val="20"/>
        </w:rPr>
      </w:pPr>
      <w:r>
        <w:rPr>
          <w:rFonts w:ascii="arial" w:hAnsi="arial"/>
          <w:sz w:val="20"/>
        </w:rPr>
        <w:t xml:space="preserve">Our mental health resources include free access to an employee assistance program, a meditation app, mindfulness discussions, eLearning, month-long spotlights on mental health centered around two annual mental health days off (May and October), and People Leader Mindful Leadership training and resources on leading a mentally healthy workplace. We are also signatories to the Mindful Business Charter, where we have committed to creating practices and policies to rehumanize the workplace. </w:t>
      </w:r>
    </w:p>
    <w:p>
      <w:pPr>
        <w:pStyle w:val="TextBody"/>
        <w:spacing w:before="120" w:after="0"/>
        <w:jc w:val="left"/>
        <w:rPr>
          <w:rFonts w:ascii="arial" w:hAnsi="arial"/>
          <w:sz w:val="20"/>
        </w:rPr>
      </w:pPr>
      <w:r>
        <w:rPr>
          <w:rFonts w:ascii="arial" w:hAnsi="arial"/>
          <w:sz w:val="20"/>
        </w:rPr>
        <w:t xml:space="preserve">Our wellbeing offerings give employees access to physical, financial, and social resources, inclusive of learning opportunities, financial and legal counseling, resource guides, and individual counseling and coaching. We have committed to creating a healthy, safe and supportive workplace with monthly campaigns focused on spotlighting personal wellbeing resources and healthy workplace practices within our environment, building awareness to internal and external resources of support, promoting employee connection with personal story telling through our internal community channels such as organized chats and blog posts, involvement in business resource groups, and creating brave spaces where people can come together to support each other through crisis and events that are impacting our colleagues. </w:t>
      </w:r>
    </w:p>
    <w:p>
      <w:pPr>
        <w:pStyle w:val="TextBody"/>
        <w:spacing w:before="120" w:after="0"/>
        <w:jc w:val="left"/>
        <w:rPr>
          <w:rFonts w:ascii="arial" w:hAnsi="arial"/>
          <w:i/>
          <w:sz w:val="21"/>
        </w:rPr>
      </w:pPr>
      <w:r>
        <w:rPr>
          <w:rFonts w:ascii="arial" w:hAnsi="arial"/>
          <w:i/>
          <w:sz w:val="21"/>
        </w:rPr>
        <w:t xml:space="preserve">Community Impact </w:t>
      </w:r>
    </w:p>
    <w:p>
      <w:pPr>
        <w:pStyle w:val="TextBody"/>
        <w:spacing w:before="40" w:after="0"/>
        <w:jc w:val="left"/>
        <w:rPr>
          <w:rFonts w:ascii="arial" w:hAnsi="arial"/>
          <w:sz w:val="20"/>
        </w:rPr>
      </w:pPr>
      <w:r>
        <w:rPr>
          <w:rFonts w:ascii="arial" w:hAnsi="arial"/>
          <w:sz w:val="20"/>
        </w:rPr>
        <w:t xml:space="preserve">At Thomson Reuters, we have a shared responsibility to do business in ways that respect, protect and benefit our customers, our employees, our communities and our environment. To support this corporate value, we encourage employee volunteerism, provide financial and in-kind donations and offer corporate matches for employee donations. </w:t>
      </w:r>
    </w:p>
    <w:p>
      <w:pPr>
        <w:pStyle w:val="TextBody"/>
        <w:spacing w:before="120" w:after="0"/>
        <w:jc w:val="left"/>
        <w:rPr>
          <w:rFonts w:ascii="arial" w:hAnsi="arial"/>
          <w:sz w:val="20"/>
        </w:rPr>
      </w:pPr>
      <w:r>
        <w:rPr>
          <w:rFonts w:ascii="arial" w:hAnsi="arial"/>
          <w:sz w:val="20"/>
        </w:rPr>
        <w:t xml:space="preserve">Every year, Thomson Reuters provides 16 hours of paid volunteer time off (VTO) to every employee and provides an additional 20 hours of paid VTO to a subset of employees with law degrees to provide legal pro bono aid to nonprofit organizations. In 2022, our employees logged over 68,000 volunteer hours in total. Thomson Reuters employees have personal and professional skills that can help our communities address critical needs which, in turn, increases their knowledge about important social issues and develops a variety of relevant organizational skills. In addition to legal pro bono aid, we offer non-legal pro bono and skills-based volunteering opportunities including our IMPACTathon program and Pro Bono Projects program. In 2022, Thomson Reuters employees provided over 14,000 hours in total pro bono support to nonprofit organizations around the world. We also offer a corporate matching gifts program and a payroll giving option for employee donations. In 2022, donations from our employees together with corporate matches totaled nearly US$1.4 million to over 1,400 nonprofits in a dozen different countries. </w:t>
      </w:r>
    </w:p>
    <w:p>
      <w:pPr>
        <w:pStyle w:val="TextBody"/>
        <w:spacing w:before="120" w:after="0"/>
        <w:jc w:val="left"/>
        <w:rPr>
          <w:rFonts w:ascii="arial" w:hAnsi="arial"/>
          <w:sz w:val="20"/>
        </w:rPr>
      </w:pPr>
      <w:r>
        <w:rPr>
          <w:rFonts w:ascii="arial" w:hAnsi="arial"/>
          <w:sz w:val="20"/>
        </w:rPr>
        <w:t xml:space="preserve">Finally, we provide some of our products and services free of charge to various not-for-profit organizations to support their initiatives. For example, Thomson Reuters has provided access to our CLEAR product to the National Center for Missing and Exploited Children since 2010. We also provide our Westlaw, Practical Law and HighQ products to various not-for-profit organizations. </w:t>
      </w:r>
    </w:p>
    <w:p>
      <w:pPr>
        <w:pStyle w:val="TextBody"/>
        <w:spacing w:before="120" w:after="0"/>
        <w:jc w:val="left"/>
        <w:rPr>
          <w:rFonts w:ascii="arial" w:hAnsi="arial"/>
          <w:i/>
          <w:sz w:val="21"/>
        </w:rPr>
      </w:pPr>
      <w:r>
        <w:rPr>
          <w:rFonts w:ascii="arial" w:hAnsi="arial"/>
          <w:i/>
          <w:sz w:val="21"/>
        </w:rPr>
        <w:t xml:space="preserve">The Thomson Reuters Foundation </w:t>
      </w:r>
    </w:p>
    <w:p>
      <w:pPr>
        <w:pStyle w:val="TextBody"/>
        <w:spacing w:before="40" w:after="0"/>
        <w:jc w:val="left"/>
        <w:rPr>
          <w:rFonts w:ascii="arial" w:hAnsi="arial"/>
          <w:sz w:val="20"/>
        </w:rPr>
      </w:pPr>
      <w:r>
        <w:rPr>
          <w:rFonts w:ascii="arial" w:hAnsi="arial"/>
          <w:sz w:val="20"/>
        </w:rPr>
        <w:t xml:space="preserve">The Thomson Reuters Foundation works to protect media freedom, foster more inclusive economies, and raise awareness of human rights issues. </w:t>
      </w:r>
    </w:p>
    <w:p>
      <w:pPr>
        <w:pStyle w:val="TextBody"/>
        <w:spacing w:before="120" w:after="0"/>
        <w:jc w:val="left"/>
        <w:rPr>
          <w:rFonts w:ascii="arial" w:hAnsi="arial"/>
          <w:sz w:val="20"/>
        </w:rPr>
      </w:pPr>
      <w:r>
        <w:rPr>
          <w:rFonts w:ascii="arial" w:hAnsi="arial"/>
          <w:sz w:val="20"/>
        </w:rPr>
        <w:t xml:space="preserve">The Foundation combines its unique media and legal expertise to drive change through a number of services, including its journalists who report from the ground in more than 70 countries. It also offers media development and support to independent journalism, facilitates free legal assistance to NGOs and social enterprises around the world, and hosts opportunities for cross-sector collaboration including its annual human rights forum Trust Conference. Its mission is to inspire collective leadership, empowering people to shape free, fair, and informed societies. </w:t>
      </w:r>
    </w:p>
    <w:p>
      <w:pPr>
        <w:pStyle w:val="TextBody"/>
        <w:spacing w:before="120" w:after="0"/>
        <w:jc w:val="left"/>
        <w:rPr>
          <w:rFonts w:ascii="arial" w:hAnsi="arial"/>
          <w:sz w:val="20"/>
        </w:rPr>
      </w:pPr>
      <w:r>
        <w:rPr>
          <w:rFonts w:ascii="arial" w:hAnsi="arial"/>
          <w:sz w:val="20"/>
        </w:rPr>
        <w:t xml:space="preserve">Additional information on the Foundation can be found at </w:t>
      </w:r>
      <w:r>
        <w:rPr>
          <w:rFonts w:ascii="Arial" w:hAnsi="Arial"/>
          <w:b/>
          <w:color w:val="335367"/>
          <w:sz w:val="20"/>
        </w:rPr>
        <w:t>www.trust.org</w:t>
      </w:r>
      <w:r>
        <w:rPr>
          <w:rFonts w:ascii="arial" w:hAnsi="arial"/>
          <w:sz w:val="20"/>
        </w:rPr>
        <w:t xml:space="preserve">. </w:t>
      </w:r>
    </w:p>
    <w:p>
      <w:pPr>
        <w:pStyle w:val="TextBody"/>
        <w:spacing w:before="120" w:after="0"/>
        <w:jc w:val="left"/>
        <w:rPr>
          <w:rFonts w:ascii="arial" w:hAnsi="arial"/>
          <w:i/>
          <w:sz w:val="21"/>
        </w:rPr>
      </w:pPr>
      <w:r>
        <w:rPr>
          <w:rFonts w:ascii="arial" w:hAnsi="arial"/>
          <w:i/>
          <w:sz w:val="21"/>
        </w:rPr>
        <w:t xml:space="preserve">Governance Practices </w:t>
      </w:r>
    </w:p>
    <w:p>
      <w:pPr>
        <w:pStyle w:val="TextBody"/>
        <w:spacing w:before="40" w:after="0"/>
        <w:jc w:val="left"/>
        <w:rPr>
          <w:rFonts w:ascii="arial" w:hAnsi="arial"/>
          <w:sz w:val="20"/>
        </w:rPr>
      </w:pPr>
      <w:r>
        <w:rPr>
          <w:rFonts w:ascii="arial" w:hAnsi="arial"/>
          <w:sz w:val="20"/>
        </w:rPr>
        <w:t xml:space="preserve">Our Board and its committees oversee ESG initiatives, as discussed in the Corporate Governance Practices section of this circular. The Corporate Governance Committee of the Board of Directors evaluates our ESG strategy and progress and is updated on a quarterly basis by our management. We remain committed to our values and ethics through our governance practices, which include our Code of Business Conduct and Ethics.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32" w:name="tx494196_10"/>
      <w:bookmarkStart w:id="33" w:name="tx494196_35"/>
      <w:bookmarkEnd w:id="32"/>
      <w:bookmarkEnd w:id="33"/>
      <w:r>
        <w:rPr>
          <w:rFonts w:ascii="arial" w:hAnsi="arial"/>
          <w:color w:val="B94831"/>
          <w:sz w:val="52"/>
        </w:rPr>
        <w:t xml:space="preserve">Advisory Resolution on Executive Compensation (Say On Pay)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color w:val="B94831"/>
          <w:sz w:val="30"/>
        </w:rPr>
      </w:pPr>
      <w:r>
        <w:rPr>
          <w:rFonts w:ascii="arial" w:hAnsi="arial"/>
          <w:color w:val="B94831"/>
          <w:sz w:val="30"/>
        </w:rPr>
        <w:t xml:space="preserve">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30"/>
              </w:rPr>
            </w:pPr>
            <w:r>
              <w:rPr>
                <w:rFonts w:ascii="arial" w:hAnsi="arial"/>
                <w:sz w:val="30"/>
              </w:rPr>
              <w:t xml:space="preserve">We are proposing a non-binding advisory say on pay resolution related to executive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30"/>
              </w:rPr>
            </w:pPr>
            <w:r>
              <w:rPr>
                <w:rFonts w:ascii="arial" w:hAnsi="arial"/>
                <w:sz w:val="30"/>
              </w:rPr>
              <w:t xml:space="preserve">This is a recommended best practice of the Canadian Coalition for Good Governance (CCGG).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30"/>
              </w:rPr>
            </w:pPr>
            <w:r>
              <w:rPr>
                <w:rFonts w:ascii="arial" w:hAnsi="arial"/>
                <w:sz w:val="30"/>
              </w:rPr>
              <w:t xml:space="preserve">We plan to continue holding this advisory vote on an annual basis. </w:t>
            </w:r>
          </w:p>
        </w:tc>
      </w:tr>
    </w:tbl>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overall philosophy regarding executive compensation is to pay for performance. We believe this drives our management team to achieve higher levels of results for the benefit of Thomson Reuters and our shareholders. In the Compensation Discussion and Analysis section of this circular, we explain our compensation principles, how we design our compensation program and why we pay each component of compensation. </w:t>
      </w:r>
    </w:p>
    <w:p>
      <w:pPr>
        <w:pStyle w:val="TextBody"/>
        <w:spacing w:before="120" w:after="0"/>
        <w:jc w:val="left"/>
        <w:rPr>
          <w:rFonts w:ascii="arial" w:hAnsi="arial"/>
          <w:sz w:val="20"/>
        </w:rPr>
      </w:pPr>
      <w:r>
        <w:rPr>
          <w:rFonts w:ascii="arial" w:hAnsi="arial"/>
          <w:sz w:val="20"/>
        </w:rPr>
        <w:t xml:space="preserve">As part of our dialogue with shareholders about our executive compensation programs, we are once again proposing a say on pay advisory resolution for this years meeting (as we have done since 2008). An identical resolution was approved by approximately 99% of the votes cast at last years annual meeting of shareholders. Over the last five years, an average of approximately 97% of votes have been cast for our say on pay advisory resolutions. </w:t>
      </w:r>
    </w:p>
    <w:p>
      <w:pPr>
        <w:pStyle w:val="TextBody"/>
        <w:spacing w:before="120" w:after="0"/>
        <w:jc w:val="left"/>
        <w:rPr>
          <w:rFonts w:ascii="arial" w:hAnsi="arial"/>
          <w:sz w:val="20"/>
        </w:rPr>
      </w:pPr>
      <w:r>
        <w:rPr>
          <w:rFonts w:ascii="arial" w:hAnsi="arial"/>
          <w:sz w:val="20"/>
        </w:rPr>
        <w:t xml:space="preserve">As this is an advisory resolution, the results will not be binding upon the Board. However, the Board will take voting results into account, as appropriate, when considering future compensation policies, procedures and decisions and in determining whether there is a need to significantly increase its engagement with shareholders on compensation-related matters. </w:t>
      </w:r>
    </w:p>
    <w:p>
      <w:pPr>
        <w:pStyle w:val="TextBody"/>
        <w:spacing w:before="120" w:after="0"/>
        <w:jc w:val="left"/>
        <w:rPr>
          <w:rFonts w:ascii="arial" w:hAnsi="arial"/>
          <w:sz w:val="20"/>
        </w:rPr>
      </w:pPr>
      <w:r>
        <w:rPr>
          <w:rFonts w:ascii="arial" w:hAnsi="arial"/>
          <w:sz w:val="20"/>
        </w:rPr>
        <w:t xml:space="preserve">We will disclose the results of the shareholder advisory resolution as part of our report on voting results for the meeting. </w:t>
      </w:r>
    </w:p>
    <w:p>
      <w:pPr>
        <w:pStyle w:val="TextBody"/>
        <w:spacing w:before="120" w:after="0"/>
        <w:jc w:val="left"/>
        <w:rPr>
          <w:rFonts w:ascii="arial" w:hAnsi="arial"/>
          <w:sz w:val="20"/>
        </w:rPr>
      </w:pPr>
      <w:r>
        <w:rPr>
          <w:rFonts w:ascii="arial" w:hAnsi="arial"/>
          <w:sz w:val="20"/>
        </w:rPr>
        <w:t xml:space="preserve">Our named executive officers for purposes of the Compensation Discussion and Analysis section of this circular are our CEO (Steve Hasker), our CFO (Mike Eastwood) and the three other most highly compensated executive officers as of December 31, 2022 (Brian Peccarelli  Former Chief Operating Officer, Customer Markets; Former President, Corporates; Kirsty Roth  Chief Operations and Technology Officer; and David Wong  Chief Product Officer). As discussed in this circular, Mr. Peccarellis last day at Thomson Reuters was April 3, 2023. </w:t>
      </w:r>
    </w:p>
    <w:p>
      <w:pPr>
        <w:pStyle w:val="TextBody"/>
        <w:spacing w:before="120" w:after="0"/>
        <w:jc w:val="left"/>
        <w:rPr>
          <w:rFonts w:ascii="arial" w:hAnsi="arial"/>
          <w:sz w:val="20"/>
        </w:rPr>
      </w:pPr>
      <w:r>
        <w:rPr>
          <w:rFonts w:ascii="arial" w:hAnsi="arial"/>
          <w:sz w:val="20"/>
        </w:rPr>
        <w:t xml:space="preserve">Shareholders with questions about our compensation programs are encouraged to contact our Investor Relations department by e-mail at </w:t>
      </w:r>
      <w:r>
        <w:rPr>
          <w:rFonts w:ascii="Arial" w:hAnsi="Arial"/>
          <w:b/>
          <w:color w:val="335367"/>
          <w:sz w:val="20"/>
        </w:rPr>
        <w:t>investor.relations@tr.com</w:t>
      </w:r>
      <w:r>
        <w:rPr>
          <w:rFonts w:ascii="arial" w:hAnsi="arial"/>
          <w:sz w:val="20"/>
        </w:rPr>
        <w:t xml:space="preserve"> or by phone at 1.332.219.1046. </w:t>
      </w:r>
    </w:p>
    <w:p>
      <w:pPr>
        <w:pStyle w:val="TextBody"/>
        <w:spacing w:before="120" w:after="0"/>
        <w:jc w:val="left"/>
        <w:rPr>
          <w:rFonts w:ascii="arial" w:hAnsi="arial"/>
          <w:sz w:val="20"/>
        </w:rPr>
      </w:pPr>
      <w:r>
        <w:rPr>
          <w:rFonts w:ascii="Arial" w:hAnsi="Arial"/>
          <w:b/>
          <w:sz w:val="20"/>
        </w:rPr>
        <w:t>The Board unanimously recommends that you vote FOR the following resolution:</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RESOLVED, on an advisory basis, and not to diminish the role and responsibilities of the Board of Directors, that the shareholders accept the approach to executive compensation as described in the 2023 management proxy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34" w:name="tx494196_36"/>
      <w:bookmarkEnd w:id="34"/>
      <w:r>
        <w:rPr>
          <w:rFonts w:ascii="arial" w:hAnsi="arial"/>
          <w:color w:val="B94831"/>
          <w:sz w:val="52"/>
        </w:rPr>
        <w:t xml:space="preserve">Compensation Discussion and Analysis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b/>
          <w:sz w:val="28"/>
        </w:rPr>
      </w:pPr>
      <w:r>
        <w:rPr>
          <w:rFonts w:ascii="Arial" w:hAnsi="Arial"/>
          <w:b/>
          <w:sz w:val="28"/>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33"/>
        <w:gridCol w:w="262"/>
        <w:gridCol w:w="105"/>
        <w:gridCol w:w="105"/>
        <w:gridCol w:w="354"/>
        <w:gridCol w:w="46"/>
      </w:tblGrid>
      <w:tr>
        <w:trPr/>
        <w:tc>
          <w:tcPr>
            <w:tcW w:w="933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r>
      <w:tr>
        <w:trPr/>
        <w:tc>
          <w:tcPr>
            <w:tcW w:w="933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10" w:type="dxa"/>
            <w:gridSpan w:val="4"/>
            <w:tcBorders>
              <w:bottom w:val="single" w:sz="8" w:space="0" w:color="000000"/>
            </w:tcBorders>
            <w:shd w:fill="auto" w:val="clear"/>
            <w:tcMar>
              <w:bottom w:w="28" w:type="dxa"/>
            </w:tcMar>
            <w:vAlign w:val="bottom"/>
          </w:tcPr>
          <w:p>
            <w:pPr>
              <w:pStyle w:val="TableContents"/>
              <w:spacing w:before="0" w:after="283"/>
              <w:jc w:val="center"/>
              <w:rPr>
                <w:rFonts w:ascii="Arial" w:hAnsi="Arial"/>
                <w:b/>
              </w:rPr>
            </w:pPr>
            <w:r>
              <w:rPr>
                <w:rFonts w:ascii="Arial" w:hAnsi="Arial"/>
                <w:b/>
              </w:rPr>
              <w:t>Page</w:t>
            </w:r>
          </w:p>
        </w:tc>
      </w:tr>
      <w:tr>
        <w:trPr/>
        <w:tc>
          <w:tcPr>
            <w:tcW w:w="9333" w:type="dxa"/>
            <w:tcBorders/>
            <w:shd w:fill="auto" w:val="clear"/>
          </w:tcPr>
          <w:p>
            <w:pPr>
              <w:pStyle w:val="TableContents"/>
              <w:spacing w:lineRule="atLeast" w:line="220" w:before="0" w:after="0"/>
              <w:rPr/>
            </w:pPr>
            <w:hyperlink w:anchor="tx494196_cd1">
              <w:r>
                <w:rPr>
                  <w:rStyle w:val="InternetLink"/>
                  <w:rFonts w:ascii="Arial" w:hAnsi="Arial"/>
                  <w:b/>
                  <w:sz w:val="16"/>
                </w:rPr>
                <w:t>Executive Summary</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68</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
              <w:r>
                <w:rPr>
                  <w:rStyle w:val="InternetLink"/>
                  <w:rFonts w:ascii="Arial" w:hAnsi="Arial"/>
                  <w:b/>
                  <w:sz w:val="16"/>
                </w:rPr>
                <w:t>Key 2023 Compensation Developments and Decisions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3">
              <w:r>
                <w:rPr>
                  <w:rStyle w:val="InternetLink"/>
                  <w:rFonts w:ascii="Arial" w:hAnsi="Arial"/>
                  <w:b/>
                  <w:sz w:val="16"/>
                </w:rPr>
                <w:t>Our 2022 Compensation Program</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72</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4">
              <w:r>
                <w:rPr>
                  <w:rStyle w:val="InternetLink"/>
                  <w:rFonts w:ascii="Arial" w:hAnsi="Arial"/>
                  <w:b/>
                  <w:sz w:val="16"/>
                </w:rPr>
                <w:t>Our Process for Designing and Determining Executive Compensation</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73</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5">
              <w:r>
                <w:rPr>
                  <w:rStyle w:val="InternetLink"/>
                  <w:rFonts w:ascii="Arial" w:hAnsi="Arial"/>
                  <w:b/>
                  <w:sz w:val="16"/>
                </w:rPr>
                <w:t>Our Key Compensation Principles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74</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6">
              <w:r>
                <w:rPr>
                  <w:rStyle w:val="InternetLink"/>
                  <w:rFonts w:ascii="arial" w:hAnsi="arial"/>
                  <w:i/>
                  <w:sz w:val="16"/>
                </w:rPr>
                <w:t>Pay for performance is the foundation of our executive compensation program</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75</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7">
              <w:r>
                <w:rPr>
                  <w:rStyle w:val="InternetLink"/>
                  <w:rFonts w:ascii="arial" w:hAnsi="arial"/>
                  <w:i/>
                  <w:sz w:val="16"/>
                </w:rPr>
                <w:t>Incentive performance goals are linked to key measures of our companys performance and strategy</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75</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8">
              <w:r>
                <w:rPr>
                  <w:rStyle w:val="InternetLink"/>
                  <w:rFonts w:ascii="arial" w:hAnsi="arial"/>
                  <w:i/>
                  <w:sz w:val="16"/>
                </w:rPr>
                <w:t>Our executives should accumulate and retain equity in our company to align their interests with our shareholders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76</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9">
              <w:r>
                <w:rPr>
                  <w:rStyle w:val="InternetLink"/>
                  <w:rFonts w:ascii="arial" w:hAnsi="arial"/>
                  <w:i/>
                  <w:sz w:val="16"/>
                </w:rPr>
                <w:t>We provide competitive compensation opportunities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77</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0">
              <w:r>
                <w:rPr>
                  <w:rStyle w:val="InternetLink"/>
                  <w:rFonts w:ascii="arial" w:hAnsi="arial"/>
                  <w:i/>
                  <w:sz w:val="16"/>
                </w:rPr>
                <w:t>Our compensation programs take risk into account and do not encourage unnecessary or excessive risk taking</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79</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1">
              <w:r>
                <w:rPr>
                  <w:rStyle w:val="InternetLink"/>
                  <w:rFonts w:ascii="Arial" w:hAnsi="Arial"/>
                  <w:b/>
                  <w:sz w:val="16"/>
                </w:rPr>
                <w:t>2022 Compensation</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80</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2">
              <w:r>
                <w:rPr>
                  <w:rStyle w:val="InternetLink"/>
                  <w:rFonts w:ascii="arial" w:hAnsi="arial"/>
                  <w:i/>
                  <w:sz w:val="16"/>
                </w:rPr>
                <w:t>Base salary</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80</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3">
              <w:r>
                <w:rPr>
                  <w:rStyle w:val="InternetLink"/>
                  <w:rFonts w:ascii="arial" w:hAnsi="arial"/>
                  <w:i/>
                  <w:sz w:val="16"/>
                </w:rPr>
                <w:t>Annual incentive awards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80</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4">
              <w:r>
                <w:rPr>
                  <w:rStyle w:val="InternetLink"/>
                  <w:rFonts w:ascii="arial" w:hAnsi="arial"/>
                  <w:i/>
                  <w:sz w:val="16"/>
                </w:rPr>
                <w:t>Long-term incentive awards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83</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5">
              <w:r>
                <w:rPr>
                  <w:rStyle w:val="InternetLink"/>
                  <w:rFonts w:ascii="Arial" w:hAnsi="Arial"/>
                  <w:b/>
                  <w:sz w:val="16"/>
                </w:rPr>
                <w:t xml:space="preserve">2022 Named Executive Officer Compensation and Key Accomplishments </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86</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6">
              <w:r>
                <w:rPr>
                  <w:rStyle w:val="InternetLink"/>
                  <w:rFonts w:ascii="Arial" w:hAnsi="Arial"/>
                  <w:b/>
                  <w:sz w:val="16"/>
                </w:rPr>
                <w:t>Additional Information</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7">
              <w:r>
                <w:rPr>
                  <w:rStyle w:val="InternetLink"/>
                  <w:rFonts w:ascii="arial" w:hAnsi="arial"/>
                  <w:i/>
                  <w:sz w:val="16"/>
                </w:rPr>
                <w:t>Retirement and other benefits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8">
              <w:r>
                <w:rPr>
                  <w:rStyle w:val="InternetLink"/>
                  <w:rFonts w:ascii="arial" w:hAnsi="arial"/>
                  <w:i/>
                  <w:sz w:val="16"/>
                </w:rPr>
                <w:t>Perquisites and other personal benefits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19">
              <w:r>
                <w:rPr>
                  <w:rStyle w:val="InternetLink"/>
                  <w:rFonts w:ascii="arial" w:hAnsi="arial"/>
                  <w:i/>
                  <w:sz w:val="16"/>
                </w:rPr>
                <w:t>Insurance policies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0">
              <w:r>
                <w:rPr>
                  <w:rStyle w:val="InternetLink"/>
                  <w:rFonts w:ascii="arial" w:hAnsi="arial"/>
                  <w:i/>
                  <w:sz w:val="16"/>
                </w:rPr>
                <w:t>Termination benefits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1">
              <w:r>
                <w:rPr>
                  <w:rStyle w:val="InternetLink"/>
                  <w:rFonts w:ascii="arial" w:hAnsi="arial"/>
                  <w:i/>
                  <w:sz w:val="16"/>
                </w:rPr>
                <w:t>Equity grant policy</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91</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2">
              <w:r>
                <w:rPr>
                  <w:rStyle w:val="InternetLink"/>
                  <w:rFonts w:ascii="arial" w:hAnsi="arial"/>
                  <w:i/>
                  <w:sz w:val="16"/>
                </w:rPr>
                <w:t>Clawback policy</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92</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3">
              <w:r>
                <w:rPr>
                  <w:rStyle w:val="InternetLink"/>
                  <w:rFonts w:ascii="arial" w:hAnsi="arial"/>
                  <w:i/>
                  <w:sz w:val="16"/>
                </w:rPr>
                <w:t>Insider trading policies/pledging and hedging restrictions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92</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4">
              <w:r>
                <w:rPr>
                  <w:rStyle w:val="InternetLink"/>
                  <w:rFonts w:ascii="arial" w:hAnsi="arial"/>
                  <w:i/>
                  <w:sz w:val="16"/>
                </w:rPr>
                <w:t>Performance graphs</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92</w:t>
            </w:r>
          </w:p>
        </w:tc>
        <w:tc>
          <w:tcPr>
            <w:tcW w:w="46" w:type="dxa"/>
            <w:tcBorders/>
            <w:shd w:fill="auto" w:val="clear"/>
            <w:vAlign w:val="bottom"/>
          </w:tcPr>
          <w:p>
            <w:pPr>
              <w:pStyle w:val="TableContents"/>
              <w:spacing w:before="0" w:after="283"/>
              <w:rPr>
                <w:sz w:val="4"/>
                <w:szCs w:val="4"/>
              </w:rPr>
            </w:pPr>
            <w:r>
              <w:rPr>
                <w:sz w:val="4"/>
                <w:szCs w:val="4"/>
              </w:rPr>
            </w:r>
          </w:p>
        </w:tc>
      </w:tr>
      <w:tr>
        <w:trPr/>
        <w:tc>
          <w:tcPr>
            <w:tcW w:w="9333" w:type="dxa"/>
            <w:tcBorders/>
            <w:shd w:fill="auto" w:val="clear"/>
          </w:tcPr>
          <w:p>
            <w:pPr>
              <w:pStyle w:val="TableContents"/>
              <w:spacing w:lineRule="atLeast" w:line="220" w:before="0" w:after="0"/>
              <w:rPr/>
            </w:pPr>
            <w:hyperlink w:anchor="tx494196_cd25">
              <w:r>
                <w:rPr>
                  <w:rStyle w:val="InternetLink"/>
                  <w:rFonts w:ascii="arial" w:hAnsi="arial"/>
                  <w:i/>
                  <w:sz w:val="16"/>
                </w:rPr>
                <w:t>Historic named executive officer compensation</w:t>
              </w:r>
            </w:hyperlink>
          </w:p>
        </w:tc>
        <w:tc>
          <w:tcPr>
            <w:tcW w:w="26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lineRule="atLeast" w:line="220" w:before="0" w:after="0"/>
              <w:rPr/>
            </w:pPr>
            <w:r>
              <w:rPr/>
              <w:t> </w:t>
            </w:r>
          </w:p>
        </w:tc>
        <w:tc>
          <w:tcPr>
            <w:tcW w:w="354" w:type="dxa"/>
            <w:tcBorders/>
            <w:shd w:fill="auto" w:val="clear"/>
            <w:vAlign w:val="bottom"/>
          </w:tcPr>
          <w:p>
            <w:pPr>
              <w:pStyle w:val="TableContents"/>
              <w:spacing w:lineRule="atLeast" w:line="220" w:before="0" w:after="0"/>
              <w:jc w:val="right"/>
              <w:rPr>
                <w:rFonts w:ascii="arial" w:hAnsi="arial"/>
                <w:sz w:val="16"/>
              </w:rPr>
            </w:pPr>
            <w:r>
              <w:rPr>
                <w:rFonts w:ascii="arial" w:hAnsi="arial"/>
                <w:sz w:val="16"/>
              </w:rPr>
              <w:t>93</w:t>
            </w:r>
          </w:p>
        </w:tc>
        <w:tc>
          <w:tcPr>
            <w:tcW w:w="46" w:type="dxa"/>
            <w:tcBorders/>
            <w:shd w:fill="auto" w:val="clear"/>
            <w:vAlign w:val="bottom"/>
          </w:tcPr>
          <w:p>
            <w:pPr>
              <w:pStyle w:val="TableContents"/>
              <w:spacing w:before="0" w:after="283"/>
              <w:rPr>
                <w:sz w:val="4"/>
                <w:szCs w:val="4"/>
              </w:rPr>
            </w:pPr>
            <w:r>
              <w:rPr>
                <w:sz w:val="4"/>
                <w:szCs w:val="4"/>
              </w:rPr>
            </w:r>
          </w:p>
        </w:tc>
      </w:tr>
    </w:tbl>
    <w:p>
      <w:pPr>
        <w:pStyle w:val="TextBody"/>
        <w:spacing w:before="120" w:after="0"/>
        <w:jc w:val="left"/>
        <w:rPr>
          <w:rFonts w:ascii="Arial" w:hAnsi="Arial"/>
          <w:b/>
          <w:sz w:val="28"/>
        </w:rPr>
      </w:pPr>
      <w:bookmarkStart w:id="35" w:name="tx494196_cd1"/>
      <w:bookmarkStart w:id="36" w:name="tx494196_37"/>
      <w:bookmarkEnd w:id="35"/>
      <w:bookmarkEnd w:id="36"/>
      <w:r>
        <w:rPr>
          <w:rFonts w:ascii="Arial" w:hAnsi="Arial"/>
          <w:b/>
          <w:sz w:val="28"/>
        </w:rPr>
        <w:t xml:space="preserve">Executive Summary </w:t>
      </w:r>
    </w:p>
    <w:p>
      <w:pPr>
        <w:pStyle w:val="TextBody"/>
        <w:spacing w:before="40" w:after="0"/>
        <w:jc w:val="left"/>
        <w:rPr>
          <w:rFonts w:ascii="arial" w:hAnsi="arial"/>
          <w:i/>
          <w:sz w:val="18"/>
        </w:rPr>
      </w:pPr>
      <w:r>
        <w:rPr>
          <w:rFonts w:ascii="arial" w:hAnsi="arial"/>
          <w:i/>
          <w:sz w:val="18"/>
        </w:rPr>
        <w:t xml:space="preserve">Pay for performance is the foundation of our compensation philosophy for our named executive officers. Their compensation is primarily variable and performance-based, utilizing multiple and complementary financial measures that are aligned with our strategy to drive shareholder value. This section explains our compensation principles, how we design our compensation program, why we pay each component of compensation, how we performed and what we paid to our named executive officers in 2022. Our named executive officers for 2022 are: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29"/>
        <w:gridCol w:w="23"/>
        <w:gridCol w:w="2289"/>
        <w:gridCol w:w="23"/>
        <w:gridCol w:w="438"/>
        <w:gridCol w:w="438"/>
        <w:gridCol w:w="438"/>
        <w:gridCol w:w="438"/>
        <w:gridCol w:w="23"/>
        <w:gridCol w:w="441"/>
        <w:gridCol w:w="442"/>
        <w:gridCol w:w="442"/>
        <w:gridCol w:w="442"/>
        <w:gridCol w:w="23"/>
        <w:gridCol w:w="441"/>
        <w:gridCol w:w="441"/>
        <w:gridCol w:w="441"/>
        <w:gridCol w:w="453"/>
      </w:tblGrid>
      <w:tr>
        <w:trPr/>
        <w:tc>
          <w:tcPr>
            <w:tcW w:w="252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r>
      <w:tr>
        <w:trPr/>
        <w:tc>
          <w:tcPr>
            <w:tcW w:w="2529" w:type="dxa"/>
            <w:tcBorders/>
            <w:shd w:fill="auto" w:val="clear"/>
            <w:vAlign w:val="bottom"/>
          </w:tcPr>
          <w:p>
            <w:pPr>
              <w:pStyle w:val="TableContents"/>
              <w:spacing w:before="0" w:after="0"/>
              <w:jc w:val="center"/>
              <w:rPr/>
            </w:pPr>
            <w:r>
              <w:rPr/>
              <w:drawing>
                <wp:inline distT="0" distB="0" distL="0" distR="0">
                  <wp:extent cx="108585" cy="10858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center"/>
              <w:rPr>
                <w:rFonts w:ascii="Arial" w:hAnsi="Arial"/>
                <w:b/>
                <w:sz w:val="18"/>
              </w:rPr>
            </w:pPr>
            <w:r>
              <w:rPr>
                <w:rFonts w:ascii="Arial" w:hAnsi="Arial"/>
                <w:b/>
                <w:sz w:val="18"/>
              </w:rPr>
              <w:t>Steve Hasker</w:t>
            </w:r>
          </w:p>
          <w:p>
            <w:pPr>
              <w:pStyle w:val="TableContents"/>
              <w:spacing w:before="0" w:after="0"/>
              <w:jc w:val="center"/>
              <w:rPr>
                <w:rFonts w:ascii="arial" w:hAnsi="arial"/>
                <w:sz w:val="18"/>
              </w:rPr>
            </w:pPr>
            <w:r>
              <w:rPr>
                <w:rFonts w:ascii="arial" w:hAnsi="arial"/>
                <w:sz w:val="18"/>
              </w:rPr>
              <w:t>President &amp; Chief Executive</w:t>
              <w:br/>
              <w:t>Officer</w:t>
            </w:r>
          </w:p>
          <w:p>
            <w:pPr>
              <w:pStyle w:val="TableContents"/>
              <w:spacing w:before="0" w:after="20"/>
              <w:jc w:val="left"/>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289" w:type="dxa"/>
            <w:tcBorders/>
            <w:shd w:fill="auto" w:val="clear"/>
            <w:vAlign w:val="bottom"/>
          </w:tcPr>
          <w:p>
            <w:pPr>
              <w:pStyle w:val="TableContents"/>
              <w:spacing w:before="0" w:after="0"/>
              <w:jc w:val="center"/>
              <w:rPr/>
            </w:pPr>
            <w:r>
              <w:rPr/>
              <w:drawing>
                <wp:inline distT="0" distB="0" distL="0" distR="0">
                  <wp:extent cx="108585" cy="10858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center"/>
              <w:rPr>
                <w:rFonts w:ascii="Arial" w:hAnsi="Arial"/>
                <w:b/>
                <w:sz w:val="18"/>
              </w:rPr>
            </w:pPr>
            <w:r>
              <w:rPr>
                <w:rFonts w:ascii="Arial" w:hAnsi="Arial"/>
                <w:b/>
                <w:sz w:val="18"/>
              </w:rPr>
              <w:t>Mike Eastwood</w:t>
            </w:r>
          </w:p>
          <w:p>
            <w:pPr>
              <w:pStyle w:val="TableContents"/>
              <w:spacing w:before="0" w:after="0"/>
              <w:jc w:val="center"/>
              <w:rPr>
                <w:rFonts w:ascii="arial" w:hAnsi="arial"/>
                <w:sz w:val="18"/>
              </w:rPr>
            </w:pPr>
            <w:r>
              <w:rPr>
                <w:rFonts w:ascii="arial" w:hAnsi="arial"/>
                <w:sz w:val="18"/>
              </w:rPr>
              <w:t>Chief Financial Officer</w:t>
            </w:r>
          </w:p>
          <w:p>
            <w:pPr>
              <w:pStyle w:val="TableContents"/>
              <w:spacing w:before="0" w:after="20"/>
              <w:jc w:val="left"/>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752" w:type="dxa"/>
            <w:gridSpan w:val="4"/>
            <w:tcBorders/>
            <w:shd w:fill="auto" w:val="clear"/>
          </w:tcPr>
          <w:p>
            <w:pPr>
              <w:pStyle w:val="TableContents"/>
              <w:spacing w:before="0" w:after="0"/>
              <w:jc w:val="center"/>
              <w:rPr/>
            </w:pPr>
            <w:r>
              <w:rPr/>
              <w:drawing>
                <wp:inline distT="0" distB="0" distL="0" distR="0">
                  <wp:extent cx="704215" cy="70421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04215" cy="704215"/>
                          </a:xfrm>
                          <a:prstGeom prst="rect">
                            <a:avLst/>
                          </a:prstGeom>
                        </pic:spPr>
                      </pic:pic>
                    </a:graphicData>
                  </a:graphic>
                </wp:inline>
              </w:drawing>
            </w:r>
            <w:r>
              <w:rPr/>
              <w:t xml:space="preserve"> </w:t>
            </w:r>
          </w:p>
          <w:p>
            <w:pPr>
              <w:pStyle w:val="TableContents"/>
              <w:spacing w:before="0" w:after="0"/>
              <w:jc w:val="center"/>
              <w:rPr>
                <w:rFonts w:ascii="Arial" w:hAnsi="Arial"/>
                <w:b/>
                <w:sz w:val="18"/>
              </w:rPr>
            </w:pPr>
            <w:r>
              <w:rPr>
                <w:rFonts w:ascii="Arial" w:hAnsi="Arial"/>
                <w:b/>
                <w:sz w:val="18"/>
              </w:rPr>
              <w:t>Brian Peccarelli</w:t>
            </w:r>
          </w:p>
          <w:p>
            <w:pPr>
              <w:pStyle w:val="TableContents"/>
              <w:spacing w:before="0" w:after="0"/>
              <w:jc w:val="center"/>
              <w:rPr>
                <w:rFonts w:ascii="arial" w:hAnsi="arial"/>
                <w:sz w:val="18"/>
              </w:rPr>
            </w:pPr>
            <w:r>
              <w:rPr>
                <w:rFonts w:ascii="arial" w:hAnsi="arial"/>
                <w:sz w:val="18"/>
              </w:rPr>
              <w:t>Former Chief</w:t>
              <w:br/>
              <w:t>Operating Officer,</w:t>
            </w:r>
          </w:p>
          <w:p>
            <w:pPr>
              <w:pStyle w:val="TableContents"/>
              <w:spacing w:before="0" w:after="20"/>
              <w:jc w:val="center"/>
              <w:rPr>
                <w:rFonts w:ascii="arial" w:hAnsi="arial"/>
                <w:sz w:val="18"/>
              </w:rPr>
            </w:pPr>
            <w:r>
              <w:rPr>
                <w:rFonts w:ascii="arial" w:hAnsi="arial"/>
                <w:sz w:val="18"/>
              </w:rPr>
              <w:t>Customer Markets;</w:t>
              <w:br/>
              <w:t>Former President,</w:t>
              <w:br/>
              <w:t>Corporates</w:t>
            </w:r>
          </w:p>
        </w:tc>
        <w:tc>
          <w:tcPr>
            <w:tcW w:w="23" w:type="dxa"/>
            <w:tcBorders/>
            <w:shd w:fill="auto" w:val="clear"/>
            <w:vAlign w:val="bottom"/>
          </w:tcPr>
          <w:p>
            <w:pPr>
              <w:pStyle w:val="TableContents"/>
              <w:spacing w:before="0" w:after="283"/>
              <w:rPr>
                <w:sz w:val="4"/>
                <w:szCs w:val="4"/>
              </w:rPr>
            </w:pPr>
            <w:r>
              <w:rPr>
                <w:sz w:val="4"/>
                <w:szCs w:val="4"/>
              </w:rPr>
            </w:r>
          </w:p>
        </w:tc>
        <w:tc>
          <w:tcPr>
            <w:tcW w:w="1767" w:type="dxa"/>
            <w:gridSpan w:val="4"/>
            <w:tcBorders/>
            <w:shd w:fill="auto" w:val="clear"/>
            <w:vAlign w:val="bottom"/>
          </w:tcPr>
          <w:p>
            <w:pPr>
              <w:pStyle w:val="TableContents"/>
              <w:spacing w:before="0" w:after="0"/>
              <w:jc w:val="center"/>
              <w:rPr/>
            </w:pPr>
            <w:r>
              <w:rPr/>
              <w:drawing>
                <wp:inline distT="0" distB="0" distL="0" distR="0">
                  <wp:extent cx="108585" cy="10858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center"/>
              <w:rPr>
                <w:rFonts w:ascii="Arial" w:hAnsi="Arial"/>
                <w:b/>
                <w:sz w:val="18"/>
              </w:rPr>
            </w:pPr>
            <w:r>
              <w:rPr>
                <w:rFonts w:ascii="Arial" w:hAnsi="Arial"/>
                <w:b/>
                <w:sz w:val="18"/>
              </w:rPr>
              <w:t>Kirsty Roth</w:t>
            </w:r>
          </w:p>
          <w:p>
            <w:pPr>
              <w:pStyle w:val="TableContents"/>
              <w:spacing w:before="0" w:after="0"/>
              <w:jc w:val="center"/>
              <w:rPr>
                <w:rFonts w:ascii="arial" w:hAnsi="arial"/>
                <w:sz w:val="18"/>
              </w:rPr>
            </w:pPr>
            <w:r>
              <w:rPr>
                <w:rFonts w:ascii="arial" w:hAnsi="arial"/>
                <w:sz w:val="18"/>
              </w:rPr>
              <w:t>Chief Operations and</w:t>
              <w:br/>
              <w:t>Technology Officer</w:t>
            </w:r>
          </w:p>
          <w:p>
            <w:pPr>
              <w:pStyle w:val="TableContents"/>
              <w:spacing w:before="0" w:after="20"/>
              <w:jc w:val="left"/>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776" w:type="dxa"/>
            <w:gridSpan w:val="4"/>
            <w:tcBorders/>
            <w:shd w:fill="auto" w:val="clear"/>
            <w:vAlign w:val="bottom"/>
          </w:tcPr>
          <w:p>
            <w:pPr>
              <w:pStyle w:val="TableContents"/>
              <w:spacing w:before="0" w:after="0"/>
              <w:jc w:val="center"/>
              <w:rPr/>
            </w:pPr>
            <w:r>
              <w:rPr/>
              <w:drawing>
                <wp:inline distT="0" distB="0" distL="0" distR="0">
                  <wp:extent cx="108585" cy="10858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08585" cy="108585"/>
                          </a:xfrm>
                          <a:prstGeom prst="rect">
                            <a:avLst/>
                          </a:prstGeom>
                        </pic:spPr>
                      </pic:pic>
                    </a:graphicData>
                  </a:graphic>
                </wp:inline>
              </w:drawing>
            </w:r>
            <w:r>
              <w:rPr/>
              <w:t xml:space="preserve"> </w:t>
            </w:r>
          </w:p>
          <w:p>
            <w:pPr>
              <w:pStyle w:val="TableContents"/>
              <w:spacing w:before="0" w:after="0"/>
              <w:jc w:val="center"/>
              <w:rPr>
                <w:rFonts w:ascii="Arial" w:hAnsi="Arial"/>
                <w:b/>
                <w:sz w:val="18"/>
              </w:rPr>
            </w:pPr>
            <w:r>
              <w:rPr>
                <w:rFonts w:ascii="Arial" w:hAnsi="Arial"/>
                <w:b/>
                <w:sz w:val="18"/>
              </w:rPr>
              <w:t>David Wong</w:t>
            </w:r>
          </w:p>
          <w:p>
            <w:pPr>
              <w:pStyle w:val="TableContents"/>
              <w:spacing w:before="0" w:after="0"/>
              <w:jc w:val="center"/>
              <w:rPr>
                <w:rFonts w:ascii="arial" w:hAnsi="arial"/>
                <w:sz w:val="18"/>
              </w:rPr>
            </w:pPr>
            <w:r>
              <w:rPr>
                <w:rFonts w:ascii="arial" w:hAnsi="arial"/>
                <w:sz w:val="18"/>
              </w:rPr>
              <w:t>Chief Product Officer</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68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2022 Performance Highlights </w:t>
      </w:r>
    </w:p>
    <w:p>
      <w:pPr>
        <w:pStyle w:val="TextBody"/>
        <w:spacing w:before="40" w:after="0"/>
        <w:jc w:val="left"/>
        <w:rPr>
          <w:rFonts w:ascii="arial" w:hAnsi="arial"/>
          <w:sz w:val="20"/>
        </w:rPr>
      </w:pPr>
      <w:r>
        <w:rPr>
          <w:rFonts w:ascii="arial" w:hAnsi="arial"/>
          <w:sz w:val="20"/>
        </w:rPr>
        <w:t xml:space="preserve">For Thomson Reuters, 2022 was a year of significant progress. Relative to our financial results, we met or exceeded our organic revenue growth, adjusted EBITDA margin and free cash flow performance metrics in our 2022 updated outlook, which we confirmed in November 2022. We completed our two-year Change Program, achieving $540 million of annualized operating expense run rate savings, and made significant progress transforming Thomson Reuters into a more streamlined and scalable business that we believe now has a strong foundation for sustainable future growth.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35"/>
        <w:gridCol w:w="171"/>
        <w:gridCol w:w="2651"/>
        <w:gridCol w:w="203"/>
        <w:gridCol w:w="2650"/>
        <w:gridCol w:w="419"/>
        <w:gridCol w:w="178"/>
        <w:gridCol w:w="715"/>
        <w:gridCol w:w="183"/>
      </w:tblGrid>
      <w:tr>
        <w:trPr/>
        <w:tc>
          <w:tcPr>
            <w:tcW w:w="303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65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3035" w:type="dxa"/>
            <w:tcBorders/>
            <w:shd w:fill="262626" w:val="clear"/>
            <w:vAlign w:val="center"/>
          </w:tcPr>
          <w:p>
            <w:pPr>
              <w:pStyle w:val="TableContents"/>
              <w:spacing w:before="0" w:after="283"/>
              <w:rPr>
                <w:sz w:val="4"/>
                <w:szCs w:val="4"/>
              </w:rPr>
            </w:pPr>
            <w:r>
              <w:rPr>
                <w:sz w:val="4"/>
                <w:szCs w:val="4"/>
              </w:rPr>
            </w:r>
          </w:p>
        </w:tc>
        <w:tc>
          <w:tcPr>
            <w:tcW w:w="2822" w:type="dxa"/>
            <w:gridSpan w:val="2"/>
            <w:tcBorders/>
            <w:shd w:fill="262626" w:val="clear"/>
            <w:vAlign w:val="center"/>
          </w:tcPr>
          <w:p>
            <w:pPr>
              <w:pStyle w:val="TableContents"/>
              <w:spacing w:before="0" w:after="283"/>
              <w:rPr>
                <w:sz w:val="4"/>
                <w:szCs w:val="4"/>
              </w:rPr>
            </w:pPr>
            <w:r>
              <w:rPr>
                <w:sz w:val="4"/>
                <w:szCs w:val="4"/>
              </w:rPr>
            </w:r>
          </w:p>
        </w:tc>
        <w:tc>
          <w:tcPr>
            <w:tcW w:w="4348" w:type="dxa"/>
            <w:gridSpan w:val="6"/>
            <w:tcBorders/>
            <w:shd w:fill="262626" w:val="clear"/>
            <w:vAlign w:val="center"/>
          </w:tcPr>
          <w:p>
            <w:pPr>
              <w:pStyle w:val="TableContents"/>
              <w:spacing w:before="0" w:after="283"/>
              <w:rPr>
                <w:sz w:val="4"/>
                <w:szCs w:val="4"/>
              </w:rPr>
            </w:pPr>
            <w:r>
              <w:rPr>
                <w:sz w:val="4"/>
                <w:szCs w:val="4"/>
              </w:rPr>
            </w:r>
          </w:p>
        </w:tc>
      </w:tr>
      <w:tr>
        <w:trPr/>
        <w:tc>
          <w:tcPr>
            <w:tcW w:w="3035"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r>
              <w:rPr>
                <w:rFonts w:ascii="Arial" w:hAnsi="Arial"/>
                <w:b/>
                <w:color w:val="FFFFFF"/>
              </w:rPr>
              <w:t>Total Thomson Reuters</w:t>
            </w:r>
          </w:p>
        </w:tc>
        <w:tc>
          <w:tcPr>
            <w:tcW w:w="171" w:type="dxa"/>
            <w:tcBorders>
              <w:bottom w:val="single" w:sz="8" w:space="0" w:color="B94831"/>
            </w:tcBorders>
            <w:shd w:fill="262626" w:val="clear"/>
            <w:tcMar>
              <w:bottom w:w="28" w:type="dxa"/>
            </w:tcMar>
            <w:vAlign w:val="bottom"/>
          </w:tcPr>
          <w:p>
            <w:pPr>
              <w:pStyle w:val="TableContents"/>
              <w:spacing w:before="0" w:after="283"/>
              <w:rPr/>
            </w:pPr>
            <w:r>
              <w:rPr/>
              <w:t>  </w:t>
            </w:r>
          </w:p>
        </w:tc>
        <w:tc>
          <w:tcPr>
            <w:tcW w:w="2651" w:type="dxa"/>
            <w:tcBorders>
              <w:bottom w:val="single" w:sz="8"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2022 Updated Outlook</w:t>
            </w:r>
          </w:p>
        </w:tc>
        <w:tc>
          <w:tcPr>
            <w:tcW w:w="203" w:type="dxa"/>
            <w:tcBorders>
              <w:bottom w:val="single" w:sz="8" w:space="0" w:color="B94831"/>
            </w:tcBorders>
            <w:shd w:fill="262626" w:val="clear"/>
            <w:tcMar>
              <w:bottom w:w="28" w:type="dxa"/>
            </w:tcMar>
            <w:vAlign w:val="bottom"/>
          </w:tcPr>
          <w:p>
            <w:pPr>
              <w:pStyle w:val="TableContents"/>
              <w:spacing w:before="0" w:after="283"/>
              <w:rPr/>
            </w:pPr>
            <w:r>
              <w:rPr/>
              <w:t>  </w:t>
            </w:r>
          </w:p>
        </w:tc>
        <w:tc>
          <w:tcPr>
            <w:tcW w:w="3962" w:type="dxa"/>
            <w:gridSpan w:val="4"/>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 Actual Performance</w:t>
              <w:br/>
              <w:t>             (Before currency)(1)            </w:t>
            </w:r>
          </w:p>
        </w:tc>
        <w:tc>
          <w:tcPr>
            <w:tcW w:w="183" w:type="dxa"/>
            <w:tcBorders>
              <w:bottom w:val="single" w:sz="8" w:space="0" w:color="B94831"/>
            </w:tcBorders>
            <w:shd w:fill="262626" w:val="clear"/>
            <w:tcMar>
              <w:bottom w:w="28" w:type="dxa"/>
            </w:tcMar>
            <w:vAlign w:val="bottom"/>
          </w:tcPr>
          <w:p>
            <w:pPr>
              <w:pStyle w:val="TableContents"/>
              <w:spacing w:before="0" w:after="283"/>
              <w:rPr/>
            </w:pPr>
            <w:r>
              <w:rPr/>
              <w:t> </w:t>
            </w:r>
          </w:p>
        </w:tc>
      </w:tr>
      <w:tr>
        <w:trPr/>
        <w:tc>
          <w:tcPr>
            <w:tcW w:w="3035" w:type="dxa"/>
            <w:tcBorders/>
            <w:shd w:fill="auto" w:val="clear"/>
            <w:vAlign w:val="center"/>
          </w:tcPr>
          <w:p>
            <w:pPr>
              <w:pStyle w:val="TableContents"/>
              <w:spacing w:lineRule="atLeast" w:line="260" w:before="0" w:after="0"/>
              <w:rPr/>
            </w:pPr>
            <w:r>
              <w:rPr/>
              <w:t>  </w:t>
            </w:r>
            <w:r>
              <w:rPr>
                <w:rFonts w:ascii="Arial" w:hAnsi="Arial"/>
                <w:b/>
                <w:sz w:val="16"/>
              </w:rPr>
              <w:t>Revenue growth</w:t>
            </w:r>
          </w:p>
        </w:tc>
        <w:tc>
          <w:tcPr>
            <w:tcW w:w="171" w:type="dxa"/>
            <w:tcBorders/>
            <w:shd w:fill="auto" w:val="clear"/>
            <w:vAlign w:val="bottom"/>
          </w:tcPr>
          <w:p>
            <w:pPr>
              <w:pStyle w:val="TableContents"/>
              <w:spacing w:before="0" w:after="283"/>
              <w:rPr/>
            </w:pPr>
            <w:r>
              <w:rPr/>
              <w:t>  </w:t>
            </w:r>
          </w:p>
        </w:tc>
        <w:tc>
          <w:tcPr>
            <w:tcW w:w="2651"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Approximately 6.0%</w:t>
            </w:r>
          </w:p>
        </w:tc>
        <w:tc>
          <w:tcPr>
            <w:tcW w:w="203" w:type="dxa"/>
            <w:tcBorders/>
            <w:shd w:fill="auto" w:val="clear"/>
            <w:vAlign w:val="bottom"/>
          </w:tcPr>
          <w:p>
            <w:pPr>
              <w:pStyle w:val="TableContents"/>
              <w:spacing w:before="0" w:after="283"/>
              <w:rPr/>
            </w:pPr>
            <w:r>
              <w:rPr/>
              <w:t>  </w:t>
            </w:r>
          </w:p>
        </w:tc>
        <w:tc>
          <w:tcPr>
            <w:tcW w:w="2650"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6.0%</w:t>
            </w:r>
          </w:p>
        </w:tc>
        <w:tc>
          <w:tcPr>
            <w:tcW w:w="419" w:type="dxa"/>
            <w:tcBorders/>
            <w:shd w:fill="auto" w:val="clear"/>
            <w:vAlign w:val="bottom"/>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283"/>
              <w:jc w:val="right"/>
              <w:rPr/>
            </w:pPr>
            <w:r>
              <w:rPr/>
              <w:drawing>
                <wp:inline distT="0" distB="0" distL="0" distR="0">
                  <wp:extent cx="14605" cy="146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shd w:fill="auto" w:val="cle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00" w:before="0" w:after="0"/>
              <w:rPr/>
            </w:pPr>
            <w:r>
              <w:rPr/>
              <w:t>  </w:t>
            </w:r>
            <w:r>
              <w:rPr>
                <w:rFonts w:ascii="Arial" w:hAnsi="Arial"/>
                <w:b/>
                <w:sz w:val="16"/>
              </w:rPr>
              <w:t>Organic revenue growth(2)</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before="0" w:after="283"/>
              <w:jc w:val="center"/>
              <w:rPr>
                <w:i/>
              </w:rPr>
            </w:pPr>
            <w:r>
              <w:rPr>
                <w:i/>
              </w:rPr>
              <w:t>Approximately 6.0%</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before="0" w:after="283"/>
              <w:jc w:val="center"/>
              <w:rPr>
                <w:i/>
              </w:rPr>
            </w:pPr>
            <w:r>
              <w:rPr>
                <w:i/>
              </w:rPr>
              <w:t>6.5%</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00" w:before="0" w:after="0"/>
              <w:rPr/>
            </w:pPr>
            <w:r>
              <w:rPr/>
              <w:t>  </w:t>
            </w:r>
            <w:r>
              <w:rPr>
                <w:rFonts w:ascii="Arial" w:hAnsi="Arial"/>
                <w:b/>
                <w:sz w:val="16"/>
              </w:rPr>
              <w:t>Adjusted EBITDA margin(2)</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Approximately 35%</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34.6%</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shd w:fill="auto" w:val="clear"/>
            <w:vAlign w:val="center"/>
          </w:tcPr>
          <w:p>
            <w:pPr>
              <w:pStyle w:val="TableContents"/>
              <w:spacing w:lineRule="atLeast" w:line="260" w:before="0" w:after="0"/>
              <w:rPr/>
            </w:pPr>
            <w:r>
              <w:rPr/>
              <w:t>  </w:t>
            </w:r>
            <w:r>
              <w:rPr>
                <w:rFonts w:ascii="Arial" w:hAnsi="Arial"/>
                <w:b/>
                <w:sz w:val="16"/>
              </w:rPr>
              <w:t>Corporate costs</w:t>
            </w:r>
          </w:p>
        </w:tc>
        <w:tc>
          <w:tcPr>
            <w:tcW w:w="171" w:type="dxa"/>
            <w:tcBorders/>
            <w:shd w:fill="auto" w:val="clear"/>
            <w:vAlign w:val="bottom"/>
          </w:tcPr>
          <w:p>
            <w:pPr>
              <w:pStyle w:val="TableContents"/>
              <w:spacing w:before="0" w:after="283"/>
              <w:rPr/>
            </w:pPr>
            <w:r>
              <w:rPr/>
              <w:t>  </w:t>
            </w:r>
          </w:p>
        </w:tc>
        <w:tc>
          <w:tcPr>
            <w:tcW w:w="2651"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$280 million - $330 million</w:t>
            </w:r>
          </w:p>
        </w:tc>
        <w:tc>
          <w:tcPr>
            <w:tcW w:w="203" w:type="dxa"/>
            <w:tcBorders/>
            <w:shd w:fill="auto" w:val="clear"/>
            <w:vAlign w:val="bottom"/>
          </w:tcPr>
          <w:p>
            <w:pPr>
              <w:pStyle w:val="TableContents"/>
              <w:spacing w:before="0" w:after="283"/>
              <w:rPr/>
            </w:pPr>
            <w:r>
              <w:rPr/>
              <w:t>  </w:t>
            </w:r>
          </w:p>
        </w:tc>
        <w:tc>
          <w:tcPr>
            <w:tcW w:w="2650"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$298 million</w:t>
            </w:r>
          </w:p>
        </w:tc>
        <w:tc>
          <w:tcPr>
            <w:tcW w:w="419" w:type="dxa"/>
            <w:tcBorders/>
            <w:shd w:fill="auto" w:val="clear"/>
            <w:vAlign w:val="bottom"/>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283"/>
              <w:jc w:val="right"/>
              <w:rPr/>
            </w:pPr>
            <w:r>
              <w:rPr/>
              <w:drawing>
                <wp:inline distT="0" distB="0" distL="0" distR="0">
                  <wp:extent cx="14605" cy="146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lineRule="atLeast" w:line="260" w:before="0" w:after="0"/>
              <w:rPr/>
            </w:pPr>
            <w:r>
              <w:rPr/>
              <w:t>  </w:t>
            </w:r>
            <w:r>
              <w:rPr>
                <w:rFonts w:ascii="Arial" w:hAnsi="Arial"/>
                <w:b/>
                <w:sz w:val="16"/>
              </w:rPr>
              <w:t>Core corporate costs</w:t>
            </w:r>
          </w:p>
        </w:tc>
        <w:tc>
          <w:tcPr>
            <w:tcW w:w="171" w:type="dxa"/>
            <w:tcBorders/>
            <w:shd w:fill="auto" w:val="clear"/>
            <w:vAlign w:val="bottom"/>
          </w:tcPr>
          <w:p>
            <w:pPr>
              <w:pStyle w:val="TableContents"/>
              <w:spacing w:before="0" w:after="283"/>
              <w:rPr/>
            </w:pPr>
            <w:r>
              <w:rPr/>
              <w:t>  </w:t>
            </w:r>
          </w:p>
        </w:tc>
        <w:tc>
          <w:tcPr>
            <w:tcW w:w="2651"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$120 million - $130 million</w:t>
            </w:r>
          </w:p>
        </w:tc>
        <w:tc>
          <w:tcPr>
            <w:tcW w:w="203" w:type="dxa"/>
            <w:tcBorders/>
            <w:shd w:fill="auto" w:val="clear"/>
            <w:vAlign w:val="bottom"/>
          </w:tcPr>
          <w:p>
            <w:pPr>
              <w:pStyle w:val="TableContents"/>
              <w:spacing w:before="0" w:after="283"/>
              <w:rPr/>
            </w:pPr>
            <w:r>
              <w:rPr/>
              <w:t>  </w:t>
            </w:r>
          </w:p>
        </w:tc>
        <w:tc>
          <w:tcPr>
            <w:tcW w:w="2650"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$124 million</w:t>
            </w:r>
          </w:p>
        </w:tc>
        <w:tc>
          <w:tcPr>
            <w:tcW w:w="419" w:type="dxa"/>
            <w:tcBorders/>
            <w:shd w:fill="auto" w:val="clear"/>
            <w:vAlign w:val="bottom"/>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283"/>
              <w:jc w:val="right"/>
              <w:rPr/>
            </w:pPr>
            <w:r>
              <w:rPr/>
              <w:drawing>
                <wp:inline distT="0" distB="0" distL="0" distR="0">
                  <wp:extent cx="14605" cy="146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shd w:fill="auto" w:val="cle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60" w:before="0" w:after="0"/>
              <w:rPr/>
            </w:pPr>
            <w:r>
              <w:rPr/>
              <w:t>  </w:t>
            </w:r>
            <w:r>
              <w:rPr>
                <w:rFonts w:ascii="Arial" w:hAnsi="Arial"/>
                <w:b/>
                <w:sz w:val="16"/>
              </w:rPr>
              <w:t>Change Program operating expenses</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$160 million - $200 million</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$174 million</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00" w:before="0" w:after="0"/>
              <w:rPr/>
            </w:pPr>
            <w:r>
              <w:rPr/>
              <w:t>  </w:t>
            </w:r>
            <w:r>
              <w:rPr>
                <w:rFonts w:ascii="Arial" w:hAnsi="Arial"/>
                <w:b/>
                <w:sz w:val="16"/>
              </w:rPr>
              <w:t>Free cash flow(2)</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Approximately $1.3 billion</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$1.3 billion</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shd w:fill="auto" w:val="clear"/>
            <w:vAlign w:val="center"/>
          </w:tcPr>
          <w:p>
            <w:pPr>
              <w:pStyle w:val="TableContents"/>
              <w:spacing w:lineRule="atLeast" w:line="200" w:before="0" w:after="0"/>
              <w:rPr/>
            </w:pPr>
            <w:r>
              <w:rPr/>
              <w:t>  </w:t>
            </w:r>
            <w:r>
              <w:rPr>
                <w:rFonts w:ascii="Arial" w:hAnsi="Arial"/>
                <w:b/>
                <w:sz w:val="16"/>
              </w:rPr>
              <w:t>Accrued capital expenditures as a percentage of revenues(2)</w:t>
            </w:r>
          </w:p>
        </w:tc>
        <w:tc>
          <w:tcPr>
            <w:tcW w:w="171" w:type="dxa"/>
            <w:tcBorders/>
            <w:shd w:fill="auto" w:val="clear"/>
            <w:vAlign w:val="bottom"/>
          </w:tcPr>
          <w:p>
            <w:pPr>
              <w:pStyle w:val="TableContents"/>
              <w:spacing w:before="0" w:after="283"/>
              <w:rPr/>
            </w:pPr>
            <w:r>
              <w:rPr/>
              <w:t>  </w:t>
            </w:r>
          </w:p>
        </w:tc>
        <w:tc>
          <w:tcPr>
            <w:tcW w:w="2651"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7.5% - 8.0%</w:t>
            </w:r>
          </w:p>
        </w:tc>
        <w:tc>
          <w:tcPr>
            <w:tcW w:w="203" w:type="dxa"/>
            <w:tcBorders/>
            <w:shd w:fill="auto" w:val="clear"/>
            <w:vAlign w:val="bottom"/>
          </w:tcPr>
          <w:p>
            <w:pPr>
              <w:pStyle w:val="TableContents"/>
              <w:spacing w:before="0" w:after="283"/>
              <w:rPr/>
            </w:pPr>
            <w:r>
              <w:rPr/>
              <w:t>  </w:t>
            </w:r>
          </w:p>
        </w:tc>
        <w:tc>
          <w:tcPr>
            <w:tcW w:w="2650"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8.1%</w:t>
            </w:r>
          </w:p>
        </w:tc>
        <w:tc>
          <w:tcPr>
            <w:tcW w:w="419" w:type="dxa"/>
            <w:tcBorders/>
            <w:shd w:fill="auto" w:val="clear"/>
            <w:vAlign w:val="bottom"/>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283"/>
              <w:jc w:val="right"/>
              <w:rPr/>
            </w:pPr>
            <w:r>
              <w:rPr/>
              <w:drawing>
                <wp:inline distT="0" distB="0" distL="0" distR="0">
                  <wp:extent cx="14605" cy="146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shd w:fill="auto" w:val="cle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60" w:before="0" w:after="0"/>
              <w:rPr/>
            </w:pPr>
            <w:r>
              <w:rPr/>
              <w:t>  </w:t>
            </w:r>
            <w:r>
              <w:rPr>
                <w:rFonts w:ascii="Arial" w:hAnsi="Arial"/>
                <w:b/>
                <w:sz w:val="16"/>
              </w:rPr>
              <w:t>Change Program accrued capital expenditures</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$100 million - $140 million</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$118 million</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60" w:before="0" w:after="0"/>
              <w:rPr/>
            </w:pPr>
            <w:r>
              <w:rPr/>
              <w:t>  </w:t>
            </w:r>
            <w:r>
              <w:rPr>
                <w:rFonts w:ascii="Arial" w:hAnsi="Arial"/>
                <w:b/>
                <w:sz w:val="16"/>
              </w:rPr>
              <w:t>Depreciation and amortization of computer software</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$620 million - $645 million</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$632 million</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60" w:before="0" w:after="0"/>
              <w:rPr/>
            </w:pPr>
            <w:r>
              <w:rPr/>
              <w:t>  </w:t>
            </w:r>
            <w:r>
              <w:rPr>
                <w:rFonts w:ascii="Arial" w:hAnsi="Arial"/>
                <w:b/>
                <w:sz w:val="16"/>
              </w:rPr>
              <w:t>Interest expense</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$190 million - $210 million</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$196 million</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35" w:type="dxa"/>
            <w:tcBorders>
              <w:bottom w:val="single" w:sz="2" w:space="0" w:color="AFAFAF"/>
            </w:tcBorders>
            <w:shd w:fill="auto" w:val="clear"/>
            <w:tcMar>
              <w:bottom w:w="28" w:type="dxa"/>
            </w:tcMar>
            <w:vAlign w:val="center"/>
          </w:tcPr>
          <w:p>
            <w:pPr>
              <w:pStyle w:val="TableContents"/>
              <w:spacing w:lineRule="atLeast" w:line="200" w:before="0" w:after="0"/>
              <w:rPr/>
            </w:pPr>
            <w:r>
              <w:rPr/>
              <w:t>  </w:t>
            </w:r>
            <w:r>
              <w:rPr>
                <w:rFonts w:ascii="Arial" w:hAnsi="Arial"/>
                <w:b/>
                <w:sz w:val="16"/>
              </w:rPr>
              <w:t>Effective tax rate on adjusted earnings(2)(3)</w:t>
            </w:r>
          </w:p>
        </w:tc>
        <w:tc>
          <w:tcPr>
            <w:tcW w:w="171" w:type="dxa"/>
            <w:tcBorders>
              <w:bottom w:val="single" w:sz="2" w:space="0" w:color="AFAFAF"/>
            </w:tcBorders>
            <w:shd w:fill="auto" w:val="clear"/>
            <w:tcMar>
              <w:bottom w:w="28" w:type="dxa"/>
            </w:tcMar>
            <w:vAlign w:val="bottom"/>
          </w:tcPr>
          <w:p>
            <w:pPr>
              <w:pStyle w:val="TableContents"/>
              <w:spacing w:before="0" w:after="283"/>
              <w:rPr/>
            </w:pPr>
            <w:r>
              <w:rPr/>
              <w:t>  </w:t>
            </w:r>
          </w:p>
        </w:tc>
        <w:tc>
          <w:tcPr>
            <w:tcW w:w="2651"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19% - 21%</w:t>
            </w:r>
          </w:p>
        </w:tc>
        <w:tc>
          <w:tcPr>
            <w:tcW w:w="203" w:type="dxa"/>
            <w:tcBorders>
              <w:bottom w:val="single" w:sz="2" w:space="0" w:color="AFAFAF"/>
            </w:tcBorders>
            <w:shd w:fill="auto" w:val="clear"/>
            <w:tcMar>
              <w:bottom w:w="28" w:type="dxa"/>
            </w:tcMar>
            <w:vAlign w:val="bottom"/>
          </w:tcPr>
          <w:p>
            <w:pPr>
              <w:pStyle w:val="TableContents"/>
              <w:spacing w:before="0" w:after="283"/>
              <w:rPr/>
            </w:pPr>
            <w:r>
              <w:rPr/>
              <w:t>  </w:t>
            </w:r>
          </w:p>
        </w:tc>
        <w:tc>
          <w:tcPr>
            <w:tcW w:w="2650" w:type="dxa"/>
            <w:tcBorders>
              <w:bottom w:val="single" w:sz="2" w:space="0" w:color="AFAFAF"/>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17.6%</w:t>
            </w:r>
          </w:p>
        </w:tc>
        <w:tc>
          <w:tcPr>
            <w:tcW w:w="419" w:type="dxa"/>
            <w:tcBorders>
              <w:bottom w:val="single" w:sz="2" w:space="0" w:color="AFAFAF"/>
            </w:tcBorders>
            <w:shd w:fill="auto" w:val="clear"/>
            <w:tcMar>
              <w:bottom w:w="28" w:type="dxa"/>
            </w:tcMar>
            <w:vAlign w:val="bottom"/>
          </w:tcPr>
          <w:p>
            <w:pPr>
              <w:pStyle w:val="TableContents"/>
              <w:spacing w:before="0" w:after="283"/>
              <w:rPr/>
            </w:pPr>
            <w:r>
              <w:rPr/>
              <w:t>  </w:t>
            </w:r>
          </w:p>
        </w:tc>
        <w:tc>
          <w:tcPr>
            <w:tcW w:w="178" w:type="dxa"/>
            <w:tcBorders>
              <w:bottom w:val="single" w:sz="2" w:space="0" w:color="AFAFAF"/>
            </w:tcBorders>
            <w:shd w:fill="auto" w:val="clear"/>
            <w:tcMar>
              <w:bottom w:w="28" w:type="dxa"/>
            </w:tcMar>
            <w:vAlign w:val="center"/>
          </w:tcPr>
          <w:p>
            <w:pPr>
              <w:pStyle w:val="TableContents"/>
              <w:spacing w:before="0" w:after="283"/>
              <w:rPr/>
            </w:pPr>
            <w:r>
              <w:rPr/>
              <w:t> </w:t>
            </w:r>
          </w:p>
        </w:tc>
        <w:tc>
          <w:tcPr>
            <w:tcW w:w="715"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605" cy="14605"/>
                          </a:xfrm>
                          <a:prstGeom prst="rect">
                            <a:avLst/>
                          </a:prstGeom>
                        </pic:spPr>
                      </pic:pic>
                    </a:graphicData>
                  </a:graphic>
                </wp:inline>
              </w:drawing>
            </w:r>
            <w:r>
              <w:rPr/>
              <w:t xml:space="preserve">     </w:t>
            </w:r>
          </w:p>
        </w:tc>
        <w:tc>
          <w:tcPr>
            <w:tcW w:w="183" w:type="dxa"/>
            <w:tcBorders>
              <w:bottom w:val="single" w:sz="2" w:space="0" w:color="AFAFAF"/>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6"/>
        <w:gridCol w:w="177"/>
        <w:gridCol w:w="2656"/>
        <w:gridCol w:w="213"/>
        <w:gridCol w:w="1743"/>
        <w:gridCol w:w="641"/>
        <w:gridCol w:w="302"/>
        <w:gridCol w:w="1250"/>
        <w:gridCol w:w="167"/>
      </w:tblGrid>
      <w:tr>
        <w:trPr/>
        <w:tc>
          <w:tcPr>
            <w:tcW w:w="305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3056" w:type="dxa"/>
            <w:tcBorders/>
            <w:shd w:fill="262626" w:val="clear"/>
            <w:vAlign w:val="center"/>
          </w:tcPr>
          <w:p>
            <w:pPr>
              <w:pStyle w:val="TableContents"/>
              <w:spacing w:before="0" w:after="283"/>
              <w:rPr>
                <w:sz w:val="4"/>
                <w:szCs w:val="4"/>
              </w:rPr>
            </w:pPr>
            <w:r>
              <w:rPr>
                <w:sz w:val="4"/>
                <w:szCs w:val="4"/>
              </w:rPr>
            </w:r>
          </w:p>
        </w:tc>
        <w:tc>
          <w:tcPr>
            <w:tcW w:w="2833" w:type="dxa"/>
            <w:gridSpan w:val="2"/>
            <w:tcBorders/>
            <w:shd w:fill="262626" w:val="clear"/>
            <w:vAlign w:val="center"/>
          </w:tcPr>
          <w:p>
            <w:pPr>
              <w:pStyle w:val="TableContents"/>
              <w:spacing w:before="0" w:after="283"/>
              <w:rPr>
                <w:sz w:val="4"/>
                <w:szCs w:val="4"/>
              </w:rPr>
            </w:pPr>
            <w:r>
              <w:rPr>
                <w:sz w:val="4"/>
                <w:szCs w:val="4"/>
              </w:rPr>
            </w:r>
          </w:p>
        </w:tc>
        <w:tc>
          <w:tcPr>
            <w:tcW w:w="4316" w:type="dxa"/>
            <w:gridSpan w:val="6"/>
            <w:tcBorders/>
            <w:shd w:fill="262626" w:val="clear"/>
            <w:vAlign w:val="center"/>
          </w:tcPr>
          <w:p>
            <w:pPr>
              <w:pStyle w:val="TableContents"/>
              <w:spacing w:before="0" w:after="283"/>
              <w:rPr>
                <w:sz w:val="4"/>
                <w:szCs w:val="4"/>
              </w:rPr>
            </w:pPr>
            <w:r>
              <w:rPr>
                <w:sz w:val="4"/>
                <w:szCs w:val="4"/>
              </w:rPr>
            </w:r>
          </w:p>
        </w:tc>
      </w:tr>
      <w:tr>
        <w:trPr/>
        <w:tc>
          <w:tcPr>
            <w:tcW w:w="3056" w:type="dxa"/>
            <w:tcBorders>
              <w:bottom w:val="single" w:sz="8" w:space="0" w:color="B94831"/>
            </w:tcBorders>
            <w:shd w:fill="262626" w:val="clear"/>
            <w:tcMar>
              <w:bottom w:w="28" w:type="dxa"/>
            </w:tcMar>
            <w:vAlign w:val="bottom"/>
          </w:tcPr>
          <w:p>
            <w:pPr>
              <w:pStyle w:val="TableContents"/>
              <w:spacing w:lineRule="atLeast" w:line="220" w:before="0" w:after="0"/>
              <w:rPr>
                <w:color w:val="FFFFFF"/>
              </w:rPr>
            </w:pPr>
            <w:r>
              <w:rPr>
                <w:color w:val="FFFFFF"/>
              </w:rPr>
              <w:t>  </w:t>
            </w:r>
            <w:r>
              <w:rPr>
                <w:rFonts w:ascii="Arial" w:hAnsi="Arial"/>
                <w:b/>
                <w:color w:val="FFFFFF"/>
                <w:sz w:val="17"/>
              </w:rPr>
              <w:t>Big 3 Segments(2)(4)</w:t>
            </w:r>
          </w:p>
        </w:tc>
        <w:tc>
          <w:tcPr>
            <w:tcW w:w="177" w:type="dxa"/>
            <w:tcBorders>
              <w:bottom w:val="single" w:sz="8" w:space="0" w:color="B94831"/>
            </w:tcBorders>
            <w:shd w:fill="262626" w:val="clear"/>
            <w:tcMar>
              <w:bottom w:w="28" w:type="dxa"/>
            </w:tcMar>
            <w:vAlign w:val="bottom"/>
          </w:tcPr>
          <w:p>
            <w:pPr>
              <w:pStyle w:val="TableContents"/>
              <w:spacing w:before="0" w:after="283"/>
              <w:rPr/>
            </w:pPr>
            <w:r>
              <w:rPr/>
              <w:t>  </w:t>
            </w:r>
          </w:p>
        </w:tc>
        <w:tc>
          <w:tcPr>
            <w:tcW w:w="2656"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 Updated Outlook</w:t>
            </w:r>
          </w:p>
        </w:tc>
        <w:tc>
          <w:tcPr>
            <w:tcW w:w="213" w:type="dxa"/>
            <w:tcBorders>
              <w:bottom w:val="single" w:sz="8" w:space="0" w:color="B94831"/>
            </w:tcBorders>
            <w:shd w:fill="262626" w:val="clear"/>
            <w:tcMar>
              <w:bottom w:w="28" w:type="dxa"/>
            </w:tcMar>
            <w:vAlign w:val="bottom"/>
          </w:tcPr>
          <w:p>
            <w:pPr>
              <w:pStyle w:val="TableContents"/>
              <w:spacing w:before="0" w:after="283"/>
              <w:rPr/>
            </w:pPr>
            <w:r>
              <w:rPr/>
              <w:t>  </w:t>
            </w:r>
          </w:p>
        </w:tc>
        <w:tc>
          <w:tcPr>
            <w:tcW w:w="3936" w:type="dxa"/>
            <w:gridSpan w:val="4"/>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 Actual Performance</w:t>
              <w:br/>
              <w:t>             (Before currency)(1)            </w:t>
            </w:r>
          </w:p>
        </w:tc>
        <w:tc>
          <w:tcPr>
            <w:tcW w:w="167" w:type="dxa"/>
            <w:tcBorders>
              <w:bottom w:val="single" w:sz="8" w:space="0" w:color="B94831"/>
            </w:tcBorders>
            <w:shd w:fill="262626" w:val="clear"/>
            <w:tcMar>
              <w:bottom w:w="28" w:type="dxa"/>
            </w:tcMar>
            <w:vAlign w:val="bottom"/>
          </w:tcPr>
          <w:p>
            <w:pPr>
              <w:pStyle w:val="TableContents"/>
              <w:spacing w:before="0" w:after="283"/>
              <w:rPr/>
            </w:pPr>
            <w:r>
              <w:rPr/>
              <w:t> </w:t>
            </w:r>
          </w:p>
        </w:tc>
      </w:tr>
      <w:tr>
        <w:trPr/>
        <w:tc>
          <w:tcPr>
            <w:tcW w:w="3056" w:type="dxa"/>
            <w:tcBorders/>
            <w:shd w:fill="auto" w:val="clear"/>
            <w:vAlign w:val="center"/>
          </w:tcPr>
          <w:p>
            <w:pPr>
              <w:pStyle w:val="TableContents"/>
              <w:spacing w:lineRule="atLeast" w:line="260" w:before="0" w:after="0"/>
              <w:rPr/>
            </w:pPr>
            <w:r>
              <w:rPr/>
              <w:t>  </w:t>
            </w:r>
            <w:r>
              <w:rPr>
                <w:rFonts w:ascii="Arial" w:hAnsi="Arial"/>
                <w:b/>
                <w:sz w:val="16"/>
              </w:rPr>
              <w:t>Revenue Growth</w:t>
            </w:r>
          </w:p>
        </w:tc>
        <w:tc>
          <w:tcPr>
            <w:tcW w:w="177" w:type="dxa"/>
            <w:tcBorders/>
            <w:shd w:fill="auto" w:val="clear"/>
            <w:vAlign w:val="bottom"/>
          </w:tcPr>
          <w:p>
            <w:pPr>
              <w:pStyle w:val="TableContents"/>
              <w:spacing w:before="0" w:after="283"/>
              <w:rPr/>
            </w:pPr>
            <w:r>
              <w:rPr/>
              <w:t>  </w:t>
            </w:r>
          </w:p>
        </w:tc>
        <w:tc>
          <w:tcPr>
            <w:tcW w:w="2656"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Approximately 7.0%</w:t>
            </w:r>
          </w:p>
        </w:tc>
        <w:tc>
          <w:tcPr>
            <w:tcW w:w="213" w:type="dxa"/>
            <w:tcBorders/>
            <w:shd w:fill="auto" w:val="clear"/>
            <w:vAlign w:val="bottom"/>
          </w:tcPr>
          <w:p>
            <w:pPr>
              <w:pStyle w:val="TableContents"/>
              <w:spacing w:before="0" w:after="283"/>
              <w:rPr/>
            </w:pPr>
            <w:r>
              <w:rPr/>
              <w:t>  </w:t>
            </w:r>
          </w:p>
        </w:tc>
        <w:tc>
          <w:tcPr>
            <w:tcW w:w="1743" w:type="dxa"/>
            <w:tcBorders/>
            <w:shd w:fill="auto" w:val="clear"/>
            <w:vAlign w:val="center"/>
          </w:tcPr>
          <w:p>
            <w:pPr>
              <w:pStyle w:val="TableContents"/>
              <w:spacing w:lineRule="atLeast" w:line="260" w:before="0" w:after="0"/>
              <w:jc w:val="center"/>
              <w:rPr>
                <w:rFonts w:ascii="arial" w:hAnsi="arial"/>
                <w:sz w:val="16"/>
              </w:rPr>
            </w:pPr>
            <w:r>
              <w:rPr>
                <w:rFonts w:ascii="arial" w:hAnsi="arial"/>
                <w:sz w:val="16"/>
              </w:rPr>
              <w:t>6.4%</w:t>
            </w:r>
          </w:p>
        </w:tc>
        <w:tc>
          <w:tcPr>
            <w:tcW w:w="641" w:type="dxa"/>
            <w:tcBorders/>
            <w:shd w:fill="auto" w:val="clear"/>
            <w:vAlign w:val="bottom"/>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right"/>
              <w:rPr/>
            </w:pPr>
            <w:r>
              <w:rPr/>
              <w:drawing>
                <wp:inline distT="0" distB="0" distL="0" distR="0">
                  <wp:extent cx="14605" cy="1460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t xml:space="preserve">     </w:t>
            </w:r>
          </w:p>
        </w:tc>
        <w:tc>
          <w:tcPr>
            <w:tcW w:w="167" w:type="dxa"/>
            <w:tcBorders/>
            <w:shd w:fill="auto" w:val="clear"/>
            <w:vAlign w:val="center"/>
          </w:tcPr>
          <w:p>
            <w:pPr>
              <w:pStyle w:val="TableContents"/>
              <w:spacing w:before="0" w:after="283"/>
              <w:rPr/>
            </w:pPr>
            <w:r>
              <w:rPr/>
              <w:t> </w:t>
            </w:r>
          </w:p>
        </w:tc>
      </w:tr>
      <w:tr>
        <w:trPr/>
        <w:tc>
          <w:tcPr>
            <w:tcW w:w="3056" w:type="dxa"/>
            <w:tcBorders>
              <w:bottom w:val="single" w:sz="2" w:space="0" w:color="AFAFAF"/>
            </w:tcBorders>
            <w:shd w:fill="auto" w:val="clear"/>
            <w:tcMar>
              <w:bottom w:w="28" w:type="dxa"/>
            </w:tcMar>
            <w:vAlign w:val="center"/>
          </w:tcPr>
          <w:p>
            <w:pPr>
              <w:pStyle w:val="TableContents"/>
              <w:spacing w:lineRule="atLeast" w:line="260" w:before="0" w:after="0"/>
              <w:rPr/>
            </w:pPr>
            <w:r>
              <w:rPr/>
              <w:t>  </w:t>
            </w:r>
            <w:r>
              <w:rPr>
                <w:rFonts w:ascii="Arial" w:hAnsi="Arial"/>
                <w:b/>
                <w:sz w:val="16"/>
              </w:rPr>
              <w:t>Organic revenue growth</w:t>
            </w:r>
          </w:p>
        </w:tc>
        <w:tc>
          <w:tcPr>
            <w:tcW w:w="177" w:type="dxa"/>
            <w:tcBorders>
              <w:bottom w:val="single" w:sz="2" w:space="0" w:color="AFAFAF"/>
            </w:tcBorders>
            <w:shd w:fill="auto" w:val="clear"/>
            <w:tcMar>
              <w:bottom w:w="28" w:type="dxa"/>
            </w:tcMar>
            <w:vAlign w:val="bottom"/>
          </w:tcPr>
          <w:p>
            <w:pPr>
              <w:pStyle w:val="TableContents"/>
              <w:spacing w:before="0" w:after="283"/>
              <w:rPr/>
            </w:pPr>
            <w:r>
              <w:rPr/>
              <w:t>  </w:t>
            </w:r>
          </w:p>
        </w:tc>
        <w:tc>
          <w:tcPr>
            <w:tcW w:w="2656" w:type="dxa"/>
            <w:tcBorders>
              <w:bottom w:val="single" w:sz="2" w:space="0" w:color="AFAFAF"/>
            </w:tcBorders>
            <w:shd w:fill="auto" w:val="clear"/>
            <w:tcMar>
              <w:bottom w:w="28" w:type="dxa"/>
            </w:tcMar>
            <w:vAlign w:val="center"/>
          </w:tcPr>
          <w:p>
            <w:pPr>
              <w:pStyle w:val="TableContents"/>
              <w:spacing w:before="0" w:after="283"/>
              <w:jc w:val="center"/>
              <w:rPr>
                <w:i/>
              </w:rPr>
            </w:pPr>
            <w:r>
              <w:rPr>
                <w:i/>
              </w:rPr>
              <w:t>Approximately 7.0%</w:t>
            </w:r>
          </w:p>
        </w:tc>
        <w:tc>
          <w:tcPr>
            <w:tcW w:w="213" w:type="dxa"/>
            <w:tcBorders>
              <w:bottom w:val="single" w:sz="2" w:space="0" w:color="AFAFAF"/>
            </w:tcBorders>
            <w:shd w:fill="auto" w:val="clear"/>
            <w:tcMar>
              <w:bottom w:w="28" w:type="dxa"/>
            </w:tcMar>
            <w:vAlign w:val="bottom"/>
          </w:tcPr>
          <w:p>
            <w:pPr>
              <w:pStyle w:val="TableContents"/>
              <w:spacing w:before="0" w:after="283"/>
              <w:rPr/>
            </w:pPr>
            <w:r>
              <w:rPr/>
              <w:t>  </w:t>
            </w:r>
          </w:p>
        </w:tc>
        <w:tc>
          <w:tcPr>
            <w:tcW w:w="1743" w:type="dxa"/>
            <w:tcBorders>
              <w:bottom w:val="single" w:sz="2" w:space="0" w:color="AFAFAF"/>
            </w:tcBorders>
            <w:shd w:fill="auto" w:val="clear"/>
            <w:tcMar>
              <w:bottom w:w="28" w:type="dxa"/>
            </w:tcMar>
            <w:vAlign w:val="center"/>
          </w:tcPr>
          <w:p>
            <w:pPr>
              <w:pStyle w:val="TableContents"/>
              <w:spacing w:before="0" w:after="283"/>
              <w:jc w:val="center"/>
              <w:rPr/>
            </w:pPr>
            <w:r>
              <w:rPr/>
              <w:t>7.0%</w:t>
            </w:r>
          </w:p>
        </w:tc>
        <w:tc>
          <w:tcPr>
            <w:tcW w:w="641" w:type="dxa"/>
            <w:tcBorders>
              <w:bottom w:val="single" w:sz="2" w:space="0" w:color="AFAFAF"/>
            </w:tcBorders>
            <w:shd w:fill="auto" w:val="clear"/>
            <w:tcMar>
              <w:bottom w:w="28" w:type="dxa"/>
            </w:tcMar>
            <w:vAlign w:val="bottom"/>
          </w:tcPr>
          <w:p>
            <w:pPr>
              <w:pStyle w:val="TableContents"/>
              <w:spacing w:before="0" w:after="283"/>
              <w:rPr/>
            </w:pPr>
            <w:r>
              <w:rPr/>
              <w:t>  </w:t>
            </w:r>
          </w:p>
        </w:tc>
        <w:tc>
          <w:tcPr>
            <w:tcW w:w="302" w:type="dxa"/>
            <w:tcBorders>
              <w:bottom w:val="single" w:sz="2" w:space="0" w:color="AFAFAF"/>
            </w:tcBorders>
            <w:shd w:fill="auto" w:val="clear"/>
            <w:tcMar>
              <w:bottom w:w="28" w:type="dxa"/>
            </w:tcMar>
            <w:vAlign w:val="center"/>
          </w:tcPr>
          <w:p>
            <w:pPr>
              <w:pStyle w:val="TableContents"/>
              <w:spacing w:before="0" w:after="283"/>
              <w:rPr/>
            </w:pPr>
            <w:r>
              <w:rPr/>
              <w:t> </w:t>
            </w:r>
          </w:p>
        </w:tc>
        <w:tc>
          <w:tcPr>
            <w:tcW w:w="1250" w:type="dxa"/>
            <w:tcBorders>
              <w:bottom w:val="single" w:sz="2" w:space="0" w:color="AFAFAF"/>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t xml:space="preserve">     </w:t>
            </w:r>
          </w:p>
        </w:tc>
        <w:tc>
          <w:tcPr>
            <w:tcW w:w="167" w:type="dxa"/>
            <w:tcBorders>
              <w:bottom w:val="single" w:sz="2" w:space="0" w:color="AFAFAF"/>
            </w:tcBorders>
            <w:shd w:fill="auto" w:val="clear"/>
            <w:tcMar>
              <w:bottom w:w="28" w:type="dxa"/>
            </w:tcMar>
            <w:vAlign w:val="center"/>
          </w:tcPr>
          <w:p>
            <w:pPr>
              <w:pStyle w:val="TableContents"/>
              <w:spacing w:before="0" w:after="283"/>
              <w:rPr/>
            </w:pPr>
            <w:r>
              <w:rPr/>
              <w:t> </w:t>
            </w:r>
          </w:p>
        </w:tc>
      </w:tr>
      <w:tr>
        <w:trPr/>
        <w:tc>
          <w:tcPr>
            <w:tcW w:w="3056" w:type="dxa"/>
            <w:tcBorders>
              <w:bottom w:val="single" w:sz="8" w:space="0" w:color="B94831"/>
            </w:tcBorders>
            <w:shd w:fill="auto" w:val="clear"/>
            <w:tcMar>
              <w:bottom w:w="28" w:type="dxa"/>
            </w:tcMar>
            <w:vAlign w:val="center"/>
          </w:tcPr>
          <w:p>
            <w:pPr>
              <w:pStyle w:val="TableContents"/>
              <w:spacing w:lineRule="atLeast" w:line="260" w:before="0" w:after="0"/>
              <w:rPr/>
            </w:pPr>
            <w:r>
              <w:rPr/>
              <w:t>  </w:t>
            </w:r>
            <w:r>
              <w:rPr>
                <w:rFonts w:ascii="Arial" w:hAnsi="Arial"/>
                <w:b/>
                <w:sz w:val="16"/>
              </w:rPr>
              <w:t>Adjusted EBITDA margin</w:t>
            </w:r>
          </w:p>
        </w:tc>
        <w:tc>
          <w:tcPr>
            <w:tcW w:w="177" w:type="dxa"/>
            <w:tcBorders>
              <w:bottom w:val="single" w:sz="8" w:space="0" w:color="B94831"/>
            </w:tcBorders>
            <w:shd w:fill="auto" w:val="clear"/>
            <w:tcMar>
              <w:bottom w:w="28" w:type="dxa"/>
            </w:tcMar>
            <w:vAlign w:val="bottom"/>
          </w:tcPr>
          <w:p>
            <w:pPr>
              <w:pStyle w:val="TableContents"/>
              <w:spacing w:before="0" w:after="283"/>
              <w:rPr/>
            </w:pPr>
            <w:r>
              <w:rPr/>
              <w:t>  </w:t>
            </w:r>
          </w:p>
        </w:tc>
        <w:tc>
          <w:tcPr>
            <w:tcW w:w="2656" w:type="dxa"/>
            <w:tcBorders>
              <w:bottom w:val="single" w:sz="8" w:space="0" w:color="B94831"/>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Approximately 42%</w:t>
            </w:r>
          </w:p>
        </w:tc>
        <w:tc>
          <w:tcPr>
            <w:tcW w:w="213" w:type="dxa"/>
            <w:tcBorders>
              <w:bottom w:val="single" w:sz="8" w:space="0" w:color="B94831"/>
            </w:tcBorders>
            <w:shd w:fill="auto" w:val="clear"/>
            <w:tcMar>
              <w:bottom w:w="28" w:type="dxa"/>
            </w:tcMar>
            <w:vAlign w:val="bottom"/>
          </w:tcPr>
          <w:p>
            <w:pPr>
              <w:pStyle w:val="TableContents"/>
              <w:spacing w:before="0" w:after="283"/>
              <w:rPr/>
            </w:pPr>
            <w:r>
              <w:rPr/>
              <w:t>  </w:t>
            </w:r>
          </w:p>
        </w:tc>
        <w:tc>
          <w:tcPr>
            <w:tcW w:w="1743" w:type="dxa"/>
            <w:tcBorders>
              <w:bottom w:val="single" w:sz="8" w:space="0" w:color="B94831"/>
            </w:tcBorders>
            <w:shd w:fill="auto"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42.1%</w:t>
            </w:r>
          </w:p>
        </w:tc>
        <w:tc>
          <w:tcPr>
            <w:tcW w:w="641" w:type="dxa"/>
            <w:tcBorders>
              <w:bottom w:val="single" w:sz="8" w:space="0" w:color="B94831"/>
            </w:tcBorders>
            <w:shd w:fill="auto" w:val="clear"/>
            <w:tcMar>
              <w:bottom w:w="28" w:type="dxa"/>
            </w:tcMar>
            <w:vAlign w:val="bottom"/>
          </w:tcPr>
          <w:p>
            <w:pPr>
              <w:pStyle w:val="TableContents"/>
              <w:spacing w:before="0" w:after="283"/>
              <w:rPr/>
            </w:pPr>
            <w:r>
              <w:rPr/>
              <w:t>  </w:t>
            </w:r>
          </w:p>
        </w:tc>
        <w:tc>
          <w:tcPr>
            <w:tcW w:w="302" w:type="dxa"/>
            <w:tcBorders>
              <w:bottom w:val="single" w:sz="8" w:space="0" w:color="B94831"/>
            </w:tcBorders>
            <w:shd w:fill="auto" w:val="clear"/>
            <w:tcMar>
              <w:bottom w:w="28" w:type="dxa"/>
            </w:tcMar>
            <w:vAlign w:val="center"/>
          </w:tcPr>
          <w:p>
            <w:pPr>
              <w:pStyle w:val="TableContents"/>
              <w:spacing w:before="0" w:after="283"/>
              <w:rPr/>
            </w:pPr>
            <w:r>
              <w:rPr/>
              <w:t> </w:t>
            </w:r>
          </w:p>
        </w:tc>
        <w:tc>
          <w:tcPr>
            <w:tcW w:w="1250" w:type="dxa"/>
            <w:tcBorders>
              <w:bottom w:val="single" w:sz="8" w:space="0" w:color="B94831"/>
            </w:tcBorders>
            <w:shd w:fill="auto" w:val="clear"/>
            <w:tcMar>
              <w:bottom w:w="28" w:type="dxa"/>
            </w:tcMar>
            <w:vAlign w:val="center"/>
          </w:tcPr>
          <w:p>
            <w:pPr>
              <w:pStyle w:val="TableContents"/>
              <w:spacing w:before="0" w:after="283"/>
              <w:jc w:val="right"/>
              <w:rPr/>
            </w:pPr>
            <w:r>
              <w:rPr/>
              <w:drawing>
                <wp:inline distT="0" distB="0" distL="0" distR="0">
                  <wp:extent cx="14605" cy="1460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t xml:space="preserve">     </w:t>
            </w:r>
          </w:p>
        </w:tc>
        <w:tc>
          <w:tcPr>
            <w:tcW w:w="167" w:type="dxa"/>
            <w:tcBorders>
              <w:bottom w:val="single" w:sz="8" w:space="0" w:color="B94831"/>
            </w:tcBorders>
            <w:shd w:fill="auto" w:val="clear"/>
            <w:tcMar>
              <w:bottom w:w="28" w:type="dxa"/>
            </w:tcMar>
            <w:vAlign w:val="center"/>
          </w:tcPr>
          <w:p>
            <w:pPr>
              <w:pStyle w:val="TableContents"/>
              <w:spacing w:before="0" w:after="283"/>
              <w:rPr/>
            </w:pPr>
            <w:r>
              <w:rPr/>
              <w:t> </w:t>
            </w:r>
          </w:p>
        </w:tc>
      </w:tr>
    </w:tbl>
    <w:p>
      <w:pPr>
        <w:pStyle w:val="TextBody"/>
        <w:spacing w:before="120" w:after="0"/>
        <w:jc w:val="left"/>
        <w:rPr>
          <w:rFonts w:ascii="arial" w:hAnsi="arial"/>
          <w:sz w:val="15"/>
        </w:rPr>
      </w:pPr>
      <w:r>
        <w:rPr>
          <w:rFonts w:ascii="arial" w:hAnsi="arial"/>
          <w:sz w:val="15"/>
        </w:rPr>
        <w:t xml:space="preserve">(1) Our 2022 performance (before currency) was measured in constant currency rates relative to 2021, except for free cash flow which was reflected at actual rates. </w:t>
      </w:r>
    </w:p>
    <w:p>
      <w:pPr>
        <w:pStyle w:val="TextBody"/>
        <w:spacing w:before="0" w:after="0"/>
        <w:jc w:val="left"/>
        <w:rPr>
          <w:rFonts w:ascii="arial" w:hAnsi="arial"/>
          <w:sz w:val="15"/>
        </w:rPr>
      </w:pPr>
      <w:r>
        <w:rPr>
          <w:rFonts w:ascii="arial" w:hAnsi="arial"/>
          <w:sz w:val="15"/>
        </w:rPr>
        <w:t xml:space="preserve">(2) Non-IFRS financial measures. Refer to Appendices A and B of the Managements Discussion and Analysis section of our 2022 annual report for additional information and reconciliations of our non-IFRS financial measures to the most directly comparable IFRS financial measures. </w:t>
      </w:r>
    </w:p>
    <w:p>
      <w:pPr>
        <w:pStyle w:val="TextBody"/>
        <w:spacing w:before="0" w:after="0"/>
        <w:jc w:val="left"/>
        <w:rPr>
          <w:rFonts w:ascii="arial" w:hAnsi="arial"/>
          <w:sz w:val="15"/>
        </w:rPr>
      </w:pPr>
      <w:r>
        <w:rPr>
          <w:rFonts w:ascii="arial" w:hAnsi="arial"/>
          <w:sz w:val="15"/>
        </w:rPr>
        <w:t xml:space="preserve">(3) Refer to the Tax Expense section within the Results of Operations section of the Managements Discussion and Analysis section of our 2022 annual report for additional information about this calculation. </w:t>
      </w:r>
    </w:p>
    <w:p>
      <w:pPr>
        <w:pStyle w:val="TextBody"/>
        <w:spacing w:before="0" w:after="0"/>
        <w:jc w:val="left"/>
        <w:rPr>
          <w:rFonts w:ascii="arial" w:hAnsi="arial"/>
          <w:sz w:val="15"/>
        </w:rPr>
      </w:pPr>
      <w:r>
        <w:rPr>
          <w:rFonts w:ascii="arial" w:hAnsi="arial"/>
          <w:sz w:val="15"/>
        </w:rPr>
        <w:t xml:space="preserve">(4) Our Big 3 segments are Legal Professionals, Corporates and Tax &amp; Accounting Professionals combined. </w:t>
      </w:r>
    </w:p>
    <w:p>
      <w:pPr>
        <w:pStyle w:val="TextBody"/>
        <w:spacing w:before="120" w:after="0"/>
        <w:jc w:val="left"/>
        <w:rPr>
          <w:rFonts w:ascii="arial" w:hAnsi="arial"/>
          <w:i/>
          <w:sz w:val="15"/>
        </w:rPr>
      </w:pPr>
      <w:r>
        <w:rPr>
          <w:rFonts w:ascii="arial" w:hAnsi="arial"/>
          <w:i/>
          <w:sz w:val="15"/>
        </w:rPr>
        <w:t xml:space="preserve">Our updated full-year 2022 outlook assumed constant currency rates relative to 2021 and included the impact of the Change Program and closed acquisitions and dispositions. </w:t>
      </w:r>
    </w:p>
    <w:p>
      <w:pPr>
        <w:pStyle w:val="TextBody"/>
        <w:spacing w:before="120" w:after="0"/>
        <w:jc w:val="left"/>
        <w:rPr>
          <w:rFonts w:ascii="arial" w:hAnsi="arial"/>
          <w:sz w:val="20"/>
        </w:rPr>
      </w:pPr>
      <w:r>
        <w:rPr>
          <w:rFonts w:ascii="arial" w:hAnsi="arial"/>
          <w:sz w:val="20"/>
        </w:rPr>
        <w:t xml:space="preserve">Our 2022 performance highlights also included the following: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54"/>
        <w:gridCol w:w="121"/>
        <w:gridCol w:w="8130"/>
      </w:tblGrid>
      <w:tr>
        <w:trPr/>
        <w:tc>
          <w:tcPr>
            <w:tcW w:w="195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130" w:type="dxa"/>
            <w:tcBorders/>
            <w:shd w:fill="auto" w:val="clear"/>
            <w:vAlign w:val="center"/>
          </w:tcPr>
          <w:p>
            <w:pPr>
              <w:pStyle w:val="TableContents"/>
              <w:spacing w:before="0" w:after="283"/>
              <w:rPr>
                <w:sz w:val="4"/>
                <w:szCs w:val="4"/>
              </w:rPr>
            </w:pPr>
            <w:r>
              <w:rPr>
                <w:sz w:val="4"/>
                <w:szCs w:val="4"/>
              </w:rPr>
            </w:r>
          </w:p>
        </w:tc>
      </w:tr>
      <w:tr>
        <w:trPr/>
        <w:tc>
          <w:tcPr>
            <w:tcW w:w="1954" w:type="dxa"/>
            <w:tcBorders>
              <w:bottom w:val="single" w:sz="2" w:space="0" w:color="AFAFAF"/>
            </w:tcBorders>
            <w:shd w:fill="auto" w:val="clear"/>
            <w:tcMar>
              <w:bottom w:w="40" w:type="dxa"/>
            </w:tcMar>
          </w:tcPr>
          <w:p>
            <w:pPr>
              <w:pStyle w:val="TableContents"/>
              <w:spacing w:lineRule="atLeast" w:line="220" w:before="0" w:after="0"/>
              <w:rPr>
                <w:rFonts w:ascii="Arial" w:hAnsi="Arial"/>
                <w:b/>
                <w:sz w:val="16"/>
              </w:rPr>
            </w:pPr>
            <w:r>
              <w:rPr>
                <w:rFonts w:ascii="Arial" w:hAnsi="Arial"/>
                <w:b/>
                <w:sz w:val="16"/>
              </w:rPr>
              <w:t>Change Program</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8130" w:type="dxa"/>
            <w:tcBorders>
              <w:bottom w:val="single" w:sz="2" w:space="0" w:color="AFAFAF"/>
            </w:tcBorders>
            <w:shd w:fill="auto" w:val="clear"/>
            <w:tcMar>
              <w:bottom w:w="40" w:type="dxa"/>
            </w:tcMar>
            <w:vAlign w:val="bottom"/>
          </w:tcPr>
          <w:p>
            <w:pPr>
              <w:pStyle w:val="TableContents"/>
              <w:spacing w:lineRule="atLeast" w:line="220" w:before="0" w:after="0"/>
              <w:rPr>
                <w:rFonts w:ascii="arial" w:hAnsi="arial"/>
                <w:sz w:val="16"/>
              </w:rPr>
            </w:pPr>
            <w:r>
              <w:rPr>
                <w:rFonts w:ascii="arial" w:hAnsi="arial"/>
                <w:sz w:val="16"/>
              </w:rPr>
              <w:t>We completed the two-year Change Program, which marked a turning point in our transition from a holding company into an operating company, and from a content provider into a content-driven technology company. We invested nearly $600 million on technology, organizational and market-related initiatives. As of December 31, 2022, we achieved $540 million of annualized run-rate operating expense savings, and made significant progress transforming Thomson Reuters into a more streamlined and scalable business that we believe now has a strong foundation for sustainable future growth.</w:t>
            </w:r>
          </w:p>
        </w:tc>
      </w:tr>
      <w:tr>
        <w:trPr>
          <w:trHeight w:val="75" w:hRule="atLeast"/>
        </w:trPr>
        <w:tc>
          <w:tcPr>
            <w:tcW w:w="1954" w:type="dxa"/>
            <w:tcBorders/>
            <w:shd w:fill="auto" w:val="clear"/>
            <w:vAlign w:val="center"/>
          </w:tcPr>
          <w:p>
            <w:pPr>
              <w:pStyle w:val="TableContents"/>
              <w:spacing w:before="0" w:after="283"/>
              <w:rPr>
                <w:sz w:val="4"/>
                <w:szCs w:val="4"/>
              </w:rPr>
            </w:pPr>
            <w:r>
              <w:rPr>
                <w:sz w:val="4"/>
                <w:szCs w:val="4"/>
              </w:rPr>
            </w:r>
          </w:p>
        </w:tc>
        <w:tc>
          <w:tcPr>
            <w:tcW w:w="8251" w:type="dxa"/>
            <w:gridSpan w:val="2"/>
            <w:tcBorders/>
            <w:shd w:fill="auto" w:val="clear"/>
            <w:vAlign w:val="center"/>
          </w:tcPr>
          <w:p>
            <w:pPr>
              <w:pStyle w:val="TableContents"/>
              <w:spacing w:before="0" w:after="283"/>
              <w:rPr>
                <w:sz w:val="4"/>
                <w:szCs w:val="4"/>
              </w:rPr>
            </w:pPr>
            <w:r>
              <w:rPr>
                <w:sz w:val="4"/>
                <w:szCs w:val="4"/>
              </w:rPr>
            </w:r>
          </w:p>
        </w:tc>
      </w:tr>
      <w:tr>
        <w:trPr/>
        <w:tc>
          <w:tcPr>
            <w:tcW w:w="1954" w:type="dxa"/>
            <w:tcBorders>
              <w:bottom w:val="single" w:sz="2" w:space="0" w:color="AFAFAF"/>
            </w:tcBorders>
            <w:shd w:fill="auto" w:val="clear"/>
            <w:tcMar>
              <w:bottom w:w="40" w:type="dxa"/>
            </w:tcMar>
          </w:tcPr>
          <w:p>
            <w:pPr>
              <w:pStyle w:val="TableContents"/>
              <w:spacing w:lineRule="atLeast" w:line="220" w:before="0" w:after="0"/>
              <w:rPr>
                <w:rFonts w:ascii="Arial" w:hAnsi="Arial"/>
                <w:b/>
                <w:sz w:val="16"/>
              </w:rPr>
            </w:pPr>
            <w:r>
              <w:rPr>
                <w:rFonts w:ascii="Arial" w:hAnsi="Arial"/>
                <w:b/>
                <w:sz w:val="16"/>
              </w:rPr>
              <w:t>Returns to Shareholders and Share Performance</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8130" w:type="dxa"/>
            <w:tcBorders>
              <w:bottom w:val="single" w:sz="2" w:space="0" w:color="AFAFAF"/>
            </w:tcBorders>
            <w:shd w:fill="auto" w:val="clear"/>
            <w:tcMar>
              <w:bottom w:w="40" w:type="dxa"/>
            </w:tcMar>
            <w:vAlign w:val="bottom"/>
          </w:tcPr>
          <w:p>
            <w:pPr>
              <w:pStyle w:val="TableContents"/>
              <w:spacing w:lineRule="atLeast" w:line="220" w:before="0" w:after="0"/>
              <w:rPr>
                <w:rFonts w:ascii="arial" w:hAnsi="arial"/>
                <w:sz w:val="16"/>
              </w:rPr>
            </w:pPr>
            <w:r>
              <w:rPr>
                <w:rFonts w:ascii="arial" w:hAnsi="arial"/>
                <w:sz w:val="16"/>
              </w:rPr>
              <w:t>We returned $2.1 billion to our shareholders through dividends and repurchases of our common shares.</w:t>
            </w:r>
          </w:p>
          <w:p>
            <w:pPr>
              <w:pStyle w:val="TableContents"/>
              <w:spacing w:before="0" w:after="0"/>
              <w:rPr/>
            </w:pPr>
            <w:r>
              <w:rPr/>
              <w:t> </w:t>
            </w:r>
          </w:p>
          <w:p>
            <w:pPr>
              <w:pStyle w:val="TableContents"/>
              <w:spacing w:lineRule="atLeast" w:line="220" w:before="0" w:after="20"/>
              <w:rPr>
                <w:rFonts w:ascii="arial" w:hAnsi="arial"/>
                <w:sz w:val="16"/>
              </w:rPr>
            </w:pPr>
            <w:r>
              <w:rPr>
                <w:rFonts w:ascii="arial" w:hAnsi="arial"/>
                <w:sz w:val="16"/>
              </w:rPr>
              <w:t>In 2022, the total shareholder return for our U.S. dollar-denominated shares declined 3% compared to an 18% decline for the S&amp;P 500 Composite Index and the total return for our Canadian dollar-denominated shares increased 4% compared to a 6% decline for the S&amp;P/TSX Composite Index.</w:t>
            </w:r>
          </w:p>
        </w:tc>
      </w:tr>
      <w:tr>
        <w:trPr>
          <w:trHeight w:val="75" w:hRule="atLeast"/>
        </w:trPr>
        <w:tc>
          <w:tcPr>
            <w:tcW w:w="1954" w:type="dxa"/>
            <w:tcBorders/>
            <w:shd w:fill="auto" w:val="clear"/>
            <w:vAlign w:val="center"/>
          </w:tcPr>
          <w:p>
            <w:pPr>
              <w:pStyle w:val="TableContents"/>
              <w:spacing w:before="0" w:after="283"/>
              <w:rPr>
                <w:sz w:val="4"/>
                <w:szCs w:val="4"/>
              </w:rPr>
            </w:pPr>
            <w:r>
              <w:rPr>
                <w:sz w:val="4"/>
                <w:szCs w:val="4"/>
              </w:rPr>
            </w:r>
          </w:p>
        </w:tc>
        <w:tc>
          <w:tcPr>
            <w:tcW w:w="8251" w:type="dxa"/>
            <w:gridSpan w:val="2"/>
            <w:tcBorders/>
            <w:shd w:fill="auto" w:val="clear"/>
            <w:vAlign w:val="center"/>
          </w:tcPr>
          <w:p>
            <w:pPr>
              <w:pStyle w:val="TableContents"/>
              <w:spacing w:before="0" w:after="283"/>
              <w:rPr>
                <w:sz w:val="4"/>
                <w:szCs w:val="4"/>
              </w:rPr>
            </w:pPr>
            <w:r>
              <w:rPr>
                <w:sz w:val="4"/>
                <w:szCs w:val="4"/>
              </w:rPr>
            </w:r>
          </w:p>
        </w:tc>
      </w:tr>
      <w:tr>
        <w:trPr/>
        <w:tc>
          <w:tcPr>
            <w:tcW w:w="1954" w:type="dxa"/>
            <w:tcBorders>
              <w:bottom w:val="single" w:sz="2" w:space="0" w:color="AFAFAF"/>
            </w:tcBorders>
            <w:shd w:fill="auto" w:val="clear"/>
            <w:tcMar>
              <w:bottom w:w="40" w:type="dxa"/>
            </w:tcMar>
          </w:tcPr>
          <w:p>
            <w:pPr>
              <w:pStyle w:val="TableContents"/>
              <w:spacing w:lineRule="atLeast" w:line="220" w:before="0" w:after="0"/>
              <w:rPr>
                <w:rFonts w:ascii="Arial" w:hAnsi="Arial"/>
                <w:b/>
                <w:sz w:val="16"/>
              </w:rPr>
            </w:pPr>
            <w:r>
              <w:rPr>
                <w:rFonts w:ascii="Arial" w:hAnsi="Arial"/>
                <w:b/>
                <w:sz w:val="16"/>
              </w:rPr>
              <w:t>Acquisitions and Dispositions</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8130" w:type="dxa"/>
            <w:tcBorders>
              <w:bottom w:val="single" w:sz="2" w:space="0" w:color="AFAFAF"/>
            </w:tcBorders>
            <w:shd w:fill="auto" w:val="clear"/>
            <w:tcMar>
              <w:bottom w:w="40" w:type="dxa"/>
            </w:tcMar>
            <w:vAlign w:val="bottom"/>
          </w:tcPr>
          <w:p>
            <w:pPr>
              <w:pStyle w:val="TableContents"/>
              <w:spacing w:lineRule="atLeast" w:line="220" w:before="0" w:after="0"/>
              <w:rPr>
                <w:rFonts w:ascii="arial" w:hAnsi="arial"/>
                <w:sz w:val="16"/>
              </w:rPr>
            </w:pPr>
            <w:r>
              <w:rPr>
                <w:rFonts w:ascii="arial" w:hAnsi="arial"/>
                <w:sz w:val="16"/>
              </w:rPr>
              <w:t>In April 2022, we acquired Gestta Technology LTDA., a Brazilian-based producer of accounting practice management software, and ThoughtTrace, Inc., a Texas-based business providing a document-understanding and contract-analysis platform powered by AI and machine learning. In August 2022, we acquired PLX AI ApS, an AI powered real time financial news service provider based in Denmark. In December 2022, we entered into a definitive agreement to acquire SurePrep, LLC, a California-based company that offers 1040 tax automation software and services to accounting firms in order to increase productivity and profitability while promoting a digital tax workflow, which closed in January 2023.</w:t>
            </w:r>
          </w:p>
          <w:p>
            <w:pPr>
              <w:pStyle w:val="TableContents"/>
              <w:spacing w:before="0" w:after="0"/>
              <w:rPr/>
            </w:pPr>
            <w:r>
              <w:rPr/>
              <w:t> </w:t>
            </w:r>
          </w:p>
          <w:p>
            <w:pPr>
              <w:pStyle w:val="TableContents"/>
              <w:spacing w:lineRule="atLeast" w:line="220" w:before="0" w:after="20"/>
              <w:rPr>
                <w:rFonts w:ascii="arial" w:hAnsi="arial"/>
                <w:sz w:val="16"/>
              </w:rPr>
            </w:pPr>
            <w:r>
              <w:rPr>
                <w:rFonts w:ascii="arial" w:hAnsi="arial"/>
                <w:sz w:val="16"/>
              </w:rPr>
              <w:t>As part of our continuing strategy to optimize our portfolio of businesses and ensure that we are investing in parts of our business that offer the greatest opportunities to achieve growth and returns, we have sold a number of businesses and product lines during the last several years which are not compatible with our strategy.</w:t>
            </w:r>
          </w:p>
        </w:tc>
      </w:tr>
      <w:tr>
        <w:trPr>
          <w:trHeight w:val="75" w:hRule="atLeast"/>
        </w:trPr>
        <w:tc>
          <w:tcPr>
            <w:tcW w:w="1954" w:type="dxa"/>
            <w:tcBorders/>
            <w:shd w:fill="auto" w:val="clear"/>
            <w:vAlign w:val="center"/>
          </w:tcPr>
          <w:p>
            <w:pPr>
              <w:pStyle w:val="TableContents"/>
              <w:spacing w:before="0" w:after="283"/>
              <w:rPr>
                <w:sz w:val="4"/>
                <w:szCs w:val="4"/>
              </w:rPr>
            </w:pPr>
            <w:r>
              <w:rPr>
                <w:sz w:val="4"/>
                <w:szCs w:val="4"/>
              </w:rPr>
            </w:r>
          </w:p>
        </w:tc>
        <w:tc>
          <w:tcPr>
            <w:tcW w:w="8251" w:type="dxa"/>
            <w:gridSpan w:val="2"/>
            <w:tcBorders/>
            <w:shd w:fill="auto" w:val="clear"/>
            <w:vAlign w:val="center"/>
          </w:tcPr>
          <w:p>
            <w:pPr>
              <w:pStyle w:val="TableContents"/>
              <w:spacing w:before="0" w:after="283"/>
              <w:rPr>
                <w:sz w:val="4"/>
                <w:szCs w:val="4"/>
              </w:rPr>
            </w:pPr>
            <w:r>
              <w:rPr>
                <w:sz w:val="4"/>
                <w:szCs w:val="4"/>
              </w:rPr>
            </w:r>
          </w:p>
        </w:tc>
      </w:tr>
      <w:tr>
        <w:trPr/>
        <w:tc>
          <w:tcPr>
            <w:tcW w:w="1954" w:type="dxa"/>
            <w:tcBorders>
              <w:bottom w:val="single" w:sz="2" w:space="0" w:color="AFAFAF"/>
            </w:tcBorders>
            <w:shd w:fill="auto" w:val="clear"/>
            <w:tcMar>
              <w:bottom w:w="40" w:type="dxa"/>
            </w:tcMar>
          </w:tcPr>
          <w:p>
            <w:pPr>
              <w:pStyle w:val="TableContents"/>
              <w:spacing w:lineRule="atLeast" w:line="220" w:before="0" w:after="0"/>
              <w:rPr>
                <w:rFonts w:ascii="Arial" w:hAnsi="Arial"/>
                <w:b/>
                <w:sz w:val="16"/>
              </w:rPr>
            </w:pPr>
            <w:r>
              <w:rPr>
                <w:rFonts w:ascii="Arial" w:hAnsi="Arial"/>
                <w:b/>
                <w:sz w:val="16"/>
              </w:rPr>
              <w:t>Sale LSEG Shares to Microsoft</w:t>
            </w:r>
          </w:p>
        </w:tc>
        <w:tc>
          <w:tcPr>
            <w:tcW w:w="121" w:type="dxa"/>
            <w:tcBorders>
              <w:bottom w:val="single" w:sz="2" w:space="0" w:color="AFAFAF"/>
            </w:tcBorders>
            <w:shd w:fill="auto" w:val="clear"/>
            <w:tcMar>
              <w:bottom w:w="28" w:type="dxa"/>
            </w:tcMar>
            <w:vAlign w:val="bottom"/>
          </w:tcPr>
          <w:p>
            <w:pPr>
              <w:pStyle w:val="TableContents"/>
              <w:spacing w:before="0" w:after="283"/>
              <w:rPr/>
            </w:pPr>
            <w:r>
              <w:rPr/>
              <w:t>  </w:t>
            </w:r>
          </w:p>
        </w:tc>
        <w:tc>
          <w:tcPr>
            <w:tcW w:w="8130" w:type="dxa"/>
            <w:tcBorders>
              <w:bottom w:val="single" w:sz="2" w:space="0" w:color="AFAFAF"/>
            </w:tcBorders>
            <w:shd w:fill="auto" w:val="clear"/>
            <w:tcMar>
              <w:bottom w:w="40" w:type="dxa"/>
            </w:tcMar>
            <w:vAlign w:val="bottom"/>
          </w:tcPr>
          <w:p>
            <w:pPr>
              <w:pStyle w:val="TableContents"/>
              <w:spacing w:lineRule="atLeast" w:line="220" w:before="0" w:after="0"/>
              <w:rPr>
                <w:rFonts w:ascii="arial" w:hAnsi="arial"/>
                <w:sz w:val="16"/>
              </w:rPr>
            </w:pPr>
            <w:r>
              <w:rPr>
                <w:rFonts w:ascii="arial" w:hAnsi="arial"/>
                <w:sz w:val="16"/>
              </w:rPr>
              <w:t>On December 12, 2022, we announced that we and certain investment funds affiliated with Blackstone had agreed to sell shares in LSEG that we co-own to Microsoft. On January 31, 2023, the company sold 10.5 million LSEG shares for gross proceeds of approximately $1.0 billion as part of this transaction.</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believe that our compensation program is strongly connected to our ability to achieve success for Thomson Reuters.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b/>
                <w:color w:val="28910A"/>
                <w:sz w:val="20"/>
              </w:rPr>
              <w:t>2022 compensation decisions were aligned with our strategic objectives</w:t>
            </w:r>
            <w:r>
              <w:rPr>
                <w:rFonts w:ascii="arial" w:hAnsi="arial"/>
                <w:sz w:val="20"/>
              </w:rPr>
              <w:t xml:space="preserve">  During 2022, the HR Committee was actively engaged in reviewing and discussing the design and approach to our compensation, talent and culture programs to fit the Thomson Reuters of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5"/>
        <w:gridCol w:w="240"/>
        <w:gridCol w:w="109"/>
        <w:gridCol w:w="9351"/>
      </w:tblGrid>
      <w:tr>
        <w:trPr/>
        <w:tc>
          <w:tcPr>
            <w:tcW w:w="505"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351" w:type="dxa"/>
            <w:tcBorders/>
            <w:shd w:fill="auto" w:val="clear"/>
          </w:tcPr>
          <w:p>
            <w:pPr>
              <w:pStyle w:val="TableContents"/>
              <w:spacing w:before="0" w:after="0"/>
              <w:jc w:val="left"/>
              <w:rPr>
                <w:rFonts w:ascii="arial" w:hAnsi="arial"/>
                <w:sz w:val="20"/>
              </w:rPr>
            </w:pPr>
            <w:r>
              <w:rPr>
                <w:rFonts w:ascii="arial" w:hAnsi="arial"/>
                <w:sz w:val="20"/>
              </w:rPr>
              <w:t xml:space="preserve">In 2022, a significant portion of executive pay was at risk and linked to both operational performance and stock price. 88% of our CEOs 2022 target compensation was variable and on average, approximately 78% of the other named executive officers 2022 target compensation was variable. In March 2022, the HR Committee evaluated the current market position of our named executive officers compensation and approved an increase to Kirsty Roths base salary and long-term incentive target to better align her pay with the market and the impact of her role. There were no changes for the other named executive officers 2022 base salaries or their target annual and long-term incentive awards. The HR Committees independent advisor (FW Cook) was consulted in connection with this compensation evaluation.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5"/>
        <w:gridCol w:w="242"/>
        <w:gridCol w:w="110"/>
        <w:gridCol w:w="9348"/>
      </w:tblGrid>
      <w:tr>
        <w:trPr/>
        <w:tc>
          <w:tcPr>
            <w:tcW w:w="505"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348" w:type="dxa"/>
            <w:tcBorders/>
            <w:shd w:fill="auto" w:val="clear"/>
          </w:tcPr>
          <w:p>
            <w:pPr>
              <w:pStyle w:val="TableContents"/>
              <w:spacing w:before="0" w:after="0"/>
              <w:jc w:val="left"/>
              <w:rPr>
                <w:rFonts w:ascii="arial" w:hAnsi="arial"/>
                <w:sz w:val="20"/>
              </w:rPr>
            </w:pPr>
            <w:r>
              <w:rPr>
                <w:rFonts w:ascii="arial" w:hAnsi="arial"/>
                <w:sz w:val="20"/>
              </w:rPr>
              <w:t xml:space="preserve">Our incentive plan goals reflected our published business outlook, operating plan and long-term strategy. Annual incentive awards focused on growth objectives for the year with metrics based on organic revenues, organic book of business and cash operating income (adjusted EBITDA less accrued capital expenditures). Our 2022 annual incentive plan awards were based 100% on Thomson Reuters consolidated results. </w:t>
            </w:r>
            <w:r>
              <w:rPr>
                <w:rFonts w:ascii="Arial" w:hAnsi="Arial"/>
                <w:b/>
                <w:sz w:val="20"/>
              </w:rPr>
              <w:t xml:space="preserve">No discretionary adjustments were made in determining payouts for 2022 annual incentive awards. </w:t>
            </w:r>
            <w:r>
              <w:rPr>
                <w:rFonts w:ascii="arial" w:hAnsi="arial"/>
                <w:sz w:val="20"/>
              </w:rPr>
              <w:t xml:space="preserve">2022 annual incentive awards funded at approximately 120% of target based on strong financial performance. As contemplated by award terms and conditions, the payout percentage for each named executive officer (other than the CEO) was then adjusted to reflect individual performance and contribution to results, as discussed later in this compensation discussion and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4"/>
        <w:gridCol w:w="232"/>
        <w:gridCol w:w="107"/>
        <w:gridCol w:w="9362"/>
      </w:tblGrid>
      <w:tr>
        <w:trPr/>
        <w:tc>
          <w:tcPr>
            <w:tcW w:w="504"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 </w:t>
            </w:r>
          </w:p>
        </w:tc>
        <w:tc>
          <w:tcPr>
            <w:tcW w:w="107" w:type="dxa"/>
            <w:tcBorders/>
            <w:shd w:fill="auto" w:val="clear"/>
          </w:tcPr>
          <w:p>
            <w:pPr>
              <w:pStyle w:val="TableContents"/>
              <w:spacing w:before="0" w:after="283"/>
              <w:rPr/>
            </w:pPr>
            <w:r>
              <w:rPr/>
              <w:t> </w:t>
            </w:r>
          </w:p>
        </w:tc>
        <w:tc>
          <w:tcPr>
            <w:tcW w:w="9362" w:type="dxa"/>
            <w:tcBorders/>
            <w:shd w:fill="auto" w:val="clear"/>
          </w:tcPr>
          <w:p>
            <w:pPr>
              <w:pStyle w:val="TableContents"/>
              <w:spacing w:before="0" w:after="0"/>
              <w:jc w:val="left"/>
              <w:rPr>
                <w:rFonts w:ascii="arial" w:hAnsi="arial"/>
                <w:sz w:val="20"/>
              </w:rPr>
            </w:pPr>
            <w:r>
              <w:rPr>
                <w:rFonts w:ascii="arial" w:hAnsi="arial"/>
                <w:sz w:val="20"/>
              </w:rPr>
              <w:t xml:space="preserve">We continued to grant PRSUs as part of our long-term incentive awards. </w:t>
            </w:r>
            <w:r>
              <w:rPr>
                <w:rFonts w:ascii="Arial" w:hAnsi="Arial"/>
                <w:b/>
                <w:sz w:val="20"/>
              </w:rPr>
              <w:t xml:space="preserve">No discretionary adjustments were made to any outstanding PRSU awards. </w:t>
            </w:r>
            <w:r>
              <w:rPr>
                <w:rFonts w:ascii="arial" w:hAnsi="arial"/>
                <w:sz w:val="20"/>
              </w:rPr>
              <w:t xml:space="preserve">PRSUs for the 2020-2022 performance period had a payout of 88% of target, reflecting strong sustained operating performance over the three-year period despite numerous headwinds created by the COVID-19 pandemic and macroeconomic and geopolitical challenges.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b/>
                <w:color w:val="28910A"/>
                <w:sz w:val="20"/>
              </w:rPr>
              <w:t>Our compensation program is strongly aligned with shareholder return and value</w:t>
            </w:r>
            <w:r>
              <w:rPr>
                <w:rFonts w:ascii="arial" w:hAnsi="arial"/>
                <w:sz w:val="20"/>
              </w:rPr>
              <w:t xml:space="preserve">  In this compensation discussion and analysis section, we provide graphs that show our executive officer compensation over the last five years has been aligned with total shareholder return. We also require our executive officers to maintain meaningful levels of share ownership that are multiples of their respective base salaries, creating a strong link to our shareholders and the long-term success of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b/>
                <w:color w:val="28910A"/>
                <w:sz w:val="20"/>
              </w:rPr>
              <w:t>We benchmark executive compensation and performance against global peer companies that we compete with for customers and talent</w:t>
            </w:r>
            <w:r>
              <w:rPr>
                <w:rFonts w:ascii="arial" w:hAnsi="arial"/>
                <w:sz w:val="20"/>
              </w:rPr>
              <w:t xml:space="preserve">  In 2022, the HR Committee continued to utilize a global peer group for executive compensation purposes that reflects our companys size and industries in which we compete. Our global peer group only includes one Canadian company with a common Global Industry Classification System (GICS) code. While we acknowledge that proxy advisors focus on Canadian companies, we believe that they do not provide a fully meaningful or relevant comparison of our competitive market for talent given the particular executive talent pool from which we recruit and the significant differences in industries, businesses and operational strategy between our companies and other Canadian companies with a common GICS code. The HR Committee does, however, use a Canadian peer group for Toronto-based executive officers as a secondary reference point as part of executive compensation benchmarking.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b/>
                <w:color w:val="28910A"/>
                <w:sz w:val="20"/>
              </w:rPr>
              <w:t>Our compensation program is aligned with good governance practices and has received strong shareholder support in recent years</w:t>
            </w:r>
            <w:r>
              <w:rPr>
                <w:rFonts w:ascii="arial" w:hAnsi="arial"/>
                <w:sz w:val="20"/>
              </w:rPr>
              <w:t xml:space="preserve">  Our plans and programs reflect strong governance principles. The HR Committee has an independent advisor for executive compensation matters. We also engage with our shareholders on compensation matters during the year and we provide a say on pay resolution each year at our annual meeting of shareholders. </w:t>
            </w:r>
            <w:r>
              <w:rPr>
                <w:rFonts w:ascii="Arial" w:hAnsi="Arial"/>
                <w:b/>
                <w:sz w:val="20"/>
              </w:rPr>
              <w:t xml:space="preserve">Over the last five years, approximately 97% of votes have been cast for our say on pay advisory resolutions.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b/>
                <w:color w:val="28910A"/>
                <w:sz w:val="20"/>
              </w:rPr>
              <w:t>We do not believe that we have any problematic pay practices and risk is taken into account in our compensation programs</w:t>
            </w:r>
            <w:r>
              <w:rPr>
                <w:rFonts w:ascii="arial" w:hAnsi="arial"/>
                <w:sz w:val="20"/>
              </w:rPr>
              <w:t xml:space="preserve">  The HR Committees independent advisor reviews our compensation program to evaluate the degree to which it encourages risk taking in the context of our overall enterprise risk profile as well as recognized market best practices. Based on the independent advisors review, the HR Committee concluded that our programs appear unlikely to create incentives for excessive risk taking and include meaningful safeguards to mitigate compensation program risk.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70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37" w:name="tx494196_cd2"/>
      <w:bookmarkStart w:id="38" w:name="tx494196_38"/>
      <w:bookmarkEnd w:id="37"/>
      <w:bookmarkEnd w:id="38"/>
      <w:r>
        <w:rPr>
          <w:rFonts w:ascii="Arial" w:hAnsi="Arial"/>
          <w:b/>
          <w:sz w:val="28"/>
        </w:rPr>
        <w:t xml:space="preserve">Key 2023 Compensation Developments and Decisions </w:t>
      </w:r>
    </w:p>
    <w:p>
      <w:pPr>
        <w:pStyle w:val="TextBody"/>
        <w:spacing w:before="40" w:after="0"/>
        <w:jc w:val="left"/>
        <w:rPr>
          <w:rFonts w:ascii="arial" w:hAnsi="arial"/>
          <w:sz w:val="20"/>
        </w:rPr>
      </w:pPr>
      <w:r>
        <w:rPr>
          <w:rFonts w:ascii="arial" w:hAnsi="arial"/>
          <w:sz w:val="20"/>
        </w:rPr>
        <w:t xml:space="preserve">In February 2023, the HR Committee evaluated the current market position of our named executive officers and approved an increase in long-term incentive target for Steve Hasker (an increase of 5.9% in total compensation and approximately 2.0% on an annualized basis) and base salary and long-term incentive target for Mike Eastwood (an increase of 8.4% in total compensation and approximately 2.8% on an annualized basis) and David Wong (an increase of 5.6% in total compensation and approximately 2.0% on an annualized basis) to better align their pay with the market. The increases reflect the first increase in pay for each executive since assuming their role in 2020. As previously disclosed, initial target compensation for both the CEO and CFO target was originally set below their predecessors and market median. There were no changes for other named executive officers 2023 base salaries or their target annual and long-term incentive awards. </w:t>
      </w:r>
    </w:p>
    <w:p>
      <w:pPr>
        <w:pStyle w:val="TextBody"/>
        <w:spacing w:before="80" w:after="0"/>
        <w:jc w:val="left"/>
        <w:rPr>
          <w:rFonts w:ascii="arial" w:hAnsi="arial"/>
          <w:sz w:val="20"/>
        </w:rPr>
      </w:pPr>
      <w:r>
        <w:rPr>
          <w:rFonts w:ascii="arial" w:hAnsi="arial"/>
          <w:sz w:val="20"/>
        </w:rPr>
        <w:t xml:space="preserve">No changes were made to financial performance metrics and weightings for 2023 annual and long-term incentive awards. The HR Committee established challenging performance goals for 2023 annual and long-term incentive awards. </w:t>
      </w:r>
    </w:p>
    <w:p>
      <w:pPr>
        <w:pStyle w:val="TextBody"/>
        <w:spacing w:before="80" w:after="0"/>
        <w:jc w:val="left"/>
        <w:rPr>
          <w:rFonts w:ascii="arial" w:hAnsi="arial"/>
          <w:sz w:val="20"/>
        </w:rPr>
      </w:pPr>
      <w:r>
        <w:rPr>
          <w:rFonts w:ascii="arial" w:hAnsi="arial"/>
          <w:sz w:val="20"/>
        </w:rPr>
        <w:t xml:space="preserve">2023 annual incentive awards for our named executive officers are weighted 1/3 each on organic revenue, organic book of business and adjusted EBITDA less accrued capital expenditures performance. All metrics are based on Thomson Reuters consolidated performance, which the HR Committee believes promotes teamwork and enables more enterprise collaboration. To further increase the link between pay for performance, we continue to embed strategic priorities into individual performance evaluations for 2023 awards to increase and formalize the linkage between participants impact on our strategic priorities and their award decisions. The CEO and his direct reports continue to have the following strategic priorities embedded in their 2023 performance assessments: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3"/>
        <w:gridCol w:w="239"/>
        <w:gridCol w:w="109"/>
        <w:gridCol w:w="9354"/>
      </w:tblGrid>
      <w:tr>
        <w:trPr/>
        <w:tc>
          <w:tcPr>
            <w:tcW w:w="503"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354" w:type="dxa"/>
            <w:tcBorders/>
            <w:shd w:fill="auto" w:val="clear"/>
          </w:tcPr>
          <w:p>
            <w:pPr>
              <w:pStyle w:val="TableContents"/>
              <w:spacing w:before="0" w:after="0"/>
              <w:jc w:val="left"/>
              <w:rPr>
                <w:rFonts w:ascii="arial" w:hAnsi="arial"/>
                <w:sz w:val="20"/>
              </w:rPr>
            </w:pPr>
            <w:r>
              <w:rPr>
                <w:rFonts w:ascii="arial" w:hAnsi="arial"/>
                <w:i/>
                <w:sz w:val="20"/>
              </w:rPr>
              <w:t>Customer obsession</w:t>
            </w:r>
            <w:r>
              <w:rPr>
                <w:rFonts w:ascii="arial" w:hAnsi="arial"/>
                <w:sz w:val="20"/>
              </w:rPr>
              <w:t xml:space="preserve">  demonstrating a deep understanding of the customer and prioritizing solving customer needs over internal needs;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6"/>
        <w:gridCol w:w="231"/>
        <w:gridCol w:w="108"/>
        <w:gridCol w:w="9360"/>
      </w:tblGrid>
      <w:tr>
        <w:trPr/>
        <w:tc>
          <w:tcPr>
            <w:tcW w:w="506" w:type="dxa"/>
            <w:tcBorders/>
            <w:shd w:fill="auto" w:val="clear"/>
            <w:vAlign w:val="center"/>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360" w:type="dxa"/>
            <w:tcBorders/>
            <w:shd w:fill="auto" w:val="clear"/>
          </w:tcPr>
          <w:p>
            <w:pPr>
              <w:pStyle w:val="TableContents"/>
              <w:spacing w:before="0" w:after="0"/>
              <w:jc w:val="left"/>
              <w:rPr>
                <w:rFonts w:ascii="arial" w:hAnsi="arial"/>
                <w:sz w:val="20"/>
              </w:rPr>
            </w:pPr>
            <w:r>
              <w:rPr>
                <w:rFonts w:ascii="arial" w:hAnsi="arial"/>
                <w:i/>
                <w:sz w:val="20"/>
              </w:rPr>
              <w:t>Talent goals</w:t>
            </w:r>
            <w:r>
              <w:rPr>
                <w:rFonts w:ascii="arial" w:hAnsi="arial"/>
                <w:sz w:val="20"/>
              </w:rPr>
              <w:t xml:space="preserve">  building a world-class talent and a high performance, inclusive culture in which team members understand their role, know their performance and objectives deliver impact;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233"/>
        <w:gridCol w:w="108"/>
        <w:gridCol w:w="9357"/>
      </w:tblGrid>
      <w:tr>
        <w:trPr/>
        <w:tc>
          <w:tcPr>
            <w:tcW w:w="507" w:type="dxa"/>
            <w:tcBorders/>
            <w:shd w:fill="auto" w:val="clear"/>
            <w:vAlign w:val="center"/>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357" w:type="dxa"/>
            <w:tcBorders/>
            <w:shd w:fill="auto" w:val="clear"/>
          </w:tcPr>
          <w:p>
            <w:pPr>
              <w:pStyle w:val="TableContents"/>
              <w:spacing w:before="0" w:after="0"/>
              <w:jc w:val="left"/>
              <w:rPr>
                <w:rFonts w:ascii="arial" w:hAnsi="arial"/>
                <w:sz w:val="20"/>
              </w:rPr>
            </w:pPr>
            <w:r>
              <w:rPr>
                <w:rFonts w:ascii="arial" w:hAnsi="arial"/>
                <w:sz w:val="20"/>
              </w:rPr>
              <w:t xml:space="preserve">Contribution to specified shared priorities. </w:t>
            </w:r>
          </w:p>
        </w:tc>
      </w:tr>
    </w:tbl>
    <w:p>
      <w:pPr>
        <w:pStyle w:val="TextBody"/>
        <w:spacing w:before="120" w:after="0"/>
        <w:jc w:val="left"/>
        <w:rPr>
          <w:rFonts w:ascii="arial" w:hAnsi="arial"/>
          <w:sz w:val="20"/>
        </w:rPr>
      </w:pPr>
      <w:r>
        <w:rPr>
          <w:rFonts w:ascii="arial" w:hAnsi="arial"/>
          <w:sz w:val="20"/>
        </w:rPr>
        <w:t xml:space="preserve">2023 long-term incentive awards for our named executive officers are split among 50% PRSUs, 25% TRSUs and 25% stock options. PRSUs granted for the 2023-2025 performance period are weighted 50% each on average organic revenue growth and average free cash flow per share performance. The HR Committee believes that organic revenue growth over a multi-year period complements the same metric as reflected in 2023 annual incentive awards and aligns to the companys strategic priorities. The HR Committee also believes that including a component of TRSUs in long-term awards balances the award mix and supports retention, while still promoting a performance culture in the organization. </w:t>
      </w:r>
    </w:p>
    <w:p>
      <w:pPr>
        <w:pStyle w:val="TextBody"/>
        <w:spacing w:before="80" w:after="0"/>
        <w:jc w:val="left"/>
        <w:rPr>
          <w:rFonts w:ascii="arial" w:hAnsi="arial"/>
          <w:sz w:val="20"/>
        </w:rPr>
      </w:pPr>
      <w:r>
        <w:rPr>
          <w:rFonts w:ascii="arial" w:hAnsi="arial"/>
          <w:sz w:val="20"/>
        </w:rPr>
        <w:t xml:space="preserve">The HR Committee believes that the 2023 compensation program continues to align executive pay with the companys annual and long-term strategic and financial performance objectives.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39" w:name="tx494196_cd3"/>
      <w:bookmarkStart w:id="40" w:name="tx494196_39"/>
      <w:bookmarkEnd w:id="39"/>
      <w:bookmarkEnd w:id="40"/>
      <w:r>
        <w:rPr>
          <w:rFonts w:ascii="Arial" w:hAnsi="Arial"/>
          <w:b/>
          <w:sz w:val="28"/>
        </w:rPr>
        <w:t xml:space="preserve">Our 2022 Compensation Program </w:t>
      </w:r>
    </w:p>
    <w:p>
      <w:pPr>
        <w:pStyle w:val="TextBody"/>
        <w:spacing w:before="40" w:after="0"/>
        <w:jc w:val="left"/>
        <w:rPr>
          <w:rFonts w:ascii="arial" w:hAnsi="arial"/>
          <w:sz w:val="20"/>
        </w:rPr>
      </w:pPr>
      <w:r>
        <w:rPr>
          <w:rFonts w:ascii="arial" w:hAnsi="arial"/>
          <w:sz w:val="20"/>
        </w:rPr>
        <w:t xml:space="preserve">The HR Committee of the Board structured our 2022 compensation program in a way that was consistent with our strategic objectives. A named executive officers total compensation typically comprises the following components. We describe each of these components in more detail later in this section.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17"/>
        <w:gridCol w:w="60"/>
        <w:gridCol w:w="2057"/>
        <w:gridCol w:w="60"/>
        <w:gridCol w:w="1304"/>
        <w:gridCol w:w="60"/>
        <w:gridCol w:w="1748"/>
        <w:gridCol w:w="122"/>
        <w:gridCol w:w="776"/>
        <w:gridCol w:w="71"/>
        <w:gridCol w:w="2430"/>
      </w:tblGrid>
      <w:tr>
        <w:trPr/>
        <w:tc>
          <w:tcPr>
            <w:tcW w:w="15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517" w:type="dxa"/>
            <w:tcBorders/>
            <w:shd w:fill="262626" w:val="clear"/>
            <w:vAlign w:val="center"/>
          </w:tcPr>
          <w:p>
            <w:pPr>
              <w:pStyle w:val="TableContents"/>
              <w:spacing w:before="0" w:after="283"/>
              <w:rPr>
                <w:sz w:val="4"/>
                <w:szCs w:val="4"/>
              </w:rPr>
            </w:pPr>
            <w:r>
              <w:rPr>
                <w:sz w:val="4"/>
                <w:szCs w:val="4"/>
              </w:rPr>
            </w:r>
          </w:p>
        </w:tc>
        <w:tc>
          <w:tcPr>
            <w:tcW w:w="2117" w:type="dxa"/>
            <w:gridSpan w:val="2"/>
            <w:tcBorders>
              <w:left w:val="single" w:sz="2" w:space="0" w:color="FFFFFF"/>
              <w:right w:val="single" w:sz="2" w:space="0" w:color="FFFFFF"/>
            </w:tcBorders>
            <w:shd w:fill="262626" w:val="clear"/>
            <w:tcMar>
              <w:left w:w="28" w:type="dxa"/>
              <w:right w:w="28" w:type="dxa"/>
            </w:tcMar>
            <w:vAlign w:val="center"/>
          </w:tcPr>
          <w:p>
            <w:pPr>
              <w:pStyle w:val="TableContents"/>
              <w:spacing w:before="0" w:after="283"/>
              <w:rPr/>
            </w:pPr>
            <w:r>
              <w:rPr/>
              <w:t> </w:t>
            </w:r>
          </w:p>
        </w:tc>
        <w:tc>
          <w:tcPr>
            <w:tcW w:w="1364" w:type="dxa"/>
            <w:gridSpan w:val="2"/>
            <w:tcBorders>
              <w:right w:val="single" w:sz="2" w:space="0" w:color="FFFFFF"/>
            </w:tcBorders>
            <w:shd w:fill="262626" w:val="clear"/>
            <w:tcMar>
              <w:right w:w="28" w:type="dxa"/>
            </w:tcMar>
            <w:vAlign w:val="center"/>
          </w:tcPr>
          <w:p>
            <w:pPr>
              <w:pStyle w:val="TableContents"/>
              <w:spacing w:before="0" w:after="283"/>
              <w:rPr/>
            </w:pPr>
            <w:r>
              <w:rPr/>
              <w:t> </w:t>
            </w:r>
          </w:p>
        </w:tc>
        <w:tc>
          <w:tcPr>
            <w:tcW w:w="1808" w:type="dxa"/>
            <w:gridSpan w:val="2"/>
            <w:tcBorders/>
            <w:shd w:fill="262626" w:val="clear"/>
            <w:vAlign w:val="center"/>
          </w:tcPr>
          <w:p>
            <w:pPr>
              <w:pStyle w:val="TableContents"/>
              <w:spacing w:before="0" w:after="283"/>
              <w:rPr>
                <w:sz w:val="4"/>
                <w:szCs w:val="4"/>
              </w:rPr>
            </w:pPr>
            <w:r>
              <w:rPr>
                <w:sz w:val="4"/>
                <w:szCs w:val="4"/>
              </w:rPr>
            </w:r>
          </w:p>
        </w:tc>
        <w:tc>
          <w:tcPr>
            <w:tcW w:w="898"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501"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517" w:type="dxa"/>
            <w:tcBorders>
              <w:bottom w:val="single" w:sz="2" w:space="0" w:color="B94831"/>
            </w:tcBorders>
            <w:shd w:fill="262626" w:val="clear"/>
            <w:tcMar>
              <w:bottom w:w="60" w:type="dxa"/>
            </w:tcMar>
            <w:vAlign w:val="bottom"/>
          </w:tcPr>
          <w:p>
            <w:pPr>
              <w:pStyle w:val="TableContents"/>
              <w:spacing w:before="0" w:after="0"/>
              <w:rPr>
                <w:rFonts w:ascii="Arial" w:hAnsi="Arial"/>
                <w:b/>
                <w:color w:val="FFFFFF"/>
                <w:sz w:val="17"/>
              </w:rPr>
            </w:pPr>
            <w:r>
              <w:rPr>
                <w:rFonts w:ascii="Arial" w:hAnsi="Arial"/>
                <w:b/>
                <w:color w:val="FFFFFF"/>
                <w:sz w:val="17"/>
              </w:rPr>
              <w:t>Component</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057" w:type="dxa"/>
            <w:tcBorders>
              <w:bottom w:val="single" w:sz="2" w:space="0" w:color="B94831"/>
              <w:right w:val="single" w:sz="2" w:space="0" w:color="FFFFFF"/>
            </w:tcBorders>
            <w:shd w:fill="262626" w:val="clear"/>
            <w:tcMar>
              <w:bottom w:w="60" w:type="dxa"/>
              <w:right w:w="28" w:type="dxa"/>
            </w:tcMar>
            <w:vAlign w:val="bottom"/>
          </w:tcPr>
          <w:p>
            <w:pPr>
              <w:pStyle w:val="TableContents"/>
              <w:spacing w:before="0" w:after="0"/>
              <w:rPr>
                <w:rFonts w:ascii="Arial" w:hAnsi="Arial"/>
                <w:b/>
                <w:color w:val="FFFFFF"/>
                <w:sz w:val="17"/>
              </w:rPr>
            </w:pPr>
            <w:r>
              <w:rPr>
                <w:rFonts w:ascii="Arial" w:hAnsi="Arial"/>
                <w:b/>
                <w:color w:val="FFFFFF"/>
                <w:sz w:val="17"/>
              </w:rPr>
              <w:t>Description</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1304" w:type="dxa"/>
            <w:tcBorders>
              <w:bottom w:val="single" w:sz="2" w:space="0" w:color="B94831"/>
              <w:right w:val="single" w:sz="2" w:space="0" w:color="FFFFFF"/>
            </w:tcBorders>
            <w:shd w:fill="262626" w:val="clear"/>
            <w:tcMar>
              <w:bottom w:w="60" w:type="dxa"/>
              <w:right w:w="28" w:type="dxa"/>
            </w:tcMar>
            <w:vAlign w:val="bottom"/>
          </w:tcPr>
          <w:p>
            <w:pPr>
              <w:pStyle w:val="TableContents"/>
              <w:spacing w:before="0" w:after="283"/>
              <w:rPr>
                <w:rFonts w:ascii="Arial" w:hAnsi="Arial"/>
                <w:b/>
                <w:color w:val="FFFFFF"/>
              </w:rPr>
            </w:pPr>
            <w:r>
              <w:rPr>
                <w:rFonts w:ascii="Arial" w:hAnsi="Arial"/>
                <w:b/>
                <w:color w:val="FFFFFF"/>
              </w:rPr>
              <w:t>Type</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1748" w:type="dxa"/>
            <w:tcBorders>
              <w:bottom w:val="single" w:sz="2" w:space="0" w:color="B94831"/>
            </w:tcBorders>
            <w:shd w:fill="262626" w:val="clear"/>
            <w:tcMar>
              <w:bottom w:w="60" w:type="dxa"/>
            </w:tcMar>
            <w:vAlign w:val="bottom"/>
          </w:tcPr>
          <w:p>
            <w:pPr>
              <w:pStyle w:val="TableContents"/>
              <w:spacing w:before="0" w:after="0"/>
              <w:rPr>
                <w:rFonts w:ascii="Arial" w:hAnsi="Arial"/>
                <w:b/>
                <w:color w:val="FFFFFF"/>
                <w:sz w:val="17"/>
              </w:rPr>
            </w:pPr>
            <w:r>
              <w:rPr>
                <w:rFonts w:ascii="Arial" w:hAnsi="Arial"/>
                <w:b/>
                <w:color w:val="FFFFFF"/>
                <w:sz w:val="17"/>
              </w:rPr>
              <w:t>2022 Measures</w:t>
            </w:r>
          </w:p>
        </w:tc>
        <w:tc>
          <w:tcPr>
            <w:tcW w:w="122"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776" w:type="dxa"/>
            <w:tcBorders>
              <w:bottom w:val="single" w:sz="2" w:space="0" w:color="B94831"/>
            </w:tcBorders>
            <w:shd w:fill="262626" w:val="clear"/>
            <w:tcMar>
              <w:bottom w:w="60" w:type="dxa"/>
            </w:tcMar>
            <w:vAlign w:val="bottom"/>
          </w:tcPr>
          <w:p>
            <w:pPr>
              <w:pStyle w:val="TableContents"/>
              <w:spacing w:before="0" w:after="283"/>
              <w:rPr>
                <w:rFonts w:ascii="Arial" w:hAnsi="Arial"/>
                <w:b/>
                <w:color w:val="FFFFFF"/>
              </w:rPr>
            </w:pPr>
            <w:r>
              <w:rPr>
                <w:rFonts w:ascii="Arial" w:hAnsi="Arial"/>
                <w:b/>
                <w:color w:val="FFFFFF"/>
              </w:rPr>
              <w:t>Form</w:t>
            </w:r>
          </w:p>
        </w:tc>
        <w:tc>
          <w:tcPr>
            <w:tcW w:w="71"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430" w:type="dxa"/>
            <w:tcBorders>
              <w:bottom w:val="single" w:sz="2" w:space="0" w:color="B94831"/>
            </w:tcBorders>
            <w:shd w:fill="262626" w:val="clear"/>
            <w:tcMar>
              <w:bottom w:w="60" w:type="dxa"/>
            </w:tcMar>
            <w:vAlign w:val="bottom"/>
          </w:tcPr>
          <w:p>
            <w:pPr>
              <w:pStyle w:val="TableContents"/>
              <w:spacing w:before="0" w:after="283"/>
              <w:rPr>
                <w:rFonts w:ascii="Arial" w:hAnsi="Arial"/>
                <w:b/>
                <w:color w:val="FFFFFF"/>
              </w:rPr>
            </w:pPr>
            <w:r>
              <w:rPr>
                <w:rFonts w:ascii="Arial" w:hAnsi="Arial"/>
                <w:b/>
                <w:color w:val="FFFFFF"/>
              </w:rPr>
              <w:t>Purpose</w:t>
            </w:r>
          </w:p>
        </w:tc>
      </w:tr>
      <w:tr>
        <w:trPr>
          <w:trHeight w:val="75" w:hRule="atLeast"/>
        </w:trPr>
        <w:tc>
          <w:tcPr>
            <w:tcW w:w="1517" w:type="dxa"/>
            <w:tcBorders>
              <w:right w:val="single" w:sz="2" w:space="0" w:color="AFAFAF"/>
            </w:tcBorders>
            <w:shd w:fill="auto" w:val="clear"/>
            <w:tcMar>
              <w:right w:w="28" w:type="dxa"/>
            </w:tcMar>
            <w:vAlign w:val="center"/>
          </w:tcPr>
          <w:p>
            <w:pPr>
              <w:pStyle w:val="TableContents"/>
              <w:spacing w:before="0" w:after="283"/>
              <w:rPr/>
            </w:pPr>
            <w:r>
              <w:rPr/>
              <w:t> </w:t>
            </w:r>
          </w:p>
        </w:tc>
        <w:tc>
          <w:tcPr>
            <w:tcW w:w="2117"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364"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0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89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501" w:type="dxa"/>
            <w:gridSpan w:val="2"/>
            <w:tcBorders/>
            <w:shd w:fill="auto" w:val="clear"/>
            <w:vAlign w:val="center"/>
          </w:tcPr>
          <w:p>
            <w:pPr>
              <w:pStyle w:val="TableContents"/>
              <w:spacing w:before="0" w:after="283"/>
              <w:rPr>
                <w:sz w:val="4"/>
                <w:szCs w:val="4"/>
              </w:rPr>
            </w:pPr>
            <w:r>
              <w:rPr>
                <w:sz w:val="4"/>
                <w:szCs w:val="4"/>
              </w:rPr>
            </w:r>
          </w:p>
        </w:tc>
      </w:tr>
      <w:tr>
        <w:trPr/>
        <w:tc>
          <w:tcPr>
            <w:tcW w:w="15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Base salary</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7"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Payments made throughout the year at an established rate.</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04"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Fixed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748"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rPr/>
            </w:pPr>
            <w:r>
              <w:rPr/>
              <w:t>Individual performance, role, responsibilities and experience.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776"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Cash</w:t>
            </w:r>
          </w:p>
        </w:tc>
        <w:tc>
          <w:tcPr>
            <w:tcW w:w="71" w:type="dxa"/>
            <w:tcBorders>
              <w:bottom w:val="single" w:sz="2" w:space="0" w:color="AFAFAF"/>
            </w:tcBorders>
            <w:shd w:fill="auto" w:val="clear"/>
            <w:tcMar>
              <w:bottom w:w="28" w:type="dxa"/>
            </w:tcMar>
            <w:vAlign w:val="bottom"/>
          </w:tcPr>
          <w:p>
            <w:pPr>
              <w:pStyle w:val="TableContents"/>
              <w:spacing w:before="0" w:after="283"/>
              <w:rPr/>
            </w:pPr>
            <w:r>
              <w:rPr/>
              <w:t> </w:t>
            </w:r>
          </w:p>
        </w:tc>
        <w:tc>
          <w:tcPr>
            <w:tcW w:w="2430" w:type="dxa"/>
            <w:tcBorders>
              <w:bottom w:val="single" w:sz="2" w:space="0" w:color="AFAFAF"/>
            </w:tcBorders>
            <w:shd w:fill="auto" w:val="clear"/>
            <w:tcMar>
              <w:bottom w:w="60" w:type="dxa"/>
            </w:tcMar>
          </w:tcPr>
          <w:p>
            <w:pPr>
              <w:pStyle w:val="TableContents"/>
              <w:spacing w:before="0" w:after="283"/>
              <w:rPr/>
            </w:pPr>
            <w:r>
              <w:rPr/>
              <w:t>Provides predictable amount of fixed income as short-term compensation.</w:t>
            </w:r>
          </w:p>
        </w:tc>
      </w:tr>
      <w:tr>
        <w:trPr>
          <w:trHeight w:val="75" w:hRule="atLeast"/>
        </w:trPr>
        <w:tc>
          <w:tcPr>
            <w:tcW w:w="1517" w:type="dxa"/>
            <w:tcBorders>
              <w:right w:val="single" w:sz="2" w:space="0" w:color="AFAFAF"/>
            </w:tcBorders>
            <w:shd w:fill="auto" w:val="clear"/>
            <w:tcMar>
              <w:right w:w="28" w:type="dxa"/>
            </w:tcMar>
            <w:vAlign w:val="center"/>
          </w:tcPr>
          <w:p>
            <w:pPr>
              <w:pStyle w:val="TableContents"/>
              <w:spacing w:before="0" w:after="283"/>
              <w:rPr/>
            </w:pPr>
            <w:r>
              <w:rPr/>
              <w:t> </w:t>
            </w:r>
          </w:p>
        </w:tc>
        <w:tc>
          <w:tcPr>
            <w:tcW w:w="2117"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364"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0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89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501" w:type="dxa"/>
            <w:gridSpan w:val="2"/>
            <w:tcBorders/>
            <w:shd w:fill="auto" w:val="clear"/>
            <w:vAlign w:val="center"/>
          </w:tcPr>
          <w:p>
            <w:pPr>
              <w:pStyle w:val="TableContents"/>
              <w:spacing w:before="0" w:after="283"/>
              <w:rPr>
                <w:sz w:val="4"/>
                <w:szCs w:val="4"/>
              </w:rPr>
            </w:pPr>
            <w:r>
              <w:rPr>
                <w:sz w:val="4"/>
                <w:szCs w:val="4"/>
              </w:rPr>
            </w:r>
          </w:p>
        </w:tc>
      </w:tr>
      <w:tr>
        <w:trPr/>
        <w:tc>
          <w:tcPr>
            <w:tcW w:w="15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Annual incentive award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7"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Variable payment made in March after results for the previous year are available, and dependent on company performance against objective financial targets established at the beginning of the year and subject to adjustment based on individual performance.</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04"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Performance-</w:t>
              <w:br/>
              <w:t>based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748"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0"/>
              <w:rPr>
                <w:rFonts w:ascii="arial" w:hAnsi="arial"/>
                <w:sz w:val="16"/>
              </w:rPr>
            </w:pPr>
            <w:r>
              <w:rPr>
                <w:rFonts w:ascii="arial" w:hAnsi="arial"/>
                <w:sz w:val="16"/>
              </w:rPr>
              <w:t>Organic revenues (1/3).</w:t>
            </w:r>
          </w:p>
          <w:p>
            <w:pPr>
              <w:pStyle w:val="TableContents"/>
              <w:spacing w:before="0" w:after="0"/>
              <w:rPr/>
            </w:pPr>
            <w:r>
              <w:rPr/>
              <w:t> </w:t>
            </w:r>
          </w:p>
          <w:p>
            <w:pPr>
              <w:pStyle w:val="TableContents"/>
              <w:spacing w:before="0" w:after="0"/>
              <w:rPr>
                <w:rFonts w:ascii="arial" w:hAnsi="arial"/>
                <w:sz w:val="16"/>
              </w:rPr>
            </w:pPr>
            <w:r>
              <w:rPr>
                <w:rFonts w:ascii="arial" w:hAnsi="arial"/>
                <w:sz w:val="16"/>
              </w:rPr>
              <w:t>Adjusted EBITDA less accrued capital expenditures (1/3).</w:t>
            </w:r>
          </w:p>
          <w:p>
            <w:pPr>
              <w:pStyle w:val="TableContents"/>
              <w:spacing w:before="0" w:after="0"/>
              <w:rPr/>
            </w:pPr>
            <w:r>
              <w:rPr/>
              <w:t> </w:t>
            </w:r>
          </w:p>
          <w:p>
            <w:pPr>
              <w:pStyle w:val="TableContents"/>
              <w:spacing w:before="0" w:after="0"/>
              <w:rPr>
                <w:rFonts w:ascii="arial" w:hAnsi="arial"/>
                <w:sz w:val="16"/>
              </w:rPr>
            </w:pPr>
            <w:r>
              <w:rPr>
                <w:rFonts w:ascii="arial" w:hAnsi="arial"/>
                <w:sz w:val="16"/>
              </w:rPr>
              <w:t>Organic book of business based on annualized contract value (ACV) (1/3).</w:t>
            </w:r>
          </w:p>
          <w:p>
            <w:pPr>
              <w:pStyle w:val="TableContents"/>
              <w:spacing w:before="0" w:after="0"/>
              <w:rPr/>
            </w:pPr>
            <w:r>
              <w:rPr/>
              <w:t> </w:t>
            </w:r>
          </w:p>
          <w:p>
            <w:pPr>
              <w:pStyle w:val="TableContents"/>
              <w:spacing w:before="0" w:after="20"/>
              <w:rPr>
                <w:rFonts w:ascii="arial" w:hAnsi="arial"/>
                <w:sz w:val="16"/>
              </w:rPr>
            </w:pPr>
            <w:r>
              <w:rPr>
                <w:rFonts w:ascii="arial" w:hAnsi="arial"/>
                <w:sz w:val="16"/>
              </w:rPr>
              <w:t>To drive further differentiation for performance, improve leader accountability, and support simplicity and transparency, payouts may be adjusted based on individual performance.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776"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Cash</w:t>
            </w:r>
          </w:p>
        </w:tc>
        <w:tc>
          <w:tcPr>
            <w:tcW w:w="71" w:type="dxa"/>
            <w:tcBorders>
              <w:bottom w:val="single" w:sz="2" w:space="0" w:color="AFAFAF"/>
            </w:tcBorders>
            <w:shd w:fill="auto" w:val="clear"/>
            <w:tcMar>
              <w:bottom w:w="28" w:type="dxa"/>
            </w:tcMar>
            <w:vAlign w:val="bottom"/>
          </w:tcPr>
          <w:p>
            <w:pPr>
              <w:pStyle w:val="TableContents"/>
              <w:spacing w:before="0" w:after="283"/>
              <w:rPr/>
            </w:pPr>
            <w:r>
              <w:rPr/>
              <w:t> </w:t>
            </w:r>
          </w:p>
        </w:tc>
        <w:tc>
          <w:tcPr>
            <w:tcW w:w="2430" w:type="dxa"/>
            <w:tcBorders>
              <w:bottom w:val="single" w:sz="2" w:space="0" w:color="AFAFAF"/>
            </w:tcBorders>
            <w:shd w:fill="auto" w:val="clear"/>
            <w:tcMar>
              <w:bottom w:w="60" w:type="dxa"/>
            </w:tcMar>
          </w:tcPr>
          <w:p>
            <w:pPr>
              <w:pStyle w:val="TableContents"/>
              <w:spacing w:before="0" w:after="283"/>
              <w:rPr/>
            </w:pPr>
            <w:r>
              <w:rPr/>
              <w:t>Focuses executives on our financial goals and objectives for the year.</w:t>
            </w:r>
          </w:p>
        </w:tc>
      </w:tr>
      <w:tr>
        <w:trPr>
          <w:trHeight w:val="75" w:hRule="atLeast"/>
        </w:trPr>
        <w:tc>
          <w:tcPr>
            <w:tcW w:w="1517" w:type="dxa"/>
            <w:tcBorders>
              <w:right w:val="single" w:sz="2" w:space="0" w:color="AFAFAF"/>
            </w:tcBorders>
            <w:shd w:fill="auto" w:val="clear"/>
            <w:tcMar>
              <w:right w:w="28" w:type="dxa"/>
            </w:tcMar>
            <w:vAlign w:val="center"/>
          </w:tcPr>
          <w:p>
            <w:pPr>
              <w:pStyle w:val="TableContents"/>
              <w:spacing w:before="0" w:after="283"/>
              <w:rPr/>
            </w:pPr>
            <w:r>
              <w:rPr/>
              <w:t> </w:t>
            </w:r>
          </w:p>
        </w:tc>
        <w:tc>
          <w:tcPr>
            <w:tcW w:w="2117"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364"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0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898"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2501" w:type="dxa"/>
            <w:gridSpan w:val="2"/>
            <w:tcBorders/>
            <w:shd w:fill="auto" w:val="clear"/>
            <w:vAlign w:val="center"/>
          </w:tcPr>
          <w:p>
            <w:pPr>
              <w:pStyle w:val="TableContents"/>
              <w:spacing w:before="0" w:after="283"/>
              <w:rPr>
                <w:sz w:val="4"/>
                <w:szCs w:val="4"/>
              </w:rPr>
            </w:pPr>
            <w:r>
              <w:rPr>
                <w:sz w:val="4"/>
                <w:szCs w:val="4"/>
              </w:rPr>
            </w:r>
          </w:p>
        </w:tc>
      </w:tr>
      <w:tr>
        <w:trPr/>
        <w:tc>
          <w:tcPr>
            <w:tcW w:w="15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Long-term incentive award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sz w:val="16"/>
              </w:rPr>
            </w:pPr>
            <w:r>
              <w:rPr>
                <w:rFonts w:ascii="arial" w:hAnsi="arial"/>
                <w:sz w:val="16"/>
              </w:rPr>
              <w:t>Grants of:</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PRSUs (50%) that vest after completion of a three-year period, dependent on company performance against multi-year objective financial targets;</w:t>
            </w:r>
          </w:p>
          <w:p>
            <w:pPr>
              <w:pStyle w:val="TableContents"/>
              <w:spacing w:before="0" w:after="0"/>
              <w:rPr/>
            </w:pPr>
            <w:r>
              <w:rPr/>
              <w:t> </w:t>
            </w:r>
          </w:p>
          <w:p>
            <w:pPr>
              <w:pStyle w:val="TableContents"/>
              <w:spacing w:before="0" w:after="0"/>
              <w:rPr>
                <w:rFonts w:ascii="arial" w:hAnsi="arial"/>
                <w:sz w:val="16"/>
              </w:rPr>
            </w:pPr>
            <w:r>
              <w:rPr>
                <w:rFonts w:ascii="SYMBOL" w:hAnsi="SYMBOL"/>
                <w:color w:val="B94831"/>
                <w:sz w:val="12"/>
              </w:rPr>
              <w:t>·</w:t>
            </w:r>
            <w:r>
              <w:rPr>
                <w:rFonts w:ascii="arial" w:hAnsi="arial"/>
                <w:sz w:val="16"/>
              </w:rPr>
              <w:t>  TRSUs (25%) that vest at the same time as PRSUs; and</w:t>
            </w:r>
          </w:p>
          <w:p>
            <w:pPr>
              <w:pStyle w:val="TableContents"/>
              <w:spacing w:before="0" w:after="0"/>
              <w:rPr/>
            </w:pPr>
            <w:r>
              <w:rPr/>
              <w:t> </w:t>
            </w:r>
          </w:p>
          <w:p>
            <w:pPr>
              <w:pStyle w:val="TableContents"/>
              <w:spacing w:before="0" w:after="20"/>
              <w:rPr>
                <w:rFonts w:ascii="arial" w:hAnsi="arial"/>
                <w:sz w:val="16"/>
              </w:rPr>
            </w:pPr>
            <w:r>
              <w:rPr>
                <w:rFonts w:ascii="SYMBOL" w:hAnsi="SYMBOL"/>
                <w:color w:val="B94831"/>
                <w:sz w:val="12"/>
              </w:rPr>
              <w:t>·</w:t>
            </w:r>
            <w:r>
              <w:rPr>
                <w:rFonts w:ascii="arial" w:hAnsi="arial"/>
                <w:sz w:val="16"/>
              </w:rPr>
              <w:t>  Stock options (25%) with an exercise price equal to the closing price of our shares on the NYSE on the trading day immediately preceding the date of the grant; options are subject to time vesting conditions</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04"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Primarily</w:t>
              <w:br/>
              <w:t>performance-</w:t>
              <w:br/>
              <w:t>based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748"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sz w:val="16"/>
              </w:rPr>
            </w:pPr>
            <w:r>
              <w:rPr>
                <w:rFonts w:ascii="arial" w:hAnsi="arial"/>
                <w:sz w:val="16"/>
              </w:rPr>
              <w:t>Organic revenues (50% of PRSU financial metrics)</w:t>
            </w:r>
          </w:p>
          <w:p>
            <w:pPr>
              <w:pStyle w:val="TableContents"/>
              <w:spacing w:before="0" w:after="0"/>
              <w:rPr/>
            </w:pPr>
            <w:r>
              <w:rPr/>
              <w:t> </w:t>
            </w:r>
          </w:p>
          <w:p>
            <w:pPr>
              <w:pStyle w:val="TableContents"/>
              <w:spacing w:before="0" w:after="0"/>
              <w:rPr>
                <w:rFonts w:ascii="arial" w:hAnsi="arial"/>
                <w:sz w:val="16"/>
              </w:rPr>
            </w:pPr>
            <w:r>
              <w:rPr>
                <w:rFonts w:ascii="arial" w:hAnsi="arial"/>
                <w:sz w:val="16"/>
              </w:rPr>
              <w:t>Free cash flow per share (50% of PRSU financial metrics)</w:t>
            </w:r>
          </w:p>
          <w:p>
            <w:pPr>
              <w:pStyle w:val="TableContents"/>
              <w:spacing w:before="0" w:after="0"/>
              <w:rPr/>
            </w:pPr>
            <w:r>
              <w:rPr/>
              <w:t> </w:t>
            </w:r>
          </w:p>
          <w:p>
            <w:pPr>
              <w:pStyle w:val="TableContents"/>
              <w:spacing w:before="0" w:after="20"/>
              <w:rPr>
                <w:rFonts w:ascii="arial" w:hAnsi="arial"/>
                <w:sz w:val="16"/>
              </w:rPr>
            </w:pPr>
            <w:r>
              <w:rPr>
                <w:rFonts w:ascii="arial" w:hAnsi="arial"/>
                <w:sz w:val="16"/>
              </w:rPr>
              <w:t>Value tied to share price performance.</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776"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Equity</w:t>
            </w:r>
          </w:p>
        </w:tc>
        <w:tc>
          <w:tcPr>
            <w:tcW w:w="71" w:type="dxa"/>
            <w:tcBorders>
              <w:bottom w:val="single" w:sz="2" w:space="0" w:color="AFAFAF"/>
            </w:tcBorders>
            <w:shd w:fill="auto" w:val="clear"/>
            <w:tcMar>
              <w:bottom w:w="28" w:type="dxa"/>
            </w:tcMar>
            <w:vAlign w:val="bottom"/>
          </w:tcPr>
          <w:p>
            <w:pPr>
              <w:pStyle w:val="TableContents"/>
              <w:spacing w:before="0" w:after="283"/>
              <w:rPr/>
            </w:pPr>
            <w:r>
              <w:rPr/>
              <w:t> </w:t>
            </w:r>
          </w:p>
        </w:tc>
        <w:tc>
          <w:tcPr>
            <w:tcW w:w="2430" w:type="dxa"/>
            <w:tcBorders>
              <w:bottom w:val="single" w:sz="2" w:space="0" w:color="AFAFAF"/>
            </w:tcBorders>
            <w:shd w:fill="auto" w:val="clear"/>
            <w:tcMar>
              <w:bottom w:w="60" w:type="dxa"/>
            </w:tcMar>
          </w:tcPr>
          <w:p>
            <w:pPr>
              <w:pStyle w:val="TableContents"/>
              <w:spacing w:before="0" w:after="0"/>
              <w:rPr>
                <w:rFonts w:ascii="arial" w:hAnsi="arial"/>
                <w:sz w:val="16"/>
              </w:rPr>
            </w:pPr>
            <w:r>
              <w:rPr>
                <w:rFonts w:ascii="arial" w:hAnsi="arial"/>
                <w:sz w:val="16"/>
              </w:rPr>
              <w:t>Commits executives to delivering on our financial goals over the long term.</w:t>
            </w:r>
          </w:p>
          <w:p>
            <w:pPr>
              <w:pStyle w:val="TableContents"/>
              <w:spacing w:before="0" w:after="0"/>
              <w:rPr/>
            </w:pPr>
            <w:r>
              <w:rPr/>
              <w:t> </w:t>
            </w:r>
          </w:p>
          <w:p>
            <w:pPr>
              <w:pStyle w:val="TableContents"/>
              <w:spacing w:before="0" w:after="0"/>
              <w:rPr>
                <w:rFonts w:ascii="arial" w:hAnsi="arial"/>
                <w:sz w:val="16"/>
              </w:rPr>
            </w:pPr>
            <w:r>
              <w:rPr>
                <w:rFonts w:ascii="arial" w:hAnsi="arial"/>
                <w:sz w:val="16"/>
              </w:rPr>
              <w:t>Strongly links their pay to our share price and supports retention objectives.</w:t>
            </w:r>
          </w:p>
          <w:p>
            <w:pPr>
              <w:pStyle w:val="TableContents"/>
              <w:spacing w:before="0" w:after="0"/>
              <w:rPr/>
            </w:pPr>
            <w:r>
              <w:rPr/>
              <w:t> </w:t>
            </w:r>
          </w:p>
          <w:p>
            <w:pPr>
              <w:pStyle w:val="TableContents"/>
              <w:spacing w:before="0" w:after="0"/>
              <w:rPr>
                <w:rFonts w:ascii="arial" w:hAnsi="arial"/>
                <w:sz w:val="16"/>
              </w:rPr>
            </w:pPr>
            <w:r>
              <w:rPr>
                <w:rFonts w:ascii="arial" w:hAnsi="arial"/>
                <w:sz w:val="16"/>
              </w:rPr>
              <w:t>Helps retain critical talent and recognize superior performance.</w:t>
            </w:r>
          </w:p>
          <w:p>
            <w:pPr>
              <w:pStyle w:val="TableContents"/>
              <w:spacing w:before="0" w:after="0"/>
              <w:rPr/>
            </w:pPr>
            <w:r>
              <w:rPr/>
              <w:t> </w:t>
            </w:r>
          </w:p>
          <w:p>
            <w:pPr>
              <w:pStyle w:val="TableContents"/>
              <w:spacing w:before="0" w:after="20"/>
              <w:rPr>
                <w:rFonts w:ascii="arial" w:hAnsi="arial"/>
                <w:sz w:val="16"/>
              </w:rPr>
            </w:pPr>
            <w:r>
              <w:rPr>
                <w:rFonts w:ascii="arial" w:hAnsi="arial"/>
                <w:sz w:val="16"/>
              </w:rPr>
              <w:t>Aligns their interests to shareholder interests.</w:t>
            </w:r>
          </w:p>
        </w:tc>
      </w:tr>
      <w:tr>
        <w:trPr>
          <w:trHeight w:val="75" w:hRule="atLeast"/>
        </w:trPr>
        <w:tc>
          <w:tcPr>
            <w:tcW w:w="1517" w:type="dxa"/>
            <w:tcBorders>
              <w:right w:val="single" w:sz="2" w:space="0" w:color="AFAFAF"/>
            </w:tcBorders>
            <w:shd w:fill="auto" w:val="clear"/>
            <w:tcMar>
              <w:right w:w="28" w:type="dxa"/>
            </w:tcMar>
            <w:vAlign w:val="center"/>
          </w:tcPr>
          <w:p>
            <w:pPr>
              <w:pStyle w:val="TableContents"/>
              <w:spacing w:before="0" w:after="283"/>
              <w:rPr/>
            </w:pPr>
            <w:r>
              <w:rPr/>
              <w:t> </w:t>
            </w:r>
          </w:p>
        </w:tc>
        <w:tc>
          <w:tcPr>
            <w:tcW w:w="2117" w:type="dxa"/>
            <w:gridSpan w:val="2"/>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1364"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08" w:type="dxa"/>
            <w:gridSpan w:val="2"/>
            <w:tcBorders/>
            <w:shd w:fill="auto" w:val="clear"/>
            <w:vAlign w:val="center"/>
          </w:tcPr>
          <w:p>
            <w:pPr>
              <w:pStyle w:val="TableContents"/>
              <w:spacing w:before="0" w:after="283"/>
              <w:rPr>
                <w:sz w:val="4"/>
                <w:szCs w:val="4"/>
              </w:rPr>
            </w:pPr>
            <w:r>
              <w:rPr>
                <w:sz w:val="4"/>
                <w:szCs w:val="4"/>
              </w:rPr>
            </w:r>
          </w:p>
        </w:tc>
        <w:tc>
          <w:tcPr>
            <w:tcW w:w="898" w:type="dxa"/>
            <w:gridSpan w:val="2"/>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2501" w:type="dxa"/>
            <w:gridSpan w:val="2"/>
            <w:tcBorders/>
            <w:shd w:fill="auto" w:val="clear"/>
            <w:vAlign w:val="center"/>
          </w:tcPr>
          <w:p>
            <w:pPr>
              <w:pStyle w:val="TableContents"/>
              <w:spacing w:before="0" w:after="283"/>
              <w:rPr>
                <w:sz w:val="4"/>
                <w:szCs w:val="4"/>
              </w:rPr>
            </w:pPr>
            <w:r>
              <w:rPr>
                <w:sz w:val="4"/>
                <w:szCs w:val="4"/>
              </w:rPr>
            </w:r>
          </w:p>
        </w:tc>
      </w:tr>
      <w:tr>
        <w:trPr/>
        <w:tc>
          <w:tcPr>
            <w:tcW w:w="1517" w:type="dxa"/>
            <w:tcBorders>
              <w:bottom w:val="single" w:sz="2" w:space="0" w:color="AFAFAF"/>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Retirement and health and</w:t>
            </w:r>
          </w:p>
          <w:p>
            <w:pPr>
              <w:pStyle w:val="TableContents"/>
              <w:spacing w:before="0" w:after="20"/>
              <w:rPr>
                <w:rFonts w:ascii="Arial" w:hAnsi="Arial"/>
                <w:b/>
                <w:sz w:val="16"/>
              </w:rPr>
            </w:pPr>
            <w:r>
              <w:rPr>
                <w:rFonts w:ascii="Arial" w:hAnsi="Arial"/>
                <w:b/>
                <w:sz w:val="16"/>
              </w:rPr>
              <w:t>welfare-related benefits</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057"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Savings and deferred compensation plans, life and disability insurance, group medical and dental.</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04" w:type="dxa"/>
            <w:tcBorders>
              <w:bottom w:val="single" w:sz="2" w:space="0" w:color="AFAFAF"/>
              <w:right w:val="single" w:sz="2" w:space="0" w:color="AFAFAF"/>
            </w:tcBorders>
            <w:shd w:fill="auto" w:val="clear"/>
            <w:tcMar>
              <w:bottom w:w="28" w:type="dxa"/>
              <w:right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748" w:type="dxa"/>
            <w:tcBorders>
              <w:bottom w:val="single" w:sz="2" w:space="0" w:color="AFAFAF"/>
            </w:tcBorders>
            <w:shd w:fill="auto" w:val="clear"/>
            <w:tcMar>
              <w:bottom w:w="28" w:type="dxa"/>
            </w:tcMar>
          </w:tcPr>
          <w:p>
            <w:pPr>
              <w:pStyle w:val="TableContents"/>
              <w:rPr/>
            </w:pPr>
            <w:r>
              <w:rPr/>
              <w:t xml:space="preserve">  </w:t>
            </w:r>
          </w:p>
          <w:p>
            <w:pPr>
              <w:pStyle w:val="TableContents"/>
              <w:spacing w:before="0" w:after="0"/>
              <w:rPr/>
            </w:pPr>
            <w:r>
              <w:rPr/>
              <w:t> </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76" w:type="dxa"/>
            <w:tcBorders>
              <w:bottom w:val="single" w:sz="2" w:space="0" w:color="AFAFAF"/>
              <w:right w:val="single" w:sz="2" w:space="0" w:color="AFAFAF"/>
            </w:tcBorders>
            <w:shd w:fill="auto" w:val="clear"/>
            <w:tcMar>
              <w:bottom w:w="60" w:type="dxa"/>
              <w:right w:w="28" w:type="dxa"/>
            </w:tcMar>
          </w:tcPr>
          <w:p>
            <w:pPr>
              <w:pStyle w:val="TableContents"/>
              <w:spacing w:before="0" w:after="283"/>
              <w:rPr/>
            </w:pPr>
            <w:r>
              <w:rPr/>
              <w:t>Various</w:t>
            </w:r>
          </w:p>
        </w:tc>
        <w:tc>
          <w:tcPr>
            <w:tcW w:w="71" w:type="dxa"/>
            <w:tcBorders>
              <w:bottom w:val="single" w:sz="2" w:space="0" w:color="AFAFAF"/>
            </w:tcBorders>
            <w:shd w:fill="auto" w:val="clear"/>
            <w:tcMar>
              <w:bottom w:w="28" w:type="dxa"/>
            </w:tcMar>
            <w:vAlign w:val="bottom"/>
          </w:tcPr>
          <w:p>
            <w:pPr>
              <w:pStyle w:val="TableContents"/>
              <w:spacing w:before="0" w:after="283"/>
              <w:rPr/>
            </w:pPr>
            <w:r>
              <w:rPr/>
              <w:t> </w:t>
            </w:r>
          </w:p>
        </w:tc>
        <w:tc>
          <w:tcPr>
            <w:tcW w:w="2430" w:type="dxa"/>
            <w:tcBorders>
              <w:bottom w:val="single" w:sz="2" w:space="0" w:color="AFAFAF"/>
            </w:tcBorders>
            <w:shd w:fill="auto" w:val="clear"/>
            <w:tcMar>
              <w:bottom w:w="60" w:type="dxa"/>
            </w:tcMar>
          </w:tcPr>
          <w:p>
            <w:pPr>
              <w:pStyle w:val="TableContents"/>
              <w:spacing w:before="0" w:after="283"/>
              <w:rPr/>
            </w:pPr>
            <w:r>
              <w:rPr/>
              <w:t>Most of these programs are broad-based employee programs, consistent with customary market practice and competitive factors. None of our named executive officers have supplemental executive retirement plans (SERPs).</w:t>
            </w:r>
          </w:p>
        </w:tc>
      </w:tr>
      <w:tr>
        <w:trPr>
          <w:trHeight w:val="75" w:hRule="atLeast"/>
        </w:trPr>
        <w:tc>
          <w:tcPr>
            <w:tcW w:w="1517" w:type="dxa"/>
            <w:tcBorders>
              <w:right w:val="single" w:sz="2" w:space="0" w:color="AFAFAF"/>
            </w:tcBorders>
            <w:shd w:fill="auto" w:val="clear"/>
            <w:tcMar>
              <w:right w:w="28" w:type="dxa"/>
            </w:tcMar>
            <w:vAlign w:val="center"/>
          </w:tcPr>
          <w:p>
            <w:pPr>
              <w:pStyle w:val="TableContents"/>
              <w:spacing w:before="0" w:after="283"/>
              <w:rPr/>
            </w:pPr>
            <w:r>
              <w:rPr/>
              <w:t> </w:t>
            </w:r>
          </w:p>
        </w:tc>
        <w:tc>
          <w:tcPr>
            <w:tcW w:w="2117" w:type="dxa"/>
            <w:gridSpan w:val="2"/>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1364" w:type="dxa"/>
            <w:gridSpan w:val="2"/>
            <w:tcBorders>
              <w:right w:val="single" w:sz="2" w:space="0" w:color="AFAFAF"/>
            </w:tcBorders>
            <w:shd w:fill="auto" w:val="clear"/>
            <w:tcMar>
              <w:right w:w="28" w:type="dxa"/>
            </w:tcMar>
            <w:vAlign w:val="center"/>
          </w:tcPr>
          <w:p>
            <w:pPr>
              <w:pStyle w:val="TableContents"/>
              <w:spacing w:before="0" w:after="283"/>
              <w:rPr/>
            </w:pPr>
            <w:r>
              <w:rPr/>
              <w:t> </w:t>
            </w:r>
          </w:p>
        </w:tc>
        <w:tc>
          <w:tcPr>
            <w:tcW w:w="1808" w:type="dxa"/>
            <w:gridSpan w:val="2"/>
            <w:tcBorders/>
            <w:shd w:fill="auto" w:val="clear"/>
            <w:vAlign w:val="center"/>
          </w:tcPr>
          <w:p>
            <w:pPr>
              <w:pStyle w:val="TableContents"/>
              <w:spacing w:before="0" w:after="283"/>
              <w:rPr>
                <w:sz w:val="4"/>
                <w:szCs w:val="4"/>
              </w:rPr>
            </w:pPr>
            <w:r>
              <w:rPr>
                <w:sz w:val="4"/>
                <w:szCs w:val="4"/>
              </w:rPr>
            </w:r>
          </w:p>
        </w:tc>
        <w:tc>
          <w:tcPr>
            <w:tcW w:w="898" w:type="dxa"/>
            <w:gridSpan w:val="2"/>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2501" w:type="dxa"/>
            <w:gridSpan w:val="2"/>
            <w:tcBorders/>
            <w:shd w:fill="auto" w:val="clear"/>
            <w:vAlign w:val="center"/>
          </w:tcPr>
          <w:p>
            <w:pPr>
              <w:pStyle w:val="TableContents"/>
              <w:spacing w:before="0" w:after="283"/>
              <w:rPr>
                <w:sz w:val="4"/>
                <w:szCs w:val="4"/>
              </w:rPr>
            </w:pPr>
            <w:r>
              <w:rPr>
                <w:sz w:val="4"/>
                <w:szCs w:val="4"/>
              </w:rPr>
            </w:r>
          </w:p>
        </w:tc>
      </w:tr>
      <w:tr>
        <w:trPr/>
        <w:tc>
          <w:tcPr>
            <w:tcW w:w="1517" w:type="dxa"/>
            <w:tcBorders>
              <w:bottom w:val="single" w:sz="2" w:space="0" w:color="B94831"/>
              <w:right w:val="single" w:sz="2" w:space="0" w:color="AFAFAF"/>
            </w:tcBorders>
            <w:shd w:fill="auto" w:val="clear"/>
            <w:tcMar>
              <w:bottom w:w="60" w:type="dxa"/>
              <w:right w:w="28" w:type="dxa"/>
            </w:tcMar>
          </w:tcPr>
          <w:p>
            <w:pPr>
              <w:pStyle w:val="TableContents"/>
              <w:spacing w:before="0" w:after="0"/>
              <w:rPr>
                <w:rFonts w:ascii="Arial" w:hAnsi="Arial"/>
                <w:b/>
                <w:sz w:val="16"/>
              </w:rPr>
            </w:pPr>
            <w:r>
              <w:rPr>
                <w:rFonts w:ascii="Arial" w:hAnsi="Arial"/>
                <w:b/>
                <w:sz w:val="16"/>
              </w:rPr>
              <w:t>Perquisites and other</w:t>
            </w:r>
          </w:p>
          <w:p>
            <w:pPr>
              <w:pStyle w:val="TableContents"/>
              <w:spacing w:before="0" w:after="20"/>
              <w:rPr>
                <w:rFonts w:ascii="Arial" w:hAnsi="Arial"/>
                <w:b/>
                <w:sz w:val="16"/>
              </w:rPr>
            </w:pPr>
            <w:r>
              <w:rPr>
                <w:rFonts w:ascii="Arial" w:hAnsi="Arial"/>
                <w:b/>
                <w:sz w:val="16"/>
              </w:rPr>
              <w:t>personal benefits</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2057" w:type="dxa"/>
            <w:tcBorders>
              <w:bottom w:val="single" w:sz="2" w:space="0" w:color="B94831"/>
              <w:right w:val="single" w:sz="2" w:space="0" w:color="AFAFAF"/>
            </w:tcBorders>
            <w:shd w:fill="auto" w:val="clear"/>
            <w:tcMar>
              <w:bottom w:w="60" w:type="dxa"/>
              <w:right w:w="28" w:type="dxa"/>
            </w:tcMar>
          </w:tcPr>
          <w:p>
            <w:pPr>
              <w:pStyle w:val="TableContents"/>
              <w:spacing w:before="0" w:after="283"/>
              <w:rPr/>
            </w:pPr>
            <w:r>
              <w:rPr/>
              <w:t>Limited and includes executive physicals and tax and financial planning assistance.</w:t>
            </w:r>
          </w:p>
        </w:tc>
        <w:tc>
          <w:tcPr>
            <w:tcW w:w="60" w:type="dxa"/>
            <w:tcBorders>
              <w:bottom w:val="single" w:sz="2" w:space="0" w:color="B94831"/>
            </w:tcBorders>
            <w:shd w:fill="auto" w:val="clear"/>
            <w:tcMar>
              <w:bottom w:w="28" w:type="dxa"/>
            </w:tcMar>
            <w:vAlign w:val="bottom"/>
          </w:tcPr>
          <w:p>
            <w:pPr>
              <w:pStyle w:val="TableContents"/>
              <w:spacing w:before="0" w:after="283"/>
              <w:rPr/>
            </w:pPr>
            <w:r>
              <w:rPr/>
              <w:t> </w:t>
            </w:r>
          </w:p>
        </w:tc>
        <w:tc>
          <w:tcPr>
            <w:tcW w:w="1304" w:type="dxa"/>
            <w:tcBorders>
              <w:bottom w:val="single" w:sz="2" w:space="0" w:color="B94831"/>
              <w:right w:val="single" w:sz="2" w:space="0" w:color="AFAFAF"/>
            </w:tcBorders>
            <w:shd w:fill="auto" w:val="clear"/>
            <w:tcMar>
              <w:bottom w:w="28" w:type="dxa"/>
              <w:right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B94831"/>
            </w:tcBorders>
            <w:shd w:fill="auto" w:val="clear"/>
            <w:tcMar>
              <w:bottom w:w="28" w:type="dxa"/>
            </w:tcMar>
            <w:vAlign w:val="bottom"/>
          </w:tcPr>
          <w:p>
            <w:pPr>
              <w:pStyle w:val="TableContents"/>
              <w:spacing w:before="0" w:after="283"/>
              <w:rPr/>
            </w:pPr>
            <w:r>
              <w:rPr/>
              <w:t> </w:t>
            </w:r>
          </w:p>
        </w:tc>
        <w:tc>
          <w:tcPr>
            <w:tcW w:w="1748" w:type="dxa"/>
            <w:tcBorders>
              <w:bottom w:val="single" w:sz="2" w:space="0" w:color="B94831"/>
            </w:tcBorders>
            <w:shd w:fill="auto" w:val="clear"/>
            <w:tcMar>
              <w:bottom w:w="28" w:type="dxa"/>
            </w:tcMar>
          </w:tcPr>
          <w:p>
            <w:pPr>
              <w:pStyle w:val="TableContents"/>
              <w:rPr/>
            </w:pPr>
            <w:r>
              <w:rPr/>
              <w:t xml:space="preserve">  </w:t>
            </w:r>
          </w:p>
          <w:p>
            <w:pPr>
              <w:pStyle w:val="TableContents"/>
              <w:spacing w:before="0" w:after="0"/>
              <w:rPr/>
            </w:pPr>
            <w:r>
              <w:rPr/>
              <w:t> </w:t>
            </w:r>
          </w:p>
        </w:tc>
        <w:tc>
          <w:tcPr>
            <w:tcW w:w="122"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776" w:type="dxa"/>
            <w:tcBorders>
              <w:bottom w:val="single" w:sz="2" w:space="0" w:color="B94831"/>
              <w:right w:val="single" w:sz="2" w:space="0" w:color="AFAFAF"/>
            </w:tcBorders>
            <w:shd w:fill="auto" w:val="clear"/>
            <w:tcMar>
              <w:bottom w:w="60" w:type="dxa"/>
              <w:right w:w="28" w:type="dxa"/>
            </w:tcMar>
          </w:tcPr>
          <w:p>
            <w:pPr>
              <w:pStyle w:val="TableContents"/>
              <w:spacing w:before="0" w:after="283"/>
              <w:rPr/>
            </w:pPr>
            <w:r>
              <w:rPr/>
              <w:t>Various</w:t>
            </w:r>
          </w:p>
        </w:tc>
        <w:tc>
          <w:tcPr>
            <w:tcW w:w="71" w:type="dxa"/>
            <w:tcBorders>
              <w:bottom w:val="single" w:sz="2" w:space="0" w:color="B94831"/>
            </w:tcBorders>
            <w:shd w:fill="auto" w:val="clear"/>
            <w:tcMar>
              <w:bottom w:w="28" w:type="dxa"/>
            </w:tcMar>
            <w:vAlign w:val="bottom"/>
          </w:tcPr>
          <w:p>
            <w:pPr>
              <w:pStyle w:val="TableContents"/>
              <w:spacing w:before="0" w:after="283"/>
              <w:rPr/>
            </w:pPr>
            <w:r>
              <w:rPr/>
              <w:t> </w:t>
            </w:r>
          </w:p>
        </w:tc>
        <w:tc>
          <w:tcPr>
            <w:tcW w:w="2430" w:type="dxa"/>
            <w:tcBorders>
              <w:bottom w:val="single" w:sz="2" w:space="0" w:color="B94831"/>
            </w:tcBorders>
            <w:shd w:fill="auto" w:val="clear"/>
            <w:tcMar>
              <w:bottom w:w="60" w:type="dxa"/>
            </w:tcMar>
          </w:tcPr>
          <w:p>
            <w:pPr>
              <w:pStyle w:val="TableContents"/>
              <w:spacing w:before="0" w:after="283"/>
              <w:rPr/>
            </w:pPr>
            <w:r>
              <w:rPr/>
              <w:t>Encourages maintenance of health and sound finances in a cost effective manner for our company, and minimizes distractions for executives.</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72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41" w:name="tx494196_cd4"/>
      <w:bookmarkStart w:id="42" w:name="tx494196_40"/>
      <w:bookmarkEnd w:id="41"/>
      <w:bookmarkEnd w:id="42"/>
      <w:r>
        <w:rPr>
          <w:rFonts w:ascii="Arial" w:hAnsi="Arial"/>
          <w:b/>
          <w:sz w:val="28"/>
        </w:rPr>
        <w:t xml:space="preserve">Our Process for Designing and Determining Executive Compensation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20510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578485" cy="20510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HR Committee </w:t>
      </w:r>
    </w:p>
    <w:p>
      <w:pPr>
        <w:pStyle w:val="TextBody"/>
        <w:spacing w:before="40" w:after="0"/>
        <w:jc w:val="left"/>
        <w:rPr>
          <w:rFonts w:ascii="arial" w:hAnsi="arial"/>
          <w:sz w:val="20"/>
        </w:rPr>
      </w:pPr>
      <w:r>
        <w:rPr>
          <w:rFonts w:ascii="arial" w:hAnsi="arial"/>
          <w:sz w:val="20"/>
        </w:rPr>
        <w:t xml:space="preserve">The HR Committees responsibilities include establishing, implementing and overseeing our compensation policies and programs, executive talent review and succession planning processes. One of the HR Committees key responsibilities is approving compensation arrangements for the CEO and other executive officers. The Board recognizes the importance of appointing knowledgeable and experienced individuals to the HR Committee who have the necessary background in executive compensation to fulfill the HR Committees obligations to the Board and our shareholders. Each member of the HR Committee has direct experience as a senior leader that is relevant to his or her responsibilities in executive compensation. Additional information about the HR Committee is included earlier in this circular in our discussion of the Board and corporate governance. </w:t>
      </w:r>
    </w:p>
    <w:p>
      <w:pPr>
        <w:pStyle w:val="TextBody"/>
        <w:spacing w:before="120" w:after="0"/>
        <w:jc w:val="left"/>
        <w:rPr>
          <w:rFonts w:ascii="arial" w:hAnsi="arial"/>
          <w:color w:val="B94831"/>
          <w:sz w:val="28"/>
        </w:rPr>
      </w:pPr>
      <w:r>
        <w:rPr>
          <w:rFonts w:ascii="arial" w:hAnsi="arial"/>
          <w:color w:val="B94831"/>
          <w:sz w:val="28"/>
        </w:rPr>
        <w:t xml:space="preserve">Management </w:t>
      </w:r>
    </w:p>
    <w:p>
      <w:pPr>
        <w:pStyle w:val="TextBody"/>
        <w:spacing w:before="40" w:after="0"/>
        <w:jc w:val="left"/>
        <w:rPr>
          <w:rFonts w:ascii="arial" w:hAnsi="arial"/>
          <w:sz w:val="20"/>
        </w:rPr>
      </w:pPr>
      <w:r>
        <w:rPr>
          <w:rFonts w:ascii="arial" w:hAnsi="arial"/>
          <w:sz w:val="20"/>
        </w:rPr>
        <w:t xml:space="preserve">Our Chief People Officer and other members of the Human Resources department are responsible for overseeing the day-to-day design, implementation, administration and management of our various compensation and benefits policies and plans, including base salaries, annual and long-term incentives, retirement savings, health and welfare. The CEO, Chief People Officer and other senior executives in the Human Resources, Finance and Legal departments regularly attend HR Committee meetings. Throughout the year, management provides recommendations to the HR Committee on a wide range of compensation matters. </w:t>
      </w:r>
    </w:p>
    <w:p>
      <w:pPr>
        <w:pStyle w:val="TextBody"/>
        <w:spacing w:before="120" w:after="0"/>
        <w:jc w:val="left"/>
        <w:rPr>
          <w:rFonts w:ascii="arial" w:hAnsi="arial"/>
          <w:color w:val="B94831"/>
          <w:sz w:val="28"/>
        </w:rPr>
      </w:pPr>
      <w:r>
        <w:rPr>
          <w:rFonts w:ascii="arial" w:hAnsi="arial"/>
          <w:color w:val="B94831"/>
          <w:sz w:val="28"/>
        </w:rPr>
        <w:t xml:space="preserve">Our Principal Shareholder </w:t>
      </w:r>
    </w:p>
    <w:p>
      <w:pPr>
        <w:pStyle w:val="TextBody"/>
        <w:spacing w:before="40" w:after="0"/>
        <w:jc w:val="left"/>
        <w:rPr>
          <w:rFonts w:ascii="arial" w:hAnsi="arial"/>
          <w:sz w:val="20"/>
        </w:rPr>
      </w:pPr>
      <w:r>
        <w:rPr>
          <w:rFonts w:ascii="arial" w:hAnsi="arial"/>
          <w:sz w:val="20"/>
        </w:rPr>
        <w:t xml:space="preserve">We recognize that executive compensation is a key area of interest for shareholders. Woodbridge, our principal shareholder, actively monitors this aspect of our governance given its importance to the achievement of our financial performance goals and long-term success. With its substantial equity investment in Thomson Reuters, Woodbridge considers that its interests as a shareholder are aligned with those of all other shareholders. A majority of the HR Committees members are independent directors and David Binet, Ed Clark and Peter Thomson serve as non-independent directors. David Thomson, Chairman of the Board, regularly attends meetings of the HR Committee as a guest. </w:t>
      </w:r>
    </w:p>
    <w:p>
      <w:pPr>
        <w:pStyle w:val="TextBody"/>
        <w:spacing w:before="120" w:after="0"/>
        <w:jc w:val="left"/>
        <w:rPr>
          <w:rFonts w:ascii="arial" w:hAnsi="arial"/>
          <w:color w:val="B94831"/>
          <w:sz w:val="28"/>
        </w:rPr>
      </w:pPr>
      <w:r>
        <w:rPr>
          <w:rFonts w:ascii="arial" w:hAnsi="arial"/>
          <w:color w:val="B94831"/>
          <w:sz w:val="28"/>
        </w:rPr>
        <w:t xml:space="preserve">Independent Advisors </w:t>
      </w:r>
    </w:p>
    <w:p>
      <w:pPr>
        <w:pStyle w:val="TextBody"/>
        <w:spacing w:before="40" w:after="0"/>
        <w:jc w:val="left"/>
        <w:rPr>
          <w:rFonts w:ascii="arial" w:hAnsi="arial"/>
          <w:sz w:val="20"/>
        </w:rPr>
      </w:pPr>
      <w:r>
        <w:rPr>
          <w:rFonts w:ascii="arial" w:hAnsi="arial"/>
          <w:sz w:val="20"/>
        </w:rPr>
        <w:t xml:space="preserve">The HR Committee has retained an outside consulting firm, Frederic W. Cook &amp; Co., Inc. (FW Cook), to serve as an independent advisor on matters relating to executive compensation since 1998. Representatives of FW Cook generally attend HR Committee meetings, including meeting privately, or in-camera, with the committee (when no members of management are present) and have discussions with the Chair and other members of the HR Committee from time to time outside of regularly scheduled meetings. </w:t>
      </w:r>
    </w:p>
    <w:p>
      <w:pPr>
        <w:pStyle w:val="TextBody"/>
        <w:spacing w:before="120" w:after="0"/>
        <w:jc w:val="left"/>
        <w:rPr>
          <w:rFonts w:ascii="arial" w:hAnsi="arial"/>
          <w:sz w:val="20"/>
        </w:rPr>
      </w:pPr>
      <w:r>
        <w:rPr>
          <w:rFonts w:ascii="arial" w:hAnsi="arial"/>
          <w:sz w:val="20"/>
        </w:rPr>
        <w:t xml:space="preserve">As part of its ongoing services to the HR Committee, FW Cook assists in evaluating the competitive positioning of senior executive compensation levels and provides guidance and analysis on plan design and market trends and practices to ensure that our program provides executives with competitive compensation opportunities, links compensation to performance and shareholder value creation, is efficient from accounting, tax and cash flow perspectives, and is supportive of emerging best practice corporate governance principles.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FW Cook does not provide any services to Thomson Reuters other than those provided directly to the HR Committee. Any use of FW Cook by Thomson Reuters management outside the scope of the HR Committees purview would require the HR Committees prior approval. In 2022 and 2021, we paid FW Cook the following fees: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51"/>
        <w:gridCol w:w="140"/>
        <w:gridCol w:w="140"/>
        <w:gridCol w:w="804"/>
        <w:gridCol w:w="95"/>
        <w:gridCol w:w="191"/>
        <w:gridCol w:w="140"/>
        <w:gridCol w:w="804"/>
        <w:gridCol w:w="145"/>
        <w:gridCol w:w="191"/>
        <w:gridCol w:w="60"/>
        <w:gridCol w:w="2793"/>
        <w:gridCol w:w="151"/>
      </w:tblGrid>
      <w:tr>
        <w:trPr/>
        <w:tc>
          <w:tcPr>
            <w:tcW w:w="455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4551" w:type="dxa"/>
            <w:tcBorders/>
            <w:shd w:fill="auto" w:val="clear"/>
            <w:vAlign w:val="center"/>
          </w:tcPr>
          <w:p>
            <w:pPr>
              <w:pStyle w:val="TableContents"/>
              <w:spacing w:before="0" w:after="283"/>
              <w:rPr>
                <w:sz w:val="4"/>
                <w:szCs w:val="4"/>
              </w:rPr>
            </w:pPr>
            <w:r>
              <w:rPr>
                <w:sz w:val="4"/>
                <w:szCs w:val="4"/>
              </w:rPr>
            </w:r>
          </w:p>
        </w:tc>
        <w:tc>
          <w:tcPr>
            <w:tcW w:w="1179" w:type="dxa"/>
            <w:gridSpan w:val="4"/>
            <w:tcBorders>
              <w:right w:val="single" w:sz="2" w:space="0" w:color="FFFFFF"/>
            </w:tcBorders>
            <w:shd w:fill="262626" w:val="clear"/>
            <w:tcMar>
              <w:right w:w="28" w:type="dxa"/>
            </w:tcMar>
            <w:vAlign w:val="center"/>
          </w:tcPr>
          <w:p>
            <w:pPr>
              <w:pStyle w:val="TableContents"/>
              <w:spacing w:before="0" w:after="283"/>
              <w:rPr/>
            </w:pPr>
            <w:r>
              <w:rPr/>
              <w:t> </w:t>
            </w:r>
          </w:p>
        </w:tc>
        <w:tc>
          <w:tcPr>
            <w:tcW w:w="1280" w:type="dxa"/>
            <w:gridSpan w:val="4"/>
            <w:tcBorders>
              <w:right w:val="single" w:sz="2" w:space="0" w:color="FFFFFF"/>
            </w:tcBorders>
            <w:shd w:fill="262626" w:val="clear"/>
            <w:tcMar>
              <w:right w:w="28" w:type="dxa"/>
            </w:tcMar>
            <w:vAlign w:val="center"/>
          </w:tcPr>
          <w:p>
            <w:pPr>
              <w:pStyle w:val="TableContents"/>
              <w:spacing w:before="0" w:after="283"/>
              <w:rPr/>
            </w:pPr>
            <w:r>
              <w:rPr/>
              <w:t> </w:t>
            </w:r>
          </w:p>
        </w:tc>
        <w:tc>
          <w:tcPr>
            <w:tcW w:w="3195" w:type="dxa"/>
            <w:gridSpan w:val="4"/>
            <w:tcBorders/>
            <w:shd w:fill="262626" w:val="clear"/>
            <w:vAlign w:val="center"/>
          </w:tcPr>
          <w:p>
            <w:pPr>
              <w:pStyle w:val="TableContents"/>
              <w:spacing w:before="0" w:after="283"/>
              <w:rPr>
                <w:sz w:val="4"/>
                <w:szCs w:val="4"/>
              </w:rPr>
            </w:pPr>
            <w:r>
              <w:rPr>
                <w:sz w:val="4"/>
                <w:szCs w:val="4"/>
              </w:rPr>
            </w:r>
          </w:p>
        </w:tc>
      </w:tr>
      <w:tr>
        <w:trPr/>
        <w:tc>
          <w:tcPr>
            <w:tcW w:w="4551"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40" w:type="dxa"/>
            <w:tcBorders>
              <w:bottom w:val="single" w:sz="8"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8" w:space="0" w:color="B94831"/>
            </w:tcBorders>
            <w:shd w:fill="262626" w:val="clear"/>
            <w:tcMar>
              <w:bottom w:w="60" w:type="dxa"/>
            </w:tcMar>
            <w:vAlign w:val="bottom"/>
          </w:tcPr>
          <w:p>
            <w:pPr>
              <w:pStyle w:val="TableContents"/>
              <w:spacing w:before="0" w:after="283"/>
              <w:rPr>
                <w:color w:val="FFFFFF"/>
              </w:rPr>
            </w:pPr>
            <w:r>
              <w:rPr>
                <w:color w:val="FFFFFF"/>
              </w:rPr>
              <w:t> </w:t>
            </w:r>
          </w:p>
        </w:tc>
        <w:tc>
          <w:tcPr>
            <w:tcW w:w="804" w:type="dxa"/>
            <w:tcBorders>
              <w:bottom w:val="single" w:sz="8" w:space="0" w:color="B94831"/>
            </w:tcBorders>
            <w:shd w:fill="262626" w:val="clear"/>
            <w:tcMar>
              <w:bottom w:w="60" w:type="dxa"/>
            </w:tcMar>
            <w:vAlign w:val="bottom"/>
          </w:tcPr>
          <w:p>
            <w:pPr>
              <w:pStyle w:val="TableContents"/>
              <w:spacing w:before="0" w:after="283"/>
              <w:jc w:val="right"/>
              <w:rPr>
                <w:rFonts w:ascii="Arial" w:hAnsi="Arial"/>
                <w:b/>
                <w:color w:val="FFFFFF"/>
              </w:rPr>
            </w:pPr>
            <w:r>
              <w:rPr>
                <w:rFonts w:ascii="Arial" w:hAnsi="Arial"/>
                <w:b/>
                <w:color w:val="FFFFFF"/>
              </w:rPr>
              <w:t>2022</w:t>
            </w:r>
          </w:p>
        </w:tc>
        <w:tc>
          <w:tcPr>
            <w:tcW w:w="95" w:type="dxa"/>
            <w:tcBorders>
              <w:bottom w:val="single" w:sz="8" w:space="0" w:color="B94831"/>
              <w:right w:val="single" w:sz="2" w:space="0" w:color="FFFFFF"/>
            </w:tcBorders>
            <w:shd w:fill="262626" w:val="clear"/>
            <w:tcMar>
              <w:bottom w:w="60" w:type="dxa"/>
              <w:right w:w="28" w:type="dxa"/>
            </w:tcMar>
            <w:vAlign w:val="bottom"/>
          </w:tcPr>
          <w:p>
            <w:pPr>
              <w:pStyle w:val="TableContents"/>
              <w:spacing w:before="0" w:after="283"/>
              <w:rPr>
                <w:color w:val="FFFFFF"/>
              </w:rPr>
            </w:pPr>
            <w:r>
              <w:rPr>
                <w:color w:val="FFFFFF"/>
              </w:rPr>
              <w:t> </w:t>
            </w:r>
          </w:p>
        </w:tc>
        <w:tc>
          <w:tcPr>
            <w:tcW w:w="1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8" w:space="0" w:color="B94831"/>
            </w:tcBorders>
            <w:shd w:fill="262626" w:val="clear"/>
            <w:tcMar>
              <w:bottom w:w="60" w:type="dxa"/>
            </w:tcMar>
            <w:vAlign w:val="bottom"/>
          </w:tcPr>
          <w:p>
            <w:pPr>
              <w:pStyle w:val="TableContents"/>
              <w:spacing w:before="0" w:after="283"/>
              <w:rPr>
                <w:color w:val="FFFFFF"/>
              </w:rPr>
            </w:pPr>
            <w:r>
              <w:rPr>
                <w:color w:val="FFFFFF"/>
              </w:rPr>
              <w:t> </w:t>
            </w:r>
          </w:p>
        </w:tc>
        <w:tc>
          <w:tcPr>
            <w:tcW w:w="804" w:type="dxa"/>
            <w:tcBorders>
              <w:bottom w:val="single" w:sz="8" w:space="0" w:color="B94831"/>
            </w:tcBorders>
            <w:shd w:fill="262626" w:val="clear"/>
            <w:tcMar>
              <w:bottom w:w="60" w:type="dxa"/>
            </w:tcMar>
            <w:vAlign w:val="bottom"/>
          </w:tcPr>
          <w:p>
            <w:pPr>
              <w:pStyle w:val="TableContents"/>
              <w:spacing w:before="0" w:after="283"/>
              <w:jc w:val="right"/>
              <w:rPr>
                <w:rFonts w:ascii="Arial" w:hAnsi="Arial"/>
                <w:b/>
                <w:color w:val="FFFFFF"/>
              </w:rPr>
            </w:pPr>
            <w:r>
              <w:rPr>
                <w:rFonts w:ascii="Arial" w:hAnsi="Arial"/>
                <w:b/>
                <w:color w:val="FFFFFF"/>
              </w:rPr>
              <w:t>2021</w:t>
            </w:r>
          </w:p>
        </w:tc>
        <w:tc>
          <w:tcPr>
            <w:tcW w:w="145" w:type="dxa"/>
            <w:tcBorders>
              <w:bottom w:val="single" w:sz="8" w:space="0" w:color="B94831"/>
              <w:right w:val="single" w:sz="2" w:space="0" w:color="FFFFFF"/>
            </w:tcBorders>
            <w:shd w:fill="262626" w:val="clear"/>
            <w:tcMar>
              <w:bottom w:w="60" w:type="dxa"/>
              <w:right w:w="28" w:type="dxa"/>
            </w:tcMar>
            <w:vAlign w:val="bottom"/>
          </w:tcPr>
          <w:p>
            <w:pPr>
              <w:pStyle w:val="TableContents"/>
              <w:spacing w:before="0" w:after="283"/>
              <w:rPr>
                <w:color w:val="FFFFFF"/>
              </w:rPr>
            </w:pPr>
            <w:r>
              <w:rPr>
                <w:color w:val="FFFFFF"/>
              </w:rPr>
              <w:t> </w:t>
            </w:r>
          </w:p>
        </w:tc>
        <w:tc>
          <w:tcPr>
            <w:tcW w:w="191"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60" w:type="dxa"/>
            </w:tcMar>
            <w:vAlign w:val="bottom"/>
          </w:tcPr>
          <w:p>
            <w:pPr>
              <w:pStyle w:val="TableContents"/>
              <w:spacing w:before="0" w:after="283"/>
              <w:rPr>
                <w:color w:val="FFFFFF"/>
              </w:rPr>
            </w:pPr>
            <w:r>
              <w:rPr>
                <w:color w:val="FFFFFF"/>
              </w:rPr>
              <w:t> </w:t>
            </w:r>
          </w:p>
        </w:tc>
        <w:tc>
          <w:tcPr>
            <w:tcW w:w="2793" w:type="dxa"/>
            <w:tcBorders>
              <w:bottom w:val="single" w:sz="8" w:space="0" w:color="B94831"/>
            </w:tcBorders>
            <w:shd w:fill="262626" w:val="clear"/>
            <w:tcMar>
              <w:bottom w:w="60" w:type="dxa"/>
            </w:tcMar>
            <w:vAlign w:val="bottom"/>
          </w:tcPr>
          <w:p>
            <w:pPr>
              <w:pStyle w:val="TableContents"/>
              <w:spacing w:before="0" w:after="283"/>
              <w:jc w:val="right"/>
              <w:rPr>
                <w:rFonts w:ascii="Arial" w:hAnsi="Arial"/>
                <w:b/>
                <w:color w:val="FFFFFF"/>
              </w:rPr>
            </w:pPr>
            <w:r>
              <w:rPr>
                <w:rFonts w:ascii="Arial" w:hAnsi="Arial"/>
                <w:b/>
                <w:color w:val="FFFFFF"/>
              </w:rPr>
              <w:t>Percentage of total fees</w:t>
            </w:r>
          </w:p>
        </w:tc>
        <w:tc>
          <w:tcPr>
            <w:tcW w:w="151" w:type="dxa"/>
            <w:tcBorders>
              <w:bottom w:val="single" w:sz="8" w:space="0" w:color="B94831"/>
            </w:tcBorders>
            <w:shd w:fill="262626" w:val="clear"/>
            <w:tcMar>
              <w:bottom w:w="60" w:type="dxa"/>
            </w:tcMar>
            <w:vAlign w:val="bottom"/>
          </w:tcPr>
          <w:p>
            <w:pPr>
              <w:pStyle w:val="TableContents"/>
              <w:spacing w:before="0" w:after="283"/>
              <w:rPr>
                <w:color w:val="FFFFFF"/>
              </w:rPr>
            </w:pPr>
            <w:r>
              <w:rPr>
                <w:color w:val="FFFFFF"/>
              </w:rPr>
              <w:t> </w:t>
            </w:r>
          </w:p>
        </w:tc>
      </w:tr>
      <w:tr>
        <w:trPr>
          <w:trHeight w:val="75" w:hRule="atLeast"/>
        </w:trPr>
        <w:tc>
          <w:tcPr>
            <w:tcW w:w="4551" w:type="dxa"/>
            <w:tcBorders/>
            <w:shd w:fill="auto" w:val="clear"/>
            <w:vAlign w:val="center"/>
          </w:tcPr>
          <w:p>
            <w:pPr>
              <w:pStyle w:val="TableContents"/>
              <w:spacing w:before="0" w:after="283"/>
              <w:rPr>
                <w:sz w:val="4"/>
                <w:szCs w:val="4"/>
              </w:rPr>
            </w:pPr>
            <w:r>
              <w:rPr>
                <w:sz w:val="4"/>
                <w:szCs w:val="4"/>
              </w:rPr>
            </w:r>
          </w:p>
        </w:tc>
        <w:tc>
          <w:tcPr>
            <w:tcW w:w="1179" w:type="dxa"/>
            <w:gridSpan w:val="4"/>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128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3195" w:type="dxa"/>
            <w:gridSpan w:val="4"/>
            <w:tcBorders/>
            <w:shd w:fill="auto" w:val="clear"/>
            <w:vAlign w:val="center"/>
          </w:tcPr>
          <w:p>
            <w:pPr>
              <w:pStyle w:val="TableContents"/>
              <w:spacing w:before="0" w:after="283"/>
              <w:rPr>
                <w:sz w:val="4"/>
                <w:szCs w:val="4"/>
              </w:rPr>
            </w:pPr>
            <w:r>
              <w:rPr>
                <w:sz w:val="4"/>
                <w:szCs w:val="4"/>
              </w:rPr>
            </w:r>
          </w:p>
        </w:tc>
      </w:tr>
      <w:tr>
        <w:trPr/>
        <w:tc>
          <w:tcPr>
            <w:tcW w:w="4551"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Executive compensation-related fees</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60" w:type="dxa"/>
            </w:tcMar>
            <w:vAlign w:val="bottom"/>
          </w:tcPr>
          <w:p>
            <w:pPr>
              <w:pStyle w:val="TableContents"/>
              <w:spacing w:before="0" w:after="283"/>
              <w:rPr/>
            </w:pPr>
            <w:r>
              <w:rPr/>
              <w:t>$</w:t>
            </w:r>
          </w:p>
        </w:tc>
        <w:tc>
          <w:tcPr>
            <w:tcW w:w="804" w:type="dxa"/>
            <w:tcBorders>
              <w:bottom w:val="single" w:sz="2" w:space="0" w:color="AFAFAF"/>
            </w:tcBorders>
            <w:shd w:fill="auto" w:val="clear"/>
            <w:tcMar>
              <w:bottom w:w="60" w:type="dxa"/>
            </w:tcMar>
            <w:vAlign w:val="bottom"/>
          </w:tcPr>
          <w:p>
            <w:pPr>
              <w:pStyle w:val="TableContents"/>
              <w:spacing w:before="0" w:after="283"/>
              <w:jc w:val="right"/>
              <w:rPr/>
            </w:pPr>
            <w:r>
              <w:rPr/>
              <w:t>144,048</w:t>
            </w:r>
          </w:p>
        </w:tc>
        <w:tc>
          <w:tcPr>
            <w:tcW w:w="95"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rPr/>
            </w:pPr>
            <w:r>
              <w:rPr/>
              <w:t> </w:t>
            </w:r>
          </w:p>
        </w:tc>
        <w:tc>
          <w:tcPr>
            <w:tcW w:w="191"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60" w:type="dxa"/>
            </w:tcMar>
            <w:vAlign w:val="bottom"/>
          </w:tcPr>
          <w:p>
            <w:pPr>
              <w:pStyle w:val="TableContents"/>
              <w:spacing w:before="0" w:after="283"/>
              <w:rPr/>
            </w:pPr>
            <w:r>
              <w:rPr/>
              <w:t>$</w:t>
            </w:r>
          </w:p>
        </w:tc>
        <w:tc>
          <w:tcPr>
            <w:tcW w:w="804" w:type="dxa"/>
            <w:tcBorders>
              <w:bottom w:val="single" w:sz="2" w:space="0" w:color="AFAFAF"/>
            </w:tcBorders>
            <w:shd w:fill="auto" w:val="clear"/>
            <w:tcMar>
              <w:bottom w:w="60" w:type="dxa"/>
            </w:tcMar>
            <w:vAlign w:val="bottom"/>
          </w:tcPr>
          <w:p>
            <w:pPr>
              <w:pStyle w:val="TableContents"/>
              <w:spacing w:before="0" w:after="283"/>
              <w:jc w:val="right"/>
              <w:rPr/>
            </w:pPr>
            <w:r>
              <w:rPr/>
              <w:t>162,128</w:t>
            </w:r>
          </w:p>
        </w:tc>
        <w:tc>
          <w:tcPr>
            <w:tcW w:w="145"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rPr/>
            </w:pPr>
            <w:r>
              <w:rPr/>
              <w:t> </w:t>
            </w:r>
          </w:p>
        </w:tc>
        <w:tc>
          <w:tcPr>
            <w:tcW w:w="191"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60" w:type="dxa"/>
            </w:tcMar>
            <w:vAlign w:val="bottom"/>
          </w:tcPr>
          <w:p>
            <w:pPr>
              <w:pStyle w:val="TableContents"/>
              <w:spacing w:before="0" w:after="283"/>
              <w:rPr/>
            </w:pPr>
            <w:r>
              <w:rPr/>
              <w:t> </w:t>
            </w:r>
          </w:p>
        </w:tc>
        <w:tc>
          <w:tcPr>
            <w:tcW w:w="2793" w:type="dxa"/>
            <w:tcBorders>
              <w:bottom w:val="single" w:sz="2" w:space="0" w:color="AFAFAF"/>
            </w:tcBorders>
            <w:shd w:fill="auto" w:val="clear"/>
            <w:tcMar>
              <w:bottom w:w="60" w:type="dxa"/>
            </w:tcMar>
            <w:vAlign w:val="bottom"/>
          </w:tcPr>
          <w:p>
            <w:pPr>
              <w:pStyle w:val="TableContents"/>
              <w:spacing w:before="0" w:after="283"/>
              <w:jc w:val="center"/>
              <w:rPr/>
            </w:pPr>
            <w:r>
              <w:rPr/>
              <w:t>100%</w:t>
            </w:r>
          </w:p>
        </w:tc>
        <w:tc>
          <w:tcPr>
            <w:tcW w:w="151" w:type="dxa"/>
            <w:tcBorders>
              <w:bottom w:val="single" w:sz="2" w:space="0" w:color="AFAFAF"/>
            </w:tcBorders>
            <w:shd w:fill="auto" w:val="clear"/>
            <w:tcMar>
              <w:bottom w:w="60" w:type="dxa"/>
            </w:tcMar>
            <w:vAlign w:val="bottom"/>
          </w:tcPr>
          <w:p>
            <w:pPr>
              <w:pStyle w:val="TableContents"/>
              <w:spacing w:before="0" w:after="283"/>
              <w:rPr/>
            </w:pPr>
            <w:r>
              <w:rPr/>
              <w:t> </w:t>
            </w:r>
          </w:p>
        </w:tc>
      </w:tr>
      <w:tr>
        <w:trPr>
          <w:trHeight w:val="75" w:hRule="atLeast"/>
        </w:trPr>
        <w:tc>
          <w:tcPr>
            <w:tcW w:w="4551" w:type="dxa"/>
            <w:tcBorders/>
            <w:shd w:fill="auto" w:val="clear"/>
            <w:vAlign w:val="center"/>
          </w:tcPr>
          <w:p>
            <w:pPr>
              <w:pStyle w:val="TableContents"/>
              <w:spacing w:before="0" w:after="283"/>
              <w:rPr>
                <w:sz w:val="4"/>
                <w:szCs w:val="4"/>
              </w:rPr>
            </w:pPr>
            <w:r>
              <w:rPr>
                <w:sz w:val="4"/>
                <w:szCs w:val="4"/>
              </w:rPr>
            </w:r>
          </w:p>
        </w:tc>
        <w:tc>
          <w:tcPr>
            <w:tcW w:w="1179" w:type="dxa"/>
            <w:gridSpan w:val="4"/>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128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3195" w:type="dxa"/>
            <w:gridSpan w:val="4"/>
            <w:tcBorders/>
            <w:shd w:fill="auto" w:val="clear"/>
            <w:vAlign w:val="center"/>
          </w:tcPr>
          <w:p>
            <w:pPr>
              <w:pStyle w:val="TableContents"/>
              <w:spacing w:before="0" w:after="283"/>
              <w:rPr>
                <w:sz w:val="4"/>
                <w:szCs w:val="4"/>
              </w:rPr>
            </w:pPr>
            <w:r>
              <w:rPr>
                <w:sz w:val="4"/>
                <w:szCs w:val="4"/>
              </w:rPr>
            </w:r>
          </w:p>
        </w:tc>
      </w:tr>
      <w:tr>
        <w:trPr/>
        <w:tc>
          <w:tcPr>
            <w:tcW w:w="4551" w:type="dxa"/>
            <w:tcBorders>
              <w:bottom w:val="single" w:sz="2" w:space="0" w:color="AFAFAF"/>
            </w:tcBorders>
            <w:shd w:fill="auto" w:val="clear"/>
            <w:tcMar>
              <w:bottom w:w="60" w:type="dxa"/>
            </w:tcMar>
          </w:tcPr>
          <w:p>
            <w:pPr>
              <w:pStyle w:val="TableContents"/>
              <w:spacing w:before="0" w:after="0"/>
              <w:rPr>
                <w:rFonts w:ascii="Arial" w:hAnsi="Arial"/>
                <w:b/>
                <w:sz w:val="16"/>
              </w:rPr>
            </w:pPr>
            <w:r>
              <w:rPr>
                <w:rFonts w:ascii="Arial" w:hAnsi="Arial"/>
                <w:b/>
                <w:sz w:val="16"/>
              </w:rPr>
              <w:t>All other fees</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60" w:type="dxa"/>
            </w:tcMar>
            <w:vAlign w:val="bottom"/>
          </w:tcPr>
          <w:p>
            <w:pPr>
              <w:pStyle w:val="TableContents"/>
              <w:spacing w:before="0" w:after="283"/>
              <w:rPr/>
            </w:pPr>
            <w:r>
              <w:rPr/>
              <w:t>$</w:t>
            </w:r>
          </w:p>
        </w:tc>
        <w:tc>
          <w:tcPr>
            <w:tcW w:w="804" w:type="dxa"/>
            <w:tcBorders>
              <w:bottom w:val="single" w:sz="2" w:space="0" w:color="AFAFAF"/>
            </w:tcBorders>
            <w:shd w:fill="auto" w:val="clear"/>
            <w:tcMar>
              <w:bottom w:w="60" w:type="dxa"/>
            </w:tcMar>
            <w:vAlign w:val="bottom"/>
          </w:tcPr>
          <w:p>
            <w:pPr>
              <w:pStyle w:val="TableContents"/>
              <w:spacing w:before="0" w:after="283"/>
              <w:jc w:val="right"/>
              <w:rPr/>
            </w:pPr>
            <w:r>
              <w:rPr/>
              <w:t>      </w:t>
            </w:r>
          </w:p>
        </w:tc>
        <w:tc>
          <w:tcPr>
            <w:tcW w:w="95"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rPr>
                <w:sz w:val="4"/>
                <w:szCs w:val="4"/>
              </w:rPr>
            </w:pPr>
            <w:r>
              <w:rPr>
                <w:sz w:val="4"/>
                <w:szCs w:val="4"/>
              </w:rPr>
            </w:r>
          </w:p>
        </w:tc>
        <w:tc>
          <w:tcPr>
            <w:tcW w:w="191"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60" w:type="dxa"/>
            </w:tcMar>
            <w:vAlign w:val="bottom"/>
          </w:tcPr>
          <w:p>
            <w:pPr>
              <w:pStyle w:val="TableContents"/>
              <w:spacing w:before="0" w:after="283"/>
              <w:rPr/>
            </w:pPr>
            <w:r>
              <w:rPr/>
              <w:t>$</w:t>
            </w:r>
          </w:p>
        </w:tc>
        <w:tc>
          <w:tcPr>
            <w:tcW w:w="804" w:type="dxa"/>
            <w:tcBorders>
              <w:bottom w:val="single" w:sz="2" w:space="0" w:color="AFAFAF"/>
            </w:tcBorders>
            <w:shd w:fill="auto" w:val="clear"/>
            <w:tcMar>
              <w:bottom w:w="60" w:type="dxa"/>
            </w:tcMar>
            <w:vAlign w:val="bottom"/>
          </w:tcPr>
          <w:p>
            <w:pPr>
              <w:pStyle w:val="TableContents"/>
              <w:spacing w:before="0" w:after="283"/>
              <w:jc w:val="right"/>
              <w:rPr/>
            </w:pPr>
            <w:r>
              <w:rPr/>
              <w:t>      </w:t>
            </w:r>
          </w:p>
        </w:tc>
        <w:tc>
          <w:tcPr>
            <w:tcW w:w="145" w:type="dxa"/>
            <w:tcBorders>
              <w:bottom w:val="single" w:sz="2" w:space="0" w:color="AFAFAF"/>
              <w:right w:val="single" w:sz="2" w:space="0" w:color="AFAFAF"/>
            </w:tcBorders>
            <w:shd w:fill="auto" w:val="clear"/>
            <w:tcMar>
              <w:bottom w:w="60" w:type="dxa"/>
              <w:right w:w="28" w:type="dxa"/>
            </w:tcMar>
            <w:vAlign w:val="bottom"/>
          </w:tcPr>
          <w:p>
            <w:pPr>
              <w:pStyle w:val="TableContents"/>
              <w:spacing w:before="0" w:after="283"/>
              <w:rPr>
                <w:sz w:val="4"/>
                <w:szCs w:val="4"/>
              </w:rPr>
            </w:pPr>
            <w:r>
              <w:rPr>
                <w:sz w:val="4"/>
                <w:szCs w:val="4"/>
              </w:rPr>
            </w:r>
          </w:p>
        </w:tc>
        <w:tc>
          <w:tcPr>
            <w:tcW w:w="191"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60" w:type="dxa"/>
            </w:tcMar>
            <w:vAlign w:val="bottom"/>
          </w:tcPr>
          <w:p>
            <w:pPr>
              <w:pStyle w:val="TableContents"/>
              <w:spacing w:before="0" w:after="283"/>
              <w:rPr/>
            </w:pPr>
            <w:r>
              <w:rPr/>
              <w:t> </w:t>
            </w:r>
          </w:p>
        </w:tc>
        <w:tc>
          <w:tcPr>
            <w:tcW w:w="2793" w:type="dxa"/>
            <w:tcBorders>
              <w:bottom w:val="single" w:sz="2" w:space="0" w:color="AFAFAF"/>
            </w:tcBorders>
            <w:shd w:fill="auto" w:val="clear"/>
            <w:tcMar>
              <w:bottom w:w="60" w:type="dxa"/>
            </w:tcMar>
            <w:vAlign w:val="bottom"/>
          </w:tcPr>
          <w:p>
            <w:pPr>
              <w:pStyle w:val="TableContents"/>
              <w:spacing w:before="0" w:after="283"/>
              <w:jc w:val="center"/>
              <w:rPr/>
            </w:pPr>
            <w:r>
              <w:rPr/>
              <w:t></w:t>
            </w:r>
          </w:p>
        </w:tc>
        <w:tc>
          <w:tcPr>
            <w:tcW w:w="151" w:type="dxa"/>
            <w:tcBorders>
              <w:bottom w:val="single" w:sz="2" w:space="0" w:color="AFAFAF"/>
            </w:tcBorders>
            <w:shd w:fill="auto" w:val="clear"/>
            <w:tcMar>
              <w:bottom w:w="60" w:type="dxa"/>
            </w:tcMar>
            <w:vAlign w:val="bottom"/>
          </w:tcPr>
          <w:p>
            <w:pPr>
              <w:pStyle w:val="TableContents"/>
              <w:spacing w:before="0" w:after="283"/>
              <w:rPr/>
            </w:pPr>
            <w:r>
              <w:rPr/>
              <w:t> </w:t>
            </w:r>
          </w:p>
        </w:tc>
      </w:tr>
      <w:tr>
        <w:trPr>
          <w:trHeight w:val="75" w:hRule="atLeast"/>
        </w:trPr>
        <w:tc>
          <w:tcPr>
            <w:tcW w:w="4551" w:type="dxa"/>
            <w:tcBorders/>
            <w:shd w:fill="auto" w:val="clear"/>
            <w:vAlign w:val="center"/>
          </w:tcPr>
          <w:p>
            <w:pPr>
              <w:pStyle w:val="TableContents"/>
              <w:spacing w:before="0" w:after="283"/>
              <w:rPr>
                <w:sz w:val="4"/>
                <w:szCs w:val="4"/>
              </w:rPr>
            </w:pPr>
            <w:r>
              <w:rPr>
                <w:sz w:val="4"/>
                <w:szCs w:val="4"/>
              </w:rPr>
            </w:r>
          </w:p>
        </w:tc>
        <w:tc>
          <w:tcPr>
            <w:tcW w:w="1179" w:type="dxa"/>
            <w:gridSpan w:val="4"/>
            <w:tcBorders>
              <w:left w:val="single" w:sz="2" w:space="0" w:color="AFAFAF"/>
              <w:right w:val="single" w:sz="2" w:space="0" w:color="AFAFAF"/>
            </w:tcBorders>
            <w:shd w:fill="auto" w:val="clear"/>
            <w:tcMar>
              <w:left w:w="28" w:type="dxa"/>
              <w:right w:w="28" w:type="dxa"/>
            </w:tcMar>
            <w:vAlign w:val="center"/>
          </w:tcPr>
          <w:p>
            <w:pPr>
              <w:pStyle w:val="TableContents"/>
              <w:spacing w:before="0" w:after="283"/>
              <w:rPr/>
            </w:pPr>
            <w:r>
              <w:rPr/>
              <w:t> </w:t>
            </w:r>
          </w:p>
        </w:tc>
        <w:tc>
          <w:tcPr>
            <w:tcW w:w="128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3195" w:type="dxa"/>
            <w:gridSpan w:val="4"/>
            <w:tcBorders/>
            <w:shd w:fill="auto" w:val="clear"/>
            <w:vAlign w:val="center"/>
          </w:tcPr>
          <w:p>
            <w:pPr>
              <w:pStyle w:val="TableContents"/>
              <w:spacing w:before="0" w:after="283"/>
              <w:rPr>
                <w:sz w:val="4"/>
                <w:szCs w:val="4"/>
              </w:rPr>
            </w:pPr>
            <w:r>
              <w:rPr>
                <w:sz w:val="4"/>
                <w:szCs w:val="4"/>
              </w:rPr>
            </w:r>
          </w:p>
        </w:tc>
      </w:tr>
      <w:tr>
        <w:trPr/>
        <w:tc>
          <w:tcPr>
            <w:tcW w:w="4551" w:type="dxa"/>
            <w:tcBorders>
              <w:bottom w:val="single" w:sz="8" w:space="0" w:color="B94831"/>
            </w:tcBorders>
            <w:shd w:fill="auto" w:val="clear"/>
            <w:tcMar>
              <w:bottom w:w="60" w:type="dxa"/>
            </w:tcMar>
          </w:tcPr>
          <w:p>
            <w:pPr>
              <w:pStyle w:val="TableContents"/>
              <w:spacing w:before="0" w:after="0"/>
              <w:rPr>
                <w:rFonts w:ascii="Arial" w:hAnsi="Arial"/>
                <w:b/>
                <w:sz w:val="16"/>
              </w:rPr>
            </w:pPr>
            <w:r>
              <w:rPr>
                <w:rFonts w:ascii="Arial" w:hAnsi="Arial"/>
                <w:b/>
                <w:sz w:val="16"/>
              </w:rPr>
              <w:t>Total annual fees</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60" w:type="dxa"/>
            </w:tcMar>
            <w:vAlign w:val="bottom"/>
          </w:tcPr>
          <w:p>
            <w:pPr>
              <w:pStyle w:val="TableContents"/>
              <w:spacing w:before="0" w:after="283"/>
              <w:rPr/>
            </w:pPr>
            <w:r>
              <w:rPr/>
              <w:t>$</w:t>
            </w:r>
          </w:p>
        </w:tc>
        <w:tc>
          <w:tcPr>
            <w:tcW w:w="804" w:type="dxa"/>
            <w:tcBorders>
              <w:bottom w:val="single" w:sz="8" w:space="0" w:color="B94831"/>
            </w:tcBorders>
            <w:shd w:fill="auto" w:val="clear"/>
            <w:tcMar>
              <w:bottom w:w="60" w:type="dxa"/>
            </w:tcMar>
            <w:vAlign w:val="bottom"/>
          </w:tcPr>
          <w:p>
            <w:pPr>
              <w:pStyle w:val="TableContents"/>
              <w:spacing w:before="0" w:after="283"/>
              <w:jc w:val="right"/>
              <w:rPr/>
            </w:pPr>
            <w:r>
              <w:rPr/>
              <w:t>144,048</w:t>
            </w:r>
          </w:p>
        </w:tc>
        <w:tc>
          <w:tcPr>
            <w:tcW w:w="95"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rPr/>
            </w:pPr>
            <w:r>
              <w:rPr/>
              <w:t> </w:t>
            </w:r>
          </w:p>
        </w:tc>
        <w:tc>
          <w:tcPr>
            <w:tcW w:w="191"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60" w:type="dxa"/>
            </w:tcMar>
            <w:vAlign w:val="bottom"/>
          </w:tcPr>
          <w:p>
            <w:pPr>
              <w:pStyle w:val="TableContents"/>
              <w:spacing w:before="0" w:after="283"/>
              <w:rPr/>
            </w:pPr>
            <w:r>
              <w:rPr/>
              <w:t>$</w:t>
            </w:r>
          </w:p>
        </w:tc>
        <w:tc>
          <w:tcPr>
            <w:tcW w:w="804" w:type="dxa"/>
            <w:tcBorders>
              <w:bottom w:val="single" w:sz="8" w:space="0" w:color="B94831"/>
            </w:tcBorders>
            <w:shd w:fill="auto" w:val="clear"/>
            <w:tcMar>
              <w:bottom w:w="60" w:type="dxa"/>
            </w:tcMar>
            <w:vAlign w:val="bottom"/>
          </w:tcPr>
          <w:p>
            <w:pPr>
              <w:pStyle w:val="TableContents"/>
              <w:spacing w:before="0" w:after="283"/>
              <w:jc w:val="right"/>
              <w:rPr/>
            </w:pPr>
            <w:r>
              <w:rPr/>
              <w:t>162,128</w:t>
            </w:r>
          </w:p>
        </w:tc>
        <w:tc>
          <w:tcPr>
            <w:tcW w:w="145" w:type="dxa"/>
            <w:tcBorders>
              <w:bottom w:val="single" w:sz="8" w:space="0" w:color="B94831"/>
              <w:right w:val="single" w:sz="2" w:space="0" w:color="AFAFAF"/>
            </w:tcBorders>
            <w:shd w:fill="auto" w:val="clear"/>
            <w:tcMar>
              <w:bottom w:w="60" w:type="dxa"/>
              <w:right w:w="28" w:type="dxa"/>
            </w:tcMar>
            <w:vAlign w:val="bottom"/>
          </w:tcPr>
          <w:p>
            <w:pPr>
              <w:pStyle w:val="TableContents"/>
              <w:spacing w:before="0" w:after="283"/>
              <w:rPr/>
            </w:pPr>
            <w:r>
              <w:rPr/>
              <w:t> </w:t>
            </w:r>
          </w:p>
        </w:tc>
        <w:tc>
          <w:tcPr>
            <w:tcW w:w="191"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60" w:type="dxa"/>
            </w:tcMar>
            <w:vAlign w:val="bottom"/>
          </w:tcPr>
          <w:p>
            <w:pPr>
              <w:pStyle w:val="TableContents"/>
              <w:spacing w:before="0" w:after="283"/>
              <w:rPr/>
            </w:pPr>
            <w:r>
              <w:rPr/>
              <w:t> </w:t>
            </w:r>
          </w:p>
        </w:tc>
        <w:tc>
          <w:tcPr>
            <w:tcW w:w="2793" w:type="dxa"/>
            <w:tcBorders>
              <w:bottom w:val="single" w:sz="8" w:space="0" w:color="B94831"/>
            </w:tcBorders>
            <w:shd w:fill="auto" w:val="clear"/>
            <w:tcMar>
              <w:bottom w:w="60" w:type="dxa"/>
            </w:tcMar>
            <w:vAlign w:val="bottom"/>
          </w:tcPr>
          <w:p>
            <w:pPr>
              <w:pStyle w:val="TableContents"/>
              <w:spacing w:before="0" w:after="283"/>
              <w:jc w:val="center"/>
              <w:rPr/>
            </w:pPr>
            <w:r>
              <w:rPr/>
              <w:t>100%</w:t>
            </w:r>
          </w:p>
        </w:tc>
        <w:tc>
          <w:tcPr>
            <w:tcW w:w="151" w:type="dxa"/>
            <w:tcBorders>
              <w:bottom w:val="single" w:sz="8" w:space="0" w:color="B94831"/>
            </w:tcBorders>
            <w:shd w:fill="auto" w:val="clear"/>
            <w:tcMar>
              <w:bottom w:w="60" w:type="dxa"/>
            </w:tcMar>
            <w:vAlign w:val="bottom"/>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The HR Committee believes that it is important to receive objective recommendations and input from its outside compensation advisor. SEC and NYSE rules require the compensation committee of U.S. public companies to consider six independence-related factors when selecting their compensation advisor and determining whether certain conflicts of interest disclosures must be made. Although foreign private issuers such as Thomson Reuters are exempt from these rules, the HR Committee once again considered them in February 2023 in relation to FW Cook. The six factors considered by the HR Committee were: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The provision of other services to Thomson Reuters by the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The amount of fees received from Thomson Reuters by the firm as a percentage of the total revenue of the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The policies and procedures of the firm that are designed to prevent conflicts of interest;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Any business or personal relationship of the advisor with a member of the HR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Any stock of Thomson Reuters owned by the advisor;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Any business or personal relationship of the advisor or firm with an executive officer of Thomson Reuters. </w:t>
            </w:r>
          </w:p>
        </w:tc>
      </w:tr>
    </w:tbl>
    <w:p>
      <w:pPr>
        <w:pStyle w:val="TextBody"/>
        <w:spacing w:before="120" w:after="0"/>
        <w:jc w:val="left"/>
        <w:rPr>
          <w:rFonts w:ascii="arial" w:hAnsi="arial"/>
          <w:sz w:val="20"/>
        </w:rPr>
      </w:pPr>
      <w:r>
        <w:rPr>
          <w:rFonts w:ascii="arial" w:hAnsi="arial"/>
          <w:sz w:val="20"/>
        </w:rPr>
        <w:t xml:space="preserve">Based on disclosures provided to the HR Committee by FW Cook and in questionnaires provided by our directors and executive officers, the HR Committee views FW Cook as independent. </w:t>
      </w:r>
    </w:p>
    <w:p>
      <w:pPr>
        <w:pStyle w:val="TextBody"/>
        <w:spacing w:before="120" w:after="0"/>
        <w:jc w:val="left"/>
        <w:rPr>
          <w:rFonts w:ascii="Arial" w:hAnsi="Arial"/>
          <w:b/>
          <w:sz w:val="28"/>
        </w:rPr>
      </w:pPr>
      <w:bookmarkStart w:id="43" w:name="tx494196_cd5"/>
      <w:bookmarkStart w:id="44" w:name="tx494196_41"/>
      <w:bookmarkEnd w:id="43"/>
      <w:bookmarkEnd w:id="44"/>
      <w:r>
        <w:rPr>
          <w:rFonts w:ascii="Arial" w:hAnsi="Arial"/>
          <w:b/>
          <w:sz w:val="28"/>
        </w:rPr>
        <w:t xml:space="preserve">Our Key Compensation Principles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b/>
                <w:sz w:val="20"/>
              </w:rPr>
            </w:pPr>
            <w:r>
              <w:rPr>
                <w:rFonts w:ascii="Arial" w:hAnsi="Arial"/>
                <w:b/>
                <w:sz w:val="20"/>
              </w:rPr>
              <w:t xml:space="preserve">Pay for performance is the foundation of our executive compensation program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b/>
                <w:sz w:val="20"/>
              </w:rPr>
            </w:pPr>
            <w:r>
              <w:rPr>
                <w:rFonts w:ascii="Arial" w:hAnsi="Arial"/>
                <w:b/>
                <w:sz w:val="20"/>
              </w:rPr>
              <w:t xml:space="preserve">Incentive performance goals are linked to key measures of our companys performance and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b/>
                <w:sz w:val="20"/>
              </w:rPr>
            </w:pPr>
            <w:r>
              <w:rPr>
                <w:rFonts w:ascii="Arial" w:hAnsi="Arial"/>
                <w:b/>
                <w:sz w:val="20"/>
              </w:rPr>
              <w:t xml:space="preserve">Our executives should accumulate and retain equity in our company to align their interests with our 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b/>
                <w:sz w:val="20"/>
              </w:rPr>
            </w:pPr>
            <w:r>
              <w:rPr>
                <w:rFonts w:ascii="Arial" w:hAnsi="Arial"/>
                <w:b/>
                <w:sz w:val="20"/>
              </w:rPr>
              <w:t xml:space="preserve">We provide competitive compensation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b/>
              </w:rPr>
            </w:pPr>
            <w:r>
              <w:rPr>
                <w:rFonts w:ascii="SYMBOL" w:hAnsi="SYMBOL"/>
                <w:b/>
                <w:color w:val="B94831"/>
                <w:sz w:val="12"/>
              </w:rPr>
              <w:t>·</w:t>
            </w:r>
            <w:r>
              <w:rPr>
                <w:b/>
                <w:color w:val="B94831"/>
              </w:rPr>
              <w:t xml:space="preserve">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b/>
                <w:sz w:val="20"/>
              </w:rPr>
            </w:pPr>
            <w:r>
              <w:rPr>
                <w:rFonts w:ascii="Arial" w:hAnsi="Arial"/>
                <w:b/>
                <w:sz w:val="20"/>
              </w:rPr>
              <w:t xml:space="preserve">Our compensation programs take risk into account and do not encourage unnecessary or excessive risk taking </w:t>
            </w:r>
          </w:p>
        </w:tc>
      </w:tr>
    </w:tbl>
    <w:p>
      <w:pPr>
        <w:pStyle w:val="TextBody"/>
        <w:spacing w:before="80" w:after="0"/>
        <w:jc w:val="left"/>
        <w:rPr>
          <w:rFonts w:ascii="arial" w:hAnsi="arial"/>
          <w:sz w:val="20"/>
        </w:rPr>
      </w:pPr>
      <w:r>
        <w:rPr>
          <w:rFonts w:ascii="arial" w:hAnsi="arial"/>
          <w:sz w:val="20"/>
        </w:rPr>
        <w:t xml:space="preserve">Below, we describe how each of these key compensation principles drives our executive management team to achieve higher levels of results for the benefit of Thomson Reuters and our shareholders.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74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bookmarkStart w:id="45" w:name="tx494196_cd6"/>
      <w:bookmarkEnd w:id="45"/>
      <w:r>
        <w:rPr>
          <w:rFonts w:ascii="arial" w:hAnsi="arial"/>
          <w:color w:val="B94831"/>
          <w:sz w:val="28"/>
        </w:rPr>
        <w:t xml:space="preserve">PAY FOR PERFORMANCE IS THE FOUNDATION OF OUR EXECUTIVE COMPENSATION </w:t>
      </w:r>
    </w:p>
    <w:p>
      <w:pPr>
        <w:pStyle w:val="TextBody"/>
        <w:spacing w:before="40" w:after="0"/>
        <w:jc w:val="left"/>
        <w:rPr>
          <w:rFonts w:ascii="arial" w:hAnsi="arial"/>
          <w:sz w:val="20"/>
        </w:rPr>
      </w:pPr>
      <w:r>
        <w:rPr>
          <w:rFonts w:ascii="arial" w:hAnsi="arial"/>
          <w:sz w:val="20"/>
        </w:rPr>
        <w:t xml:space="preserve">We believe that tying a significant component of pay to our companys achievement of specific financial performance goals and changes in our share price motivates our executives to achieve exceptional performance and focus on the goals and objectives that are of the most value to Thomson Reuters. </w:t>
      </w:r>
    </w:p>
    <w:p>
      <w:pPr>
        <w:pStyle w:val="TextBody"/>
        <w:spacing w:before="120" w:after="0"/>
        <w:jc w:val="left"/>
        <w:rPr>
          <w:rFonts w:ascii="arial" w:hAnsi="arial"/>
          <w:sz w:val="20"/>
        </w:rPr>
      </w:pPr>
      <w:r>
        <w:rPr>
          <w:rFonts w:ascii="arial" w:hAnsi="arial"/>
          <w:sz w:val="20"/>
        </w:rPr>
        <w:t xml:space="preserve">As shown below, approximately 88% of Steve Haskers 2022 target annualized compensation was variable, which included approximately 65% awarded as long-term incentive grants in the form of PRSUs, TRSUs and stock options. On average, approximately 78% of the 2022 target annualized compensation for our other named executives was variable, which included approximately 49% awarded as long-term incentive grants in the form of PRSUs, TRSUs and stock options.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850" cy="17653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577850" cy="176530"/>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As part of its review of executive compensation, the HR Committee reviews targeted values for each component of compensation for each named executive officer. In determining the mix and relative weighting of cash (base salary and annual incentive awards) versus equity-based incentives, the HR Committee considers the appropriate proportion of compensation that should be variable based on the executives ability to affect and influence our annual and long-term results and advance the interests of shareholders as well as the compensation mix for similar positions at comparable companies. In general, the proportion of total pay delivered through variable short-term and long-term performance-based compensation increases directly with an executives level of operational/financial responsibility. The HR Committee believes this mix and weighting aligns the interests of executives with those of shareholders, provides significant performance incentives and assists in keeping us competitive in the market for high-quality executives. </w:t>
      </w:r>
    </w:p>
    <w:p>
      <w:pPr>
        <w:pStyle w:val="TextBody"/>
        <w:spacing w:before="120" w:after="0"/>
        <w:jc w:val="left"/>
        <w:rPr>
          <w:rFonts w:ascii="arial" w:hAnsi="arial"/>
          <w:color w:val="B94831"/>
          <w:sz w:val="28"/>
        </w:rPr>
      </w:pPr>
      <w:bookmarkStart w:id="46" w:name="tx494196_cd7"/>
      <w:bookmarkEnd w:id="46"/>
      <w:r>
        <w:rPr>
          <w:rFonts w:ascii="arial" w:hAnsi="arial"/>
          <w:color w:val="B94831"/>
          <w:sz w:val="28"/>
        </w:rPr>
        <w:t xml:space="preserve">INCENTIVE PERFORMANCE GOALS ARE LINKED TO KEY MEASURES OF OUR COMPANYS PERFORMANCE AND STRATEGY </w:t>
      </w:r>
    </w:p>
    <w:p>
      <w:pPr>
        <w:pStyle w:val="TextBody"/>
        <w:spacing w:before="40" w:after="0"/>
        <w:jc w:val="left"/>
        <w:rPr>
          <w:rFonts w:ascii="arial" w:hAnsi="arial"/>
          <w:color w:val="B94831"/>
          <w:sz w:val="28"/>
        </w:rPr>
      </w:pPr>
      <w:r>
        <w:rPr>
          <w:rFonts w:ascii="arial" w:hAnsi="arial"/>
          <w:color w:val="B94831"/>
          <w:sz w:val="28"/>
        </w:rPr>
        <w:t xml:space="preserve">Annual incentive awards </w:t>
      </w:r>
    </w:p>
    <w:p>
      <w:pPr>
        <w:pStyle w:val="TextBody"/>
        <w:spacing w:before="40" w:after="0"/>
        <w:jc w:val="left"/>
        <w:rPr>
          <w:rFonts w:ascii="arial" w:hAnsi="arial"/>
          <w:sz w:val="20"/>
        </w:rPr>
      </w:pPr>
      <w:r>
        <w:rPr>
          <w:rFonts w:ascii="arial" w:hAnsi="arial"/>
          <w:sz w:val="20"/>
        </w:rPr>
        <w:t xml:space="preserve">The HR Committee sets performance goals for our annual incentive awards that focus on superior performance, considering current market conditions. The financial performance goals set by the HR Committee reflect our published business outlook, operating plan and long-term strategy. Annual incentive awards are designed to incentivize individual performance and drive accountability for results. An executives annual incentive award opportunity is expressed as a percentage of base salary. </w:t>
      </w:r>
    </w:p>
    <w:p>
      <w:pPr>
        <w:pStyle w:val="TextBody"/>
        <w:spacing w:before="120" w:after="0"/>
        <w:jc w:val="left"/>
        <w:rPr>
          <w:rFonts w:ascii="arial" w:hAnsi="arial"/>
          <w:sz w:val="20"/>
        </w:rPr>
      </w:pPr>
      <w:r>
        <w:rPr>
          <w:rFonts w:ascii="arial" w:hAnsi="arial"/>
          <w:sz w:val="20"/>
        </w:rPr>
        <w:t xml:space="preserve">The following table sets forth annual incentive award payouts as a percentage of target for the years indicated. Payout percentages below have been rounded to the nearest whole percentage. Additional information about 2022 annual incentive award targets and performance is provided later in this compensation discussion and analysis. We also discuss each named executive officers actual 2022 annual incentive award payout (as adjusted to reflect individual performance) later in this compensation discussion and analysis.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12420" cy="13589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312420" cy="135890"/>
                    </a:xfrm>
                    <a:prstGeom prst="rect">
                      <a:avLst/>
                    </a:prstGeom>
                  </pic:spPr>
                </pic:pic>
              </a:graphicData>
            </a:graphic>
          </wp:inline>
        </w:drawing>
      </w:r>
      <w:r>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Long-term incentive awards </w:t>
      </w:r>
    </w:p>
    <w:p>
      <w:pPr>
        <w:pStyle w:val="TextBody"/>
        <w:spacing w:before="40" w:after="0"/>
        <w:jc w:val="left"/>
        <w:rPr>
          <w:rFonts w:ascii="arial" w:hAnsi="arial"/>
          <w:sz w:val="20"/>
        </w:rPr>
      </w:pPr>
      <w:r>
        <w:rPr>
          <w:rFonts w:ascii="arial" w:hAnsi="arial"/>
          <w:sz w:val="20"/>
        </w:rPr>
        <w:t xml:space="preserve">An executives long-term incentive award opportunity is also expressed as a percentage of base salary, and an executives percentage may be higher or lower for a particular year based on future potential and past performance. In addition, our long-term incentive awards are designed to optimally balance alignment with key drivers of total shareholder return, accountability for longer-term results and overall executive retention. Financial performance measures reflected in PRSUs granted as long-term incentive awards complement measures in annual incentive awards. </w:t>
      </w:r>
    </w:p>
    <w:p>
      <w:pPr>
        <w:pStyle w:val="TextBody"/>
        <w:spacing w:before="120" w:after="0"/>
        <w:jc w:val="left"/>
        <w:rPr>
          <w:rFonts w:ascii="arial" w:hAnsi="arial"/>
          <w:sz w:val="20"/>
        </w:rPr>
      </w:pPr>
      <w:r>
        <w:rPr>
          <w:rFonts w:ascii="arial" w:hAnsi="arial"/>
          <w:sz w:val="20"/>
        </w:rPr>
        <w:t xml:space="preserve">The following table sets forth payouts for our PRSU awards as a percentage of target for the years indicated. Payout percentages below have been rounded to the nearest whole percentage. Due to complexities associated with determining consolidated company performance for PRSUs granted for the 2016-2018 and 2017-2019 performance periods as a result of the sale of our former Financial &amp; Risk business, the HR Committee determined payouts for these awards based on performance as of December 31, 2017 and a deemed 100% performance for remaining periods. No PRSUs were granted for the 2018-2020 performance period for the same reason.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61950" cy="18224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361950" cy="18224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Discretionary adjustment authority </w:t>
      </w:r>
    </w:p>
    <w:p>
      <w:pPr>
        <w:pStyle w:val="TextBody"/>
        <w:spacing w:before="40" w:after="0"/>
        <w:jc w:val="left"/>
        <w:rPr>
          <w:rFonts w:ascii="arial" w:hAnsi="arial"/>
          <w:sz w:val="20"/>
        </w:rPr>
      </w:pPr>
      <w:r>
        <w:rPr>
          <w:rFonts w:ascii="arial" w:hAnsi="arial"/>
          <w:sz w:val="20"/>
        </w:rPr>
        <w:t xml:space="preserve">For both annual incentive awards and PRSUs granted as part of long-term incentive awards, the HR Committee is authorized to make discretionary adjustments (outside of the design principles discussed above, which operate mechanically without discretion) to deal with extraordinary, non-recurring or unanticipated business conditions that materially affected our results (positively and negatively), the fairness of the performance targets, or the impact of external changes which have unduly influenced our ability to meet the targets. </w:t>
      </w:r>
    </w:p>
    <w:p>
      <w:pPr>
        <w:pStyle w:val="TextBody"/>
        <w:spacing w:before="120" w:after="0"/>
        <w:jc w:val="left"/>
        <w:rPr>
          <w:rFonts w:ascii="arial" w:hAnsi="arial"/>
          <w:sz w:val="20"/>
        </w:rPr>
      </w:pPr>
      <w:r>
        <w:rPr>
          <w:rFonts w:ascii="arial" w:hAnsi="arial"/>
          <w:sz w:val="20"/>
        </w:rPr>
        <w:t xml:space="preserve">In 2022, no discretionary adjustments were made in determining payouts for 2022 annual incentive awards or to any outstanding PRSU awards. </w:t>
      </w:r>
    </w:p>
    <w:p>
      <w:pPr>
        <w:pStyle w:val="TextBody"/>
        <w:spacing w:before="120" w:after="0"/>
        <w:jc w:val="left"/>
        <w:rPr>
          <w:rFonts w:ascii="arial" w:hAnsi="arial"/>
          <w:color w:val="B94831"/>
          <w:sz w:val="28"/>
        </w:rPr>
      </w:pPr>
      <w:r>
        <w:rPr>
          <w:rFonts w:ascii="arial" w:hAnsi="arial"/>
          <w:color w:val="B94831"/>
          <w:sz w:val="28"/>
        </w:rPr>
        <w:t xml:space="preserve">Non-IFRS financial measures </w:t>
      </w:r>
    </w:p>
    <w:p>
      <w:pPr>
        <w:pStyle w:val="TextBody"/>
        <w:spacing w:before="40" w:after="0"/>
        <w:jc w:val="left"/>
        <w:rPr>
          <w:rFonts w:ascii="arial" w:hAnsi="arial"/>
          <w:sz w:val="20"/>
        </w:rPr>
      </w:pPr>
      <w:r>
        <w:rPr>
          <w:rFonts w:ascii="arial" w:hAnsi="arial"/>
          <w:sz w:val="20"/>
        </w:rPr>
        <w:t xml:space="preserve">Most of the financial metrics that we use in our annual and long-term incentive awards described in this circular are non-IFRS financial measures. Later in this section, we discuss our annual and long-term incentive awards in more detail, and we explain why we use these metrics as part of our performance goals. Please also see the Additional Information  Non-IFRS Financial Measures section of this circular for more information about our non-IFRS financial measures. </w:t>
      </w:r>
    </w:p>
    <w:p>
      <w:pPr>
        <w:pStyle w:val="TextBody"/>
        <w:spacing w:before="120" w:after="0"/>
        <w:jc w:val="left"/>
        <w:rPr>
          <w:rFonts w:ascii="arial" w:hAnsi="arial"/>
          <w:color w:val="B94831"/>
          <w:sz w:val="28"/>
        </w:rPr>
      </w:pPr>
      <w:bookmarkStart w:id="47" w:name="tx494196_cd8"/>
      <w:bookmarkEnd w:id="47"/>
      <w:r>
        <w:rPr>
          <w:rFonts w:ascii="arial" w:hAnsi="arial"/>
          <w:color w:val="B94831"/>
          <w:sz w:val="28"/>
        </w:rPr>
        <w:t xml:space="preserve">OUR EXECUTIVES SHOULD ACCUMULATE AND RETAIN EQUITY IN OUR COMPANY TO ALIGN THEIR INTERESTS WITH OUR SHAREHOLDERS </w:t>
      </w:r>
    </w:p>
    <w:p>
      <w:pPr>
        <w:pStyle w:val="TextBody"/>
        <w:spacing w:before="40" w:after="0"/>
        <w:jc w:val="left"/>
        <w:rPr>
          <w:rFonts w:ascii="arial" w:hAnsi="arial"/>
          <w:sz w:val="20"/>
        </w:rPr>
      </w:pPr>
      <w:r>
        <w:rPr>
          <w:rFonts w:ascii="arial" w:hAnsi="arial"/>
          <w:sz w:val="20"/>
        </w:rPr>
        <w:t xml:space="preserve">Our long-term incentive awards are all equity-based and, together with our share ownership guidelines, align the interests of our executives with those of our shareholders and enable our executives to share in our long-term growth and success. Executives are aligned with shareholders because this part of their compensation is tied directly to the long-term performance of the price of our shares. </w:t>
      </w:r>
    </w:p>
    <w:p>
      <w:pPr>
        <w:pStyle w:val="TextBody"/>
        <w:spacing w:before="120" w:after="0"/>
        <w:jc w:val="left"/>
        <w:rPr>
          <w:rFonts w:ascii="arial" w:hAnsi="arial"/>
          <w:sz w:val="20"/>
        </w:rPr>
      </w:pPr>
      <w:r>
        <w:rPr>
          <w:rFonts w:ascii="arial" w:hAnsi="arial"/>
          <w:sz w:val="20"/>
        </w:rPr>
        <w:t xml:space="preserve">PRSUs, TRSUs and stock options are designed to reward executives for increases in shareholder value and thereby foster strong alignment between management and shareholders. They also support important management retention objectives through the vesting requirements, which are over a period of years. From time to time, we also grant off-cycle TRSUs or PRSUs on a highly selective basis to high-performing executives in connection with promotions and for retention and recognition of high potential, superior performance and contributions to the company. </w:t>
      </w:r>
    </w:p>
    <w:p>
      <w:pPr>
        <w:pStyle w:val="TextBody"/>
        <w:spacing w:before="120" w:after="0"/>
        <w:jc w:val="left"/>
        <w:rPr>
          <w:rFonts w:ascii="arial" w:hAnsi="arial"/>
          <w:sz w:val="20"/>
        </w:rPr>
      </w:pPr>
      <w:r>
        <w:rPr>
          <w:rFonts w:ascii="arial" w:hAnsi="arial"/>
          <w:sz w:val="20"/>
        </w:rPr>
        <w:t xml:space="preserve">Through our share ownership guidelines, Steve Hasker and other executive officers are required to acquire and maintain an equity interest in Thomson Reuters with a value equal to a multiple of their base salary. Until the guideline is met, executive officers must retain a specified percentage of the shares that they acquire (after applicable tax withholdings) through option exercises and the vesting of PRSUs and TRSUs. Unvested PRSUs and TRSUs and vested/unvested stock options do not count toward the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76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guidelines. Share prices of all public companies are subject to market volatility. As a result, executive share ownership guidelines reflect a once met, always met standard. This means that if an executive has met his or her applicable ownership guideline multiple and a subsequent decline in the Thomson Reuters share price causes the value of his or her ownership to fall below the applicable threshold, the executive will be considered to be in compliance with the guidelines so long as he or she continues to hold the number of shares that were owned at the time when he or she achieved the guidelines. </w:t>
      </w:r>
    </w:p>
    <w:p>
      <w:pPr>
        <w:pStyle w:val="TextBody"/>
        <w:spacing w:before="120" w:after="0"/>
        <w:jc w:val="left"/>
        <w:rPr>
          <w:rFonts w:ascii="arial" w:hAnsi="arial"/>
          <w:sz w:val="20"/>
        </w:rPr>
      </w:pPr>
      <w:r>
        <w:rPr>
          <w:rFonts w:ascii="arial" w:hAnsi="arial"/>
          <w:sz w:val="20"/>
        </w:rPr>
        <w:t xml:space="preserve">Steve Hasker and Mike Eastwood each became subject to share ownership guidelines in March 2020. David Wong became subject to share ownership guidelines in July 2020 and Kirsty Roth became subject to share ownership guidelines in August 2020. Brian Peccarellis ownership of Thomson Reuters shares was greater than three times his base salary when his employment with our company ended on April 3, 2023. The following table shows the share ownership guidelines for our named executive officers (other than Brian Peccarelli, whose last day of employment was on April 3, 2023), as well as their actual share ownership, based on the closing price of our shares on the NYSE on April 21, 2023. The table also shows the value of actual ownership and unvested RSUs. While unvested RSUs do not count towards the guidelines, they are reflective of awards that are scheduled to vest in the next few years.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03555" cy="24892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03555" cy="248920"/>
                    </a:xfrm>
                    <a:prstGeom prst="rect">
                      <a:avLst/>
                    </a:prstGeom>
                  </pic:spPr>
                </pic:pic>
              </a:graphicData>
            </a:graphic>
          </wp:inline>
        </w:drawing>
      </w:r>
      <w:r>
        <w:rPr/>
        <w:t xml:space="preserve"> </w:t>
      </w:r>
    </w:p>
    <w:p>
      <w:pPr>
        <w:pStyle w:val="TextBody"/>
        <w:spacing w:before="240" w:after="0"/>
        <w:jc w:val="left"/>
        <w:rPr>
          <w:rFonts w:ascii="arial" w:hAnsi="arial"/>
          <w:color w:val="B94831"/>
          <w:sz w:val="28"/>
        </w:rPr>
      </w:pPr>
      <w:bookmarkStart w:id="48" w:name="tx494196_cd9"/>
      <w:bookmarkEnd w:id="48"/>
      <w:r>
        <w:rPr>
          <w:rFonts w:ascii="arial" w:hAnsi="arial"/>
          <w:color w:val="B94831"/>
          <w:sz w:val="28"/>
        </w:rPr>
        <w:t xml:space="preserve">WE PROVIDE COMPETITIVE COMPENSATION OPPORTUNITIES </w:t>
      </w:r>
    </w:p>
    <w:p>
      <w:pPr>
        <w:pStyle w:val="TextBody"/>
        <w:spacing w:before="40" w:after="0"/>
        <w:jc w:val="left"/>
        <w:rPr>
          <w:rFonts w:ascii="arial" w:hAnsi="arial"/>
          <w:sz w:val="20"/>
        </w:rPr>
      </w:pPr>
      <w:r>
        <w:rPr>
          <w:rFonts w:ascii="arial" w:hAnsi="arial"/>
          <w:sz w:val="20"/>
        </w:rPr>
        <w:t xml:space="preserve">The HR Committee utilizes independent market surveys and peer group data to provide an appropriate benchmark for competitive comparisons of executive pay levels and design structure, company performance and aggregate equity practices. The HR Committee refers to these benchmarks, either wholly or in part, when establishing individual components and overall compensation of our executives to assess the differences between our compensation program and those of the market and the peer group. </w:t>
      </w:r>
    </w:p>
    <w:p>
      <w:pPr>
        <w:pStyle w:val="TextBody"/>
        <w:spacing w:before="120" w:after="0"/>
        <w:jc w:val="left"/>
        <w:rPr>
          <w:rFonts w:ascii="arial" w:hAnsi="arial"/>
          <w:sz w:val="20"/>
        </w:rPr>
      </w:pPr>
      <w:r>
        <w:rPr>
          <w:rFonts w:ascii="arial" w:hAnsi="arial"/>
          <w:sz w:val="20"/>
        </w:rPr>
        <w:t xml:space="preserve">On an annual basis, the HR Committee evaluates each named executive officers compensation and compares each element (e.g., base salary, annual incentive and long-term incentive) and their total direct compensation (TDC), which consists of base salary, target annual incentive award value, target long-term incentive award value and the annualized value of any special grants that are outstanding. This TDC is compared for each named executive officer against compensation peer group data, as discussed below, to both understand the competitive level of an individuals pay as well to make decisions on each persons future competitive compensation position. </w:t>
      </w:r>
    </w:p>
    <w:p>
      <w:pPr>
        <w:pStyle w:val="TextBody"/>
        <w:spacing w:before="120" w:after="0"/>
        <w:jc w:val="left"/>
        <w:rPr>
          <w:rFonts w:ascii="arial" w:hAnsi="arial"/>
          <w:sz w:val="20"/>
        </w:rPr>
      </w:pPr>
      <w:r>
        <w:rPr>
          <w:rFonts w:ascii="arial" w:hAnsi="arial"/>
          <w:sz w:val="20"/>
        </w:rPr>
        <w:t xml:space="preserve">Market data is one of several data points used by the HR Committee for setting compensation. While the HR Committee does not target a specific competitive level of pay, the HR Committee does consider the overall competitive market as well as the experience, skills, contribution, historical and expected performance of each executive in its decision making. The HR Committee also considers differences between the scope and criticality of the role at Thomson Reuters and at peers, internal equity and retention risk. </w:t>
      </w:r>
    </w:p>
    <w:p>
      <w:pPr>
        <w:pStyle w:val="TextBody"/>
        <w:spacing w:before="120" w:after="0"/>
        <w:jc w:val="left"/>
        <w:rPr>
          <w:rFonts w:ascii="arial" w:hAnsi="arial"/>
          <w:sz w:val="20"/>
        </w:rPr>
      </w:pPr>
      <w:r>
        <w:rPr>
          <w:rFonts w:ascii="arial" w:hAnsi="arial"/>
          <w:sz w:val="20"/>
        </w:rPr>
        <w:t xml:space="preserve">In March 2022, the HR Committee evaluated the current market position of our named executive officers compensation and approved an increase to Kirsty Roths base salary and long-term incentive target to better align her pay with the market and the impact of her role. There were no changes for the other named executive officers 2022 base salaries or their target annual and long-term incentive awards. FW Cook was consulted in connection with this compensation evaluation.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 June 2021, the HR Committee approved updates to the global and Canadian peer groups. As part of this process, the HR Committees independent compensation consultant reviewed the peer groups and identified changes that were intended to reflect Thomson Reuters evolving business strategy as it transitions from a content provider to a content-driven technology company. </w:t>
      </w:r>
    </w:p>
    <w:p>
      <w:pPr>
        <w:pStyle w:val="TextBody"/>
        <w:spacing w:before="120" w:after="0"/>
        <w:jc w:val="left"/>
        <w:rPr>
          <w:rFonts w:ascii="arial" w:hAnsi="arial"/>
          <w:sz w:val="20"/>
        </w:rPr>
      </w:pPr>
      <w:r>
        <w:rPr>
          <w:rFonts w:ascii="arial" w:hAnsi="arial"/>
          <w:sz w:val="20"/>
        </w:rPr>
        <w:t xml:space="preserve">The companies in our current global peer group are publicly traded and have similar business models or strategies which are focused on information development and electronic delivery. Our global peer group is a primary reference point considering the global nature of our business and the global market for executive talent. Although we believe our company is somewhat unique in terms of its business operations serving the legal, tax, accounting, corporate and news industries, a number of these companies are considered by analysts and shareholders to be our closest public company comparables. Many of these other companies, like Thomson Reuters, also have significant global operations. </w:t>
      </w:r>
    </w:p>
    <w:p>
      <w:pPr>
        <w:pStyle w:val="TextBody"/>
        <w:spacing w:before="120" w:after="0"/>
        <w:jc w:val="left"/>
        <w:rPr>
          <w:rFonts w:ascii="arial" w:hAnsi="arial"/>
          <w:sz w:val="20"/>
        </w:rPr>
      </w:pPr>
      <w:r>
        <w:rPr>
          <w:rFonts w:ascii="arial" w:hAnsi="arial"/>
          <w:sz w:val="20"/>
        </w:rPr>
        <w:t xml:space="preserve">When the global peer group was updated in June 2021, companies in that peer group had revenues in their last four quarters ranging from approximately $4.4 billion at the 25th percentile to approximately $9.6 billion at the 75th percentile, with a median of approximately $6.3 billion, compared to Thomson Reuters 2021 revenues of approximately $6.3 billion. Compared to the global peer group, Thomson Reuters ranked near the median in revenue, between the 25th percentile and median in adjusted EBITDA, in the top quartile in total assets, near the 75th percentile in market capitalization and between the median and 75th percentile in number of employees. The 17 companies in our current global peer group consist 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2"/>
        <w:gridCol w:w="217"/>
        <w:gridCol w:w="3296"/>
        <w:gridCol w:w="120"/>
        <w:gridCol w:w="3100"/>
      </w:tblGrid>
      <w:tr>
        <w:trPr/>
        <w:tc>
          <w:tcPr>
            <w:tcW w:w="347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32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00" w:type="dxa"/>
            <w:tcBorders/>
            <w:shd w:fill="auto" w:val="clear"/>
            <w:vAlign w:val="center"/>
          </w:tcPr>
          <w:p>
            <w:pPr>
              <w:pStyle w:val="TableContents"/>
              <w:spacing w:before="0" w:after="283"/>
              <w:rPr>
                <w:sz w:val="4"/>
                <w:szCs w:val="4"/>
              </w:rPr>
            </w:pPr>
            <w:r>
              <w:rPr>
                <w:sz w:val="4"/>
                <w:szCs w:val="4"/>
              </w:rPr>
            </w:r>
          </w:p>
        </w:tc>
      </w:tr>
      <w:tr>
        <w:trPr/>
        <w:tc>
          <w:tcPr>
            <w:tcW w:w="3472" w:type="dxa"/>
            <w:tcBorders>
              <w:top w:val="single" w:sz="2" w:space="0" w:color="B94831"/>
              <w:bottom w:val="single" w:sz="2" w:space="0" w:color="B94831"/>
            </w:tcBorders>
            <w:shd w:fill="auto" w:val="clear"/>
            <w:tcMar>
              <w:top w:w="28" w:type="dxa"/>
              <w:bottom w:w="28" w:type="dxa"/>
            </w:tcMar>
          </w:tcPr>
          <w:p>
            <w:pPr>
              <w:pStyle w:val="TableContents"/>
              <w:spacing w:before="0" w:after="0"/>
              <w:rPr>
                <w:rFonts w:ascii="arial" w:hAnsi="arial"/>
                <w:sz w:val="18"/>
              </w:rPr>
            </w:pPr>
            <w:r>
              <w:rPr>
                <w:rFonts w:ascii="arial" w:hAnsi="arial"/>
                <w:sz w:val="18"/>
              </w:rPr>
              <w:t>Automatic Data Processing Inc.</w:t>
            </w:r>
          </w:p>
          <w:p>
            <w:pPr>
              <w:pStyle w:val="TableContents"/>
              <w:spacing w:before="0" w:after="0"/>
              <w:rPr>
                <w:rFonts w:ascii="arial" w:hAnsi="arial"/>
                <w:sz w:val="18"/>
              </w:rPr>
            </w:pPr>
            <w:r>
              <w:rPr>
                <w:rFonts w:ascii="arial" w:hAnsi="arial"/>
                <w:sz w:val="18"/>
              </w:rPr>
              <w:t>CGI Group Inc.</w:t>
            </w:r>
          </w:p>
          <w:p>
            <w:pPr>
              <w:pStyle w:val="TableContents"/>
              <w:spacing w:before="0" w:after="0"/>
              <w:rPr>
                <w:rFonts w:ascii="arial" w:hAnsi="arial"/>
                <w:sz w:val="18"/>
              </w:rPr>
            </w:pPr>
            <w:r>
              <w:rPr>
                <w:rFonts w:ascii="arial" w:hAnsi="arial"/>
                <w:sz w:val="18"/>
              </w:rPr>
              <w:t>eBay Inc.</w:t>
            </w:r>
          </w:p>
          <w:p>
            <w:pPr>
              <w:pStyle w:val="TableContents"/>
              <w:spacing w:before="0" w:after="0"/>
              <w:rPr>
                <w:rFonts w:ascii="arial" w:hAnsi="arial"/>
                <w:sz w:val="18"/>
              </w:rPr>
            </w:pPr>
            <w:r>
              <w:rPr>
                <w:rFonts w:ascii="arial" w:hAnsi="arial"/>
                <w:sz w:val="18"/>
              </w:rPr>
              <w:t>Equifax Inc.</w:t>
            </w:r>
          </w:p>
          <w:p>
            <w:pPr>
              <w:pStyle w:val="TableContents"/>
              <w:spacing w:before="0" w:after="0"/>
              <w:rPr>
                <w:rFonts w:ascii="arial" w:hAnsi="arial"/>
                <w:sz w:val="18"/>
              </w:rPr>
            </w:pPr>
            <w:r>
              <w:rPr>
                <w:rFonts w:ascii="arial" w:hAnsi="arial"/>
                <w:sz w:val="18"/>
              </w:rPr>
              <w:t>Experian Plc</w:t>
            </w:r>
          </w:p>
          <w:p>
            <w:pPr>
              <w:pStyle w:val="TableContents"/>
              <w:spacing w:before="0" w:after="20"/>
              <w:rPr>
                <w:rFonts w:ascii="arial" w:hAnsi="arial"/>
                <w:sz w:val="18"/>
              </w:rPr>
            </w:pPr>
            <w:r>
              <w:rPr>
                <w:rFonts w:ascii="arial" w:hAnsi="arial"/>
                <w:sz w:val="18"/>
              </w:rPr>
              <w:t>Gartner Inc.</w:t>
            </w:r>
          </w:p>
        </w:tc>
        <w:tc>
          <w:tcPr>
            <w:tcW w:w="217" w:type="dxa"/>
            <w:tcBorders>
              <w:top w:val="single" w:sz="2" w:space="0" w:color="B94831"/>
              <w:bottom w:val="single" w:sz="2" w:space="0" w:color="B94831"/>
            </w:tcBorders>
            <w:shd w:fill="auto" w:val="clear"/>
            <w:tcMar>
              <w:top w:w="28" w:type="dxa"/>
              <w:bottom w:w="28" w:type="dxa"/>
            </w:tcMar>
            <w:vAlign w:val="bottom"/>
          </w:tcPr>
          <w:p>
            <w:pPr>
              <w:pStyle w:val="TableContents"/>
              <w:spacing w:before="0" w:after="283"/>
              <w:rPr/>
            </w:pPr>
            <w:r>
              <w:rPr/>
              <w:t>  </w:t>
            </w:r>
          </w:p>
        </w:tc>
        <w:tc>
          <w:tcPr>
            <w:tcW w:w="3296" w:type="dxa"/>
            <w:tcBorders>
              <w:top w:val="single" w:sz="2" w:space="0" w:color="B94831"/>
              <w:bottom w:val="single" w:sz="2" w:space="0" w:color="B94831"/>
            </w:tcBorders>
            <w:shd w:fill="auto" w:val="clear"/>
            <w:tcMar>
              <w:top w:w="28" w:type="dxa"/>
              <w:bottom w:w="28" w:type="dxa"/>
            </w:tcMar>
          </w:tcPr>
          <w:p>
            <w:pPr>
              <w:pStyle w:val="TableContents"/>
              <w:spacing w:before="0" w:after="0"/>
              <w:rPr>
                <w:rFonts w:ascii="arial" w:hAnsi="arial"/>
                <w:sz w:val="18"/>
              </w:rPr>
            </w:pPr>
            <w:r>
              <w:rPr>
                <w:rFonts w:ascii="arial" w:hAnsi="arial"/>
                <w:sz w:val="18"/>
              </w:rPr>
              <w:t>IHS Markit Ltd.</w:t>
            </w:r>
          </w:p>
          <w:p>
            <w:pPr>
              <w:pStyle w:val="TableContents"/>
              <w:spacing w:before="0" w:after="0"/>
              <w:rPr>
                <w:rFonts w:ascii="arial" w:hAnsi="arial"/>
                <w:sz w:val="18"/>
              </w:rPr>
            </w:pPr>
            <w:r>
              <w:rPr>
                <w:rFonts w:ascii="arial" w:hAnsi="arial"/>
                <w:sz w:val="18"/>
              </w:rPr>
              <w:t>The Interpublic Group of Companies, Inc.</w:t>
            </w:r>
          </w:p>
          <w:p>
            <w:pPr>
              <w:pStyle w:val="TableContents"/>
              <w:spacing w:before="0" w:after="0"/>
              <w:rPr>
                <w:rFonts w:ascii="arial" w:hAnsi="arial"/>
                <w:sz w:val="18"/>
              </w:rPr>
            </w:pPr>
            <w:r>
              <w:rPr>
                <w:rFonts w:ascii="arial" w:hAnsi="arial"/>
                <w:sz w:val="18"/>
              </w:rPr>
              <w:t>Intuit Inc.</w:t>
            </w:r>
          </w:p>
          <w:p>
            <w:pPr>
              <w:pStyle w:val="TableContents"/>
              <w:spacing w:before="0" w:after="0"/>
              <w:rPr>
                <w:rFonts w:ascii="arial" w:hAnsi="arial"/>
                <w:sz w:val="18"/>
              </w:rPr>
            </w:pPr>
            <w:r>
              <w:rPr>
                <w:rFonts w:ascii="arial" w:hAnsi="arial"/>
                <w:sz w:val="18"/>
              </w:rPr>
              <w:t>Moodys Corp.</w:t>
            </w:r>
          </w:p>
          <w:p>
            <w:pPr>
              <w:pStyle w:val="TableContents"/>
              <w:spacing w:before="0" w:after="0"/>
              <w:rPr>
                <w:rFonts w:ascii="arial" w:hAnsi="arial"/>
                <w:sz w:val="18"/>
              </w:rPr>
            </w:pPr>
            <w:r>
              <w:rPr>
                <w:rFonts w:ascii="arial" w:hAnsi="arial"/>
                <w:sz w:val="18"/>
              </w:rPr>
              <w:t>Nielsen Holdings plc</w:t>
            </w:r>
          </w:p>
          <w:p>
            <w:pPr>
              <w:pStyle w:val="TableContents"/>
              <w:spacing w:before="0" w:after="20"/>
              <w:rPr>
                <w:rFonts w:ascii="arial" w:hAnsi="arial"/>
                <w:sz w:val="18"/>
              </w:rPr>
            </w:pPr>
            <w:r>
              <w:rPr>
                <w:rFonts w:ascii="arial" w:hAnsi="arial"/>
                <w:sz w:val="18"/>
              </w:rPr>
              <w:t>Omnicom Group Inc.</w:t>
            </w:r>
          </w:p>
        </w:tc>
        <w:tc>
          <w:tcPr>
            <w:tcW w:w="120" w:type="dxa"/>
            <w:tcBorders>
              <w:top w:val="single" w:sz="2" w:space="0" w:color="B94831"/>
              <w:bottom w:val="single" w:sz="2" w:space="0" w:color="B94831"/>
            </w:tcBorders>
            <w:shd w:fill="auto" w:val="clear"/>
            <w:tcMar>
              <w:top w:w="28" w:type="dxa"/>
              <w:bottom w:w="28" w:type="dxa"/>
            </w:tcMar>
            <w:vAlign w:val="bottom"/>
          </w:tcPr>
          <w:p>
            <w:pPr>
              <w:pStyle w:val="TableContents"/>
              <w:spacing w:before="0" w:after="283"/>
              <w:rPr/>
            </w:pPr>
            <w:r>
              <w:rPr/>
              <w:t>  </w:t>
            </w:r>
          </w:p>
        </w:tc>
        <w:tc>
          <w:tcPr>
            <w:tcW w:w="3100" w:type="dxa"/>
            <w:tcBorders>
              <w:top w:val="single" w:sz="2" w:space="0" w:color="B94831"/>
              <w:bottom w:val="single" w:sz="2" w:space="0" w:color="B94831"/>
            </w:tcBorders>
            <w:shd w:fill="auto" w:val="clear"/>
            <w:tcMar>
              <w:top w:w="28" w:type="dxa"/>
              <w:bottom w:w="28" w:type="dxa"/>
            </w:tcMar>
          </w:tcPr>
          <w:p>
            <w:pPr>
              <w:pStyle w:val="TableContents"/>
              <w:spacing w:before="0" w:after="0"/>
              <w:rPr>
                <w:rFonts w:ascii="arial" w:hAnsi="arial"/>
                <w:sz w:val="18"/>
              </w:rPr>
            </w:pPr>
            <w:r>
              <w:rPr>
                <w:rFonts w:ascii="arial" w:hAnsi="arial"/>
                <w:sz w:val="18"/>
              </w:rPr>
              <w:t>RELX PLC</w:t>
            </w:r>
          </w:p>
          <w:p>
            <w:pPr>
              <w:pStyle w:val="TableContents"/>
              <w:spacing w:before="0" w:after="0"/>
              <w:rPr>
                <w:rFonts w:ascii="arial" w:hAnsi="arial"/>
                <w:sz w:val="18"/>
              </w:rPr>
            </w:pPr>
            <w:r>
              <w:rPr>
                <w:rFonts w:ascii="arial" w:hAnsi="arial"/>
                <w:sz w:val="18"/>
              </w:rPr>
              <w:t>S&amp;P Global Inc.</w:t>
            </w:r>
          </w:p>
          <w:p>
            <w:pPr>
              <w:pStyle w:val="TableContents"/>
              <w:spacing w:before="0" w:after="0"/>
              <w:rPr>
                <w:rFonts w:ascii="arial" w:hAnsi="arial"/>
                <w:sz w:val="18"/>
              </w:rPr>
            </w:pPr>
            <w:r>
              <w:rPr>
                <w:rFonts w:ascii="arial" w:hAnsi="arial"/>
                <w:sz w:val="18"/>
              </w:rPr>
              <w:t>TransUnion</w:t>
            </w:r>
          </w:p>
          <w:p>
            <w:pPr>
              <w:pStyle w:val="TableContents"/>
              <w:spacing w:before="0" w:after="0"/>
              <w:rPr>
                <w:rFonts w:ascii="arial" w:hAnsi="arial"/>
                <w:sz w:val="18"/>
              </w:rPr>
            </w:pPr>
            <w:r>
              <w:rPr>
                <w:rFonts w:ascii="arial" w:hAnsi="arial"/>
                <w:sz w:val="18"/>
              </w:rPr>
              <w:t>Verisk Analytics, Inc.</w:t>
            </w:r>
          </w:p>
          <w:p>
            <w:pPr>
              <w:pStyle w:val="TableContents"/>
              <w:spacing w:before="0" w:after="20"/>
              <w:rPr>
                <w:rFonts w:ascii="arial" w:hAnsi="arial"/>
                <w:sz w:val="18"/>
              </w:rPr>
            </w:pPr>
            <w:r>
              <w:rPr>
                <w:rFonts w:ascii="arial" w:hAnsi="arial"/>
                <w:sz w:val="18"/>
              </w:rPr>
              <w:t>Wolters Kluwer NV</w:t>
            </w:r>
          </w:p>
        </w:tc>
      </w:tr>
    </w:tbl>
    <w:p>
      <w:pPr>
        <w:pStyle w:val="TextBody"/>
        <w:spacing w:before="120" w:after="0"/>
        <w:jc w:val="left"/>
        <w:rPr>
          <w:rFonts w:ascii="arial" w:hAnsi="arial"/>
          <w:sz w:val="20"/>
        </w:rPr>
      </w:pPr>
      <w:r>
        <w:rPr>
          <w:rFonts w:ascii="arial" w:hAnsi="arial"/>
          <w:sz w:val="20"/>
        </w:rPr>
        <w:t xml:space="preserve">For compensation benchmarking of the CEO, CFO and other executive officers based in Toronto, the HR Committee also utilizes a separate Canadian peer group as a secondary reference point. When the Canadian peer group was updated in June 2021, companies in that peer group had revenues in their last four quarters ranging from approximately $3.5 billion at the 25th percentile to approximately $18.2 billion at the 75th percentile, with a median of approximately $10.1 billion, compared to Thomson Reuters 2021 revenues of approximately $6.3 billion. Compared to the Canadian peer group, Thomson Reuters ranked between the 25th percentile and median in revenue, near the median in adjusted EBITDA, total assets and number of employees, and between the median and 75th percentile in market capitalization. The 17 companies in our Canadian peer group include Bank of Montreal, The Bank of Nova Scotia, BCE Inc., Canadian Imperial Bank of Commence, CGI Group Inc., Cogeco Communications Inc., Constellation Software Inc., Intact Financial Corporation, National Bank of Canada, Open Text Corporation, Quebecor Inc., Rogers Communications Inc., Royal Bank of Canada, Shopify Inc., Stantec Inc., TELUS Communications Inc. and The Toronto-Dominion Bank. </w:t>
      </w:r>
    </w:p>
    <w:p>
      <w:pPr>
        <w:pStyle w:val="TextBody"/>
        <w:spacing w:before="120" w:after="0"/>
        <w:jc w:val="left"/>
        <w:rPr>
          <w:rFonts w:ascii="arial" w:hAnsi="arial"/>
          <w:sz w:val="20"/>
        </w:rPr>
      </w:pPr>
      <w:r>
        <w:rPr>
          <w:rFonts w:ascii="arial" w:hAnsi="arial"/>
          <w:sz w:val="20"/>
        </w:rPr>
        <w:t xml:space="preserve">The HR Committee also reviews compensation for executive officers based in the United States and Switzerland with data from their relevant local talent market.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78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bookmarkStart w:id="49" w:name="tx494196_cd10"/>
      <w:bookmarkEnd w:id="49"/>
      <w:r>
        <w:rPr>
          <w:rFonts w:ascii="arial" w:hAnsi="arial"/>
          <w:color w:val="B94831"/>
          <w:sz w:val="28"/>
        </w:rPr>
        <w:t xml:space="preserve">OUR COMPENSATION PROGRAMS TAKE RISK INTO ACCOUNT AND DO NOT ENCOURAGE UNNECESSARY OR EXCESSIVE RISK TAKING </w:t>
      </w:r>
    </w:p>
    <w:p>
      <w:pPr>
        <w:pStyle w:val="TextBody"/>
        <w:spacing w:before="40" w:after="0"/>
        <w:jc w:val="left"/>
        <w:rPr>
          <w:rFonts w:ascii="arial" w:hAnsi="arial"/>
          <w:sz w:val="20"/>
        </w:rPr>
      </w:pPr>
      <w:r>
        <w:rPr>
          <w:rFonts w:ascii="arial" w:hAnsi="arial"/>
          <w:sz w:val="20"/>
        </w:rPr>
        <w:t xml:space="preserve">We have designed our compensation programs to provide an appropriate balance of risk and reward in relation to our companys overall business strategy. The HR Committee assesses compensation risk on an annual basis as part of its oversight of our executive compensation program to determine if it creates a potential material risk for Thomson Reuters. In February 2023, FW Cook provided the HR Committee with a risk assessment of the Thomson Reuters compensation program for executive officers. As part of its assessment, FW Cook reviewed our compensation structure and key attributes of our compensation program for executive officers for the purpose of identifying potential sources of risk. Based on its review, FW Cook was of the view that our compensation program appears unlikely to create incentives for excessive risk taking and includes meaningful safeguards to mitigate compensation program risk. </w:t>
      </w:r>
    </w:p>
    <w:p>
      <w:pPr>
        <w:pStyle w:val="TextBody"/>
        <w:spacing w:before="120" w:after="0"/>
        <w:jc w:val="left"/>
        <w:rPr>
          <w:rFonts w:ascii="arial" w:hAnsi="arial"/>
          <w:sz w:val="20"/>
        </w:rPr>
      </w:pPr>
      <w:r>
        <w:rPr>
          <w:rFonts w:ascii="arial" w:hAnsi="arial"/>
          <w:sz w:val="20"/>
        </w:rPr>
        <w:t xml:space="preserve">The HR Committee and management believe that our senior executive compensation programs do not incentivize our executives to take unnecessary or excessive risks for the reasons described below. </w:t>
      </w:r>
    </w:p>
    <w:p>
      <w:pPr>
        <w:pStyle w:val="TextBody"/>
        <w:spacing w:before="240" w:after="0"/>
        <w:jc w:val="left"/>
        <w:rPr>
          <w:rFonts w:ascii="arial" w:hAnsi="arial"/>
          <w:i/>
          <w:sz w:val="21"/>
        </w:rPr>
      </w:pPr>
      <w:r>
        <w:rPr>
          <w:rFonts w:ascii="arial" w:hAnsi="arial"/>
          <w:i/>
          <w:sz w:val="21"/>
        </w:rPr>
        <w:t xml:space="preserve">What we do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HR Committee is comprised of a majority of </w:t>
            </w:r>
            <w:r>
              <w:rPr>
                <w:rFonts w:ascii="Arial" w:hAnsi="Arial"/>
                <w:b/>
                <w:sz w:val="20"/>
              </w:rPr>
              <w:t>independent directors</w:t>
            </w:r>
            <w:r>
              <w:rPr>
                <w:rFonts w:ascii="arial" w:hAnsi="arial"/>
                <w:sz w:val="20"/>
              </w:rPr>
              <w:t xml:space="preserve"> and it uses an </w:t>
            </w:r>
            <w:r>
              <w:rPr>
                <w:rFonts w:ascii="Arial" w:hAnsi="Arial"/>
                <w:b/>
                <w:sz w:val="20"/>
              </w:rPr>
              <w:t>independent executive compensation consultant</w:t>
            </w:r>
            <w:r>
              <w:rPr>
                <w:rFonts w:ascii="arial" w:hAnsi="arial"/>
                <w:sz w:val="20"/>
              </w:rPr>
              <w:t xml:space="preserve"> to assess our executive compensation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28910A"/>
              </w:rPr>
            </w:pPr>
            <w:r>
              <w:rPr>
                <w:color w:val="28910A"/>
              </w:rPr>
              <w:t>✓</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Most of an executives compensation is comprised of </w:t>
            </w:r>
            <w:r>
              <w:rPr>
                <w:rFonts w:ascii="Arial" w:hAnsi="Arial"/>
                <w:b/>
                <w:sz w:val="20"/>
              </w:rPr>
              <w:t>longer-term performance opportunities</w:t>
            </w:r>
            <w:r>
              <w:rPr>
                <w:rFonts w:ascii="arial" w:hAnsi="arial"/>
                <w:sz w:val="20"/>
              </w:rPr>
              <w:t xml:space="preserve"> with less emphasis on shorter-term performance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w:t>
            </w:r>
            <w:r>
              <w:rPr>
                <w:rFonts w:ascii="Arial" w:hAnsi="Arial"/>
                <w:b/>
                <w:sz w:val="20"/>
              </w:rPr>
              <w:t>base salary</w:t>
            </w:r>
            <w:r>
              <w:rPr>
                <w:rFonts w:ascii="arial" w:hAnsi="arial"/>
                <w:sz w:val="20"/>
              </w:rPr>
              <w:t xml:space="preserve"> component of each executives compensation is </w:t>
            </w:r>
            <w:r>
              <w:rPr>
                <w:rFonts w:ascii="Arial" w:hAnsi="Arial"/>
                <w:b/>
                <w:sz w:val="20"/>
              </w:rPr>
              <w:t>fixed</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28910A"/>
              </w:rPr>
            </w:pPr>
            <w:r>
              <w:rPr>
                <w:color w:val="28910A"/>
              </w:rPr>
              <w:t>✓</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Our </w:t>
            </w:r>
            <w:r>
              <w:rPr>
                <w:rFonts w:ascii="Arial" w:hAnsi="Arial"/>
                <w:b/>
                <w:sz w:val="20"/>
              </w:rPr>
              <w:t>HR Committee annually reviews and determines award design</w:t>
            </w:r>
            <w:r>
              <w:rPr>
                <w:rFonts w:ascii="arial" w:hAnsi="arial"/>
                <w:sz w:val="20"/>
              </w:rPr>
              <w:t xml:space="preserve"> and there are </w:t>
            </w:r>
            <w:r>
              <w:rPr>
                <w:rFonts w:ascii="Arial" w:hAnsi="Arial"/>
                <w:b/>
                <w:sz w:val="20"/>
              </w:rPr>
              <w:t>principles and</w:t>
            </w:r>
            <w:r>
              <w:rPr>
                <w:rFonts w:ascii="arial" w:hAnsi="arial"/>
                <w:sz w:val="20"/>
              </w:rPr>
              <w:t xml:space="preserve"> </w:t>
            </w:r>
            <w:r>
              <w:rPr>
                <w:rFonts w:ascii="Arial" w:hAnsi="Arial"/>
                <w:b/>
                <w:sz w:val="20"/>
              </w:rPr>
              <w:t>processes with management</w:t>
            </w:r>
            <w:r>
              <w:rPr>
                <w:rFonts w:ascii="arial" w:hAnsi="arial"/>
                <w:sz w:val="20"/>
              </w:rPr>
              <w:t xml:space="preserve"> for approving design changes and performance goals;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HR Committee reviews </w:t>
            </w:r>
            <w:r>
              <w:rPr>
                <w:rFonts w:ascii="Arial" w:hAnsi="Arial"/>
                <w:b/>
                <w:sz w:val="20"/>
              </w:rPr>
              <w:t>performance criteria</w:t>
            </w:r>
            <w:r>
              <w:rPr>
                <w:rFonts w:ascii="arial" w:hAnsi="arial"/>
                <w:sz w:val="20"/>
              </w:rPr>
              <w:t xml:space="preserve"> for financial metrics used in our incentive awards, including threshold, target and maximum amounts, to ensure that they are challenging, but achievable. Performance criteria are in alignment with the companys strategic objectives;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Our incentive awards utilize a number of </w:t>
            </w:r>
            <w:r>
              <w:rPr>
                <w:rFonts w:ascii="Arial" w:hAnsi="Arial"/>
                <w:b/>
                <w:sz w:val="20"/>
              </w:rPr>
              <w:t>different financial performance measures</w:t>
            </w:r>
            <w:r>
              <w:rPr>
                <w:rFonts w:ascii="arial" w:hAnsi="arial"/>
                <w:sz w:val="20"/>
              </w:rPr>
              <w:t xml:space="preserve"> and do not rely on a single metric. Each metric has a threshold, target and maximum performance target with pre-defined payout amounts;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28910A"/>
              </w:rPr>
            </w:pPr>
            <w:r>
              <w:rPr>
                <w:color w:val="28910A"/>
              </w:rPr>
              <w:t>✓</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Our annual incentive awards and PRSUs issued as part of long-term incentive awards have </w:t>
            </w:r>
            <w:r>
              <w:rPr>
                <w:rFonts w:ascii="Arial" w:hAnsi="Arial"/>
                <w:b/>
                <w:sz w:val="20"/>
              </w:rPr>
              <w:t>caps for the maximum potential payouts</w:t>
            </w:r>
            <w:r>
              <w:rPr>
                <w:rFonts w:ascii="arial" w:hAnsi="arial"/>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28910A"/>
              </w:rPr>
            </w:pPr>
            <w:r>
              <w:rPr>
                <w:color w:val="28910A"/>
              </w:rPr>
              <w:t>✓</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Our </w:t>
            </w:r>
            <w:r>
              <w:rPr>
                <w:rFonts w:ascii="Arial" w:hAnsi="Arial"/>
                <w:b/>
                <w:sz w:val="20"/>
              </w:rPr>
              <w:t>HR Committee has authority</w:t>
            </w:r>
            <w:r>
              <w:rPr>
                <w:rFonts w:ascii="arial" w:hAnsi="arial"/>
                <w:sz w:val="20"/>
              </w:rPr>
              <w:t xml:space="preserve"> to make fairness-related and other adjustments to performance award opportunities that it may deem appropriate to reflect the quality of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28910A"/>
              </w:rPr>
            </w:pPr>
            <w:r>
              <w:rPr>
                <w:color w:val="28910A"/>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We have robust </w:t>
            </w:r>
            <w:r>
              <w:rPr>
                <w:rFonts w:ascii="Arial" w:hAnsi="Arial"/>
                <w:b/>
                <w:sz w:val="20"/>
              </w:rPr>
              <w:t>share ownership guidelines</w:t>
            </w:r>
            <w:r>
              <w:rPr>
                <w:rFonts w:ascii="arial" w:hAnsi="arial"/>
                <w:sz w:val="20"/>
              </w:rPr>
              <w:t xml:space="preserve"> for our executive officers which further ties their interests to those of our shareholders over the long-term;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28910A"/>
              </w:rPr>
            </w:pPr>
            <w:r>
              <w:rPr>
                <w:color w:val="28910A"/>
              </w:rPr>
              <w:t>✓</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We have a </w:t>
            </w:r>
            <w:r>
              <w:rPr>
                <w:rFonts w:ascii="Arial" w:hAnsi="Arial"/>
                <w:b/>
                <w:sz w:val="20"/>
              </w:rPr>
              <w:t>recoupment (or clawback) policy</w:t>
            </w:r>
            <w:r>
              <w:rPr>
                <w:rFonts w:ascii="arial" w:hAnsi="arial"/>
                <w:sz w:val="20"/>
              </w:rPr>
              <w:t xml:space="preserve"> that permits us to seek reimbursement from the CEO and all other executive officers in certain circumstances. </w:t>
            </w:r>
          </w:p>
        </w:tc>
      </w:tr>
    </w:tbl>
    <w:p>
      <w:pPr>
        <w:pStyle w:val="TextBody"/>
        <w:spacing w:before="240" w:after="0"/>
        <w:jc w:val="left"/>
        <w:rPr>
          <w:rFonts w:ascii="arial" w:hAnsi="arial"/>
          <w:i/>
          <w:sz w:val="21"/>
        </w:rPr>
      </w:pPr>
      <w:r>
        <w:rPr>
          <w:rFonts w:ascii="arial" w:hAnsi="arial"/>
          <w:i/>
          <w:sz w:val="21"/>
        </w:rPr>
        <w:t xml:space="preserve">What we dont do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B94831"/>
              </w:rPr>
            </w:pPr>
            <w:r>
              <w:rPr>
                <w:color w:val="B94831"/>
              </w:rPr>
              <w:t>X</w:t>
            </w:r>
          </w:p>
        </w:tc>
        <w:tc>
          <w:tcPr>
            <w:tcW w:w="9798" w:type="dxa"/>
            <w:tcBorders/>
            <w:shd w:fill="auto" w:val="clear"/>
          </w:tcPr>
          <w:p>
            <w:pPr>
              <w:pStyle w:val="TableContents"/>
              <w:spacing w:before="0" w:after="0"/>
              <w:jc w:val="left"/>
              <w:rPr>
                <w:rFonts w:ascii="arial" w:hAnsi="arial"/>
              </w:rPr>
            </w:pPr>
            <w:r>
              <w:rPr>
                <w:rFonts w:ascii="Arial" w:hAnsi="Arial"/>
                <w:b/>
              </w:rPr>
              <w:t>Executive officers are prohibited from hedging or pledging</w:t>
            </w:r>
            <w:r>
              <w:rPr>
                <w:rFonts w:ascii="arial" w:hAnsi="arial"/>
              </w:rPr>
              <w:t xml:space="preserve"> company shares (as further discussed later in this compensation discussion and analysis section);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B94831"/>
              </w:rPr>
            </w:pPr>
            <w:r>
              <w:rPr>
                <w:color w:val="B94831"/>
              </w:rPr>
              <w:t>X</w:t>
            </w:r>
          </w:p>
        </w:tc>
        <w:tc>
          <w:tcPr>
            <w:tcW w:w="9799" w:type="dxa"/>
            <w:tcBorders/>
            <w:shd w:fill="auto" w:val="clear"/>
          </w:tcPr>
          <w:p>
            <w:pPr>
              <w:pStyle w:val="TableContents"/>
              <w:spacing w:before="0" w:after="0"/>
              <w:jc w:val="left"/>
              <w:rPr>
                <w:rFonts w:ascii="Arial" w:hAnsi="Arial"/>
                <w:b/>
              </w:rPr>
            </w:pPr>
            <w:r>
              <w:rPr>
                <w:rFonts w:ascii="Arial" w:hAnsi="Arial"/>
                <w:b/>
              </w:rPr>
              <w:t xml:space="preserve">We dont offer single trigger change of control rights or excise tax gross-up payments;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B94831"/>
              </w:rPr>
            </w:pPr>
            <w:r>
              <w:rPr>
                <w:color w:val="B94831"/>
              </w:rPr>
              <w:t>X</w:t>
            </w:r>
          </w:p>
        </w:tc>
        <w:tc>
          <w:tcPr>
            <w:tcW w:w="9799" w:type="dxa"/>
            <w:tcBorders/>
            <w:shd w:fill="auto" w:val="clear"/>
          </w:tcPr>
          <w:p>
            <w:pPr>
              <w:pStyle w:val="TableContents"/>
              <w:spacing w:before="0" w:after="0"/>
              <w:jc w:val="left"/>
              <w:rPr>
                <w:rFonts w:ascii="arial" w:hAnsi="arial"/>
              </w:rPr>
            </w:pPr>
            <w:r>
              <w:rPr>
                <w:rFonts w:ascii="Arial" w:hAnsi="Arial"/>
                <w:b/>
              </w:rPr>
              <w:t>We dont guarantee minimum payout levels in our incentive plans or minimum vesting for equity awards;</w:t>
            </w:r>
            <w:r>
              <w:rPr>
                <w:rFonts w:ascii="arial" w:hAnsi="arial"/>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B94831"/>
              </w:rPr>
            </w:pPr>
            <w:r>
              <w:rPr>
                <w:color w:val="B94831"/>
              </w:rPr>
              <w:t>X</w:t>
            </w:r>
          </w:p>
        </w:tc>
        <w:tc>
          <w:tcPr>
            <w:tcW w:w="9797" w:type="dxa"/>
            <w:tcBorders/>
            <w:shd w:fill="auto" w:val="clear"/>
          </w:tcPr>
          <w:p>
            <w:pPr>
              <w:pStyle w:val="TableContents"/>
              <w:spacing w:before="0" w:after="0"/>
              <w:jc w:val="left"/>
              <w:rPr>
                <w:rFonts w:ascii="arial" w:hAnsi="arial"/>
              </w:rPr>
            </w:pPr>
            <w:r>
              <w:rPr>
                <w:rFonts w:ascii="Arial" w:hAnsi="Arial"/>
                <w:b/>
              </w:rPr>
              <w:t>We dont guarantee increases to base salaries or target incentive award opportunities;</w:t>
            </w:r>
            <w:r>
              <w:rPr>
                <w:rFonts w:ascii="arial" w:hAnsi="arial"/>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B94831"/>
              </w:rPr>
            </w:pPr>
            <w:r>
              <w:rPr>
                <w:color w:val="B94831"/>
              </w:rPr>
              <w:t>X</w:t>
            </w:r>
          </w:p>
        </w:tc>
        <w:tc>
          <w:tcPr>
            <w:tcW w:w="9799" w:type="dxa"/>
            <w:tcBorders/>
            <w:shd w:fill="auto" w:val="clear"/>
          </w:tcPr>
          <w:p>
            <w:pPr>
              <w:pStyle w:val="TableContents"/>
              <w:spacing w:before="0" w:after="0"/>
              <w:jc w:val="left"/>
              <w:rPr>
                <w:rFonts w:ascii="arial" w:hAnsi="arial"/>
              </w:rPr>
            </w:pPr>
            <w:r>
              <w:rPr>
                <w:rFonts w:ascii="Arial" w:hAnsi="Arial"/>
                <w:b/>
              </w:rPr>
              <w:t>We dont reprice stock options, grant reload stock options or spring load equity awards to enable recipients to benefit from the release of confidential information;</w:t>
            </w:r>
            <w:r>
              <w:rPr>
                <w:rFonts w:ascii="arial" w:hAnsi="arial"/>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B94831"/>
              </w:rPr>
            </w:pPr>
            <w:r>
              <w:rPr>
                <w:color w:val="B94831"/>
              </w:rPr>
              <w:t>X</w:t>
            </w:r>
          </w:p>
        </w:tc>
        <w:tc>
          <w:tcPr>
            <w:tcW w:w="9798" w:type="dxa"/>
            <w:tcBorders/>
            <w:shd w:fill="auto" w:val="clear"/>
          </w:tcPr>
          <w:p>
            <w:pPr>
              <w:pStyle w:val="TableContents"/>
              <w:spacing w:before="0" w:after="0"/>
              <w:jc w:val="left"/>
              <w:rPr>
                <w:rFonts w:ascii="arial" w:hAnsi="arial"/>
              </w:rPr>
            </w:pPr>
            <w:r>
              <w:rPr>
                <w:rFonts w:ascii="Arial" w:hAnsi="Arial"/>
                <w:b/>
              </w:rPr>
              <w:t>We dont include unvested TRSUs or PRSUs or vested/unvested stock options in the calculation of share ownership guidelines; and</w:t>
            </w:r>
            <w:r>
              <w:rPr>
                <w:rFonts w:ascii="arial" w:hAnsi="arial"/>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B94831"/>
              </w:rPr>
            </w:pPr>
            <w:r>
              <w:rPr>
                <w:color w:val="B94831"/>
              </w:rPr>
              <w:t>X</w:t>
            </w:r>
          </w:p>
        </w:tc>
        <w:tc>
          <w:tcPr>
            <w:tcW w:w="9799" w:type="dxa"/>
            <w:tcBorders/>
            <w:shd w:fill="auto" w:val="clear"/>
          </w:tcPr>
          <w:p>
            <w:pPr>
              <w:pStyle w:val="TableContents"/>
              <w:spacing w:before="0" w:after="0"/>
              <w:jc w:val="left"/>
              <w:rPr>
                <w:rFonts w:ascii="arial" w:hAnsi="arial"/>
              </w:rPr>
            </w:pPr>
            <w:r>
              <w:rPr>
                <w:rFonts w:ascii="Arial" w:hAnsi="Arial"/>
                <w:b/>
              </w:rPr>
              <w:t>We dont offer excessive perquisites.</w:t>
            </w:r>
            <w:r>
              <w:rPr>
                <w:rFonts w:ascii="arial" w:hAnsi="arial"/>
              </w:rPr>
              <w:t xml:space="preserve"> </w:t>
            </w:r>
          </w:p>
        </w:tc>
      </w:tr>
    </w:tbl>
    <w:p>
      <w:pPr>
        <w:pStyle w:val="TextBody"/>
        <w:spacing w:before="120" w:after="0"/>
        <w:jc w:val="left"/>
        <w:rPr>
          <w:rFonts w:ascii="arial" w:hAnsi="arial"/>
          <w:sz w:val="20"/>
        </w:rPr>
      </w:pPr>
      <w:r>
        <w:rPr>
          <w:rFonts w:ascii="arial" w:hAnsi="arial"/>
          <w:sz w:val="20"/>
        </w:rPr>
        <w:t xml:space="preserve">The HR Committee assesses compensation risk on an annual basis as part of its oversight of executive compensation.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For more information about risks that we believe are material to our company, please see the Risk Factors section of our 2022 annual report, which is available on our website at </w:t>
      </w:r>
      <w:r>
        <w:rPr>
          <w:rFonts w:ascii="Arial" w:hAnsi="Arial"/>
          <w:b/>
          <w:color w:val="335367"/>
          <w:sz w:val="20"/>
        </w:rPr>
        <w:t>www.tr.com</w:t>
      </w:r>
      <w:r>
        <w:rPr>
          <w:rFonts w:ascii="arial" w:hAnsi="arial"/>
          <w:sz w:val="20"/>
        </w:rPr>
        <w:t xml:space="preserve">, as well as on </w:t>
      </w:r>
      <w:r>
        <w:rPr>
          <w:rFonts w:ascii="Arial" w:hAnsi="Arial"/>
          <w:b/>
          <w:color w:val="335367"/>
          <w:sz w:val="20"/>
        </w:rPr>
        <w:t>www.sedar.com</w:t>
      </w:r>
      <w:r>
        <w:rPr>
          <w:rFonts w:ascii="arial" w:hAnsi="arial"/>
          <w:sz w:val="20"/>
        </w:rPr>
        <w:t xml:space="preserve"> and </w:t>
      </w:r>
      <w:r>
        <w:rPr>
          <w:rFonts w:ascii="Arial" w:hAnsi="Arial"/>
          <w:b/>
          <w:color w:val="335367"/>
          <w:sz w:val="20"/>
        </w:rPr>
        <w:t>www.sec.gov</w:t>
      </w:r>
      <w:r>
        <w:rPr>
          <w:rFonts w:ascii="arial" w:hAnsi="arial"/>
          <w:sz w:val="20"/>
        </w:rPr>
        <w:t xml:space="preserve">. </w:t>
      </w:r>
    </w:p>
    <w:p>
      <w:pPr>
        <w:pStyle w:val="TextBody"/>
        <w:spacing w:before="120" w:after="0"/>
        <w:jc w:val="left"/>
        <w:rPr>
          <w:rFonts w:ascii="Arial" w:hAnsi="Arial"/>
          <w:b/>
          <w:sz w:val="28"/>
        </w:rPr>
      </w:pPr>
      <w:bookmarkStart w:id="50" w:name="tx494196_cd11"/>
      <w:bookmarkStart w:id="51" w:name="tx494196_42"/>
      <w:bookmarkEnd w:id="50"/>
      <w:bookmarkEnd w:id="51"/>
      <w:r>
        <w:rPr>
          <w:rFonts w:ascii="Arial" w:hAnsi="Arial"/>
          <w:b/>
          <w:sz w:val="28"/>
        </w:rPr>
        <w:t xml:space="preserve">2022 Compensation </w:t>
      </w:r>
    </w:p>
    <w:p>
      <w:pPr>
        <w:pStyle w:val="TextBody"/>
        <w:spacing w:before="40" w:after="0"/>
        <w:jc w:val="left"/>
        <w:rPr>
          <w:rFonts w:ascii="arial" w:hAnsi="arial"/>
          <w:sz w:val="20"/>
        </w:rPr>
      </w:pPr>
      <w:r>
        <w:rPr>
          <w:rFonts w:ascii="arial" w:hAnsi="arial"/>
          <w:sz w:val="20"/>
        </w:rPr>
        <w:t xml:space="preserve">In 2022, the HR Committee reviewed and approved the compensation for our named executive 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In connection with determining 2022 compensation packages for our CEO and CFO, the Chair of the HR Committee consulted with the HR Committees independent compensation consultant and our Chief People Officer, Mary Alice Vuicic.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Our CEO initially made recommendations to the HR Committee regarding the proposed 2022 compensation arrangements for our executive officers (other than the CEO). Steve Hasker and Mary Alice Vuicic considered each individuals actual performance during the prior year, the competitiveness of each individuals compensation, and external compensation trends and developments. Management also provided the HR Committee with its recommendations for structuring 2022 annual and long-term incentive awards. In making recommendations to the HR Committee, management proposed a compensation program that supports our pay for performance philosophy without encouraging unnecessary or excessive risk taking by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As part of its analysis and decision-making process, the HR Committee received a summary of performance assessments for our named executive officers. The HR Committee also received executive pay comparisons to assess proposed arrangements between individual executives and against applicable market position. This information included base salary, annual incentive award (target as a percentage of salary), long-term incentive award (target as a percentage of salary), target total direct compensation for each individual, plus target total direct compensation that included the annualized value of any special equity awards outstanding, exclusive of new hire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Following its review of the information mentioned above and using its own judgment, the HR Committee recommended 2022 compensation arrangements for each executive officer to the Board, which made the final approval decisions for these arrangements. </w:t>
            </w:r>
          </w:p>
        </w:tc>
      </w:tr>
    </w:tbl>
    <w:p>
      <w:pPr>
        <w:pStyle w:val="TextBody"/>
        <w:spacing w:before="120" w:after="0"/>
        <w:jc w:val="left"/>
        <w:rPr>
          <w:rFonts w:ascii="arial" w:hAnsi="arial"/>
          <w:sz w:val="20"/>
        </w:rPr>
      </w:pPr>
      <w:r>
        <w:rPr>
          <w:rFonts w:ascii="arial" w:hAnsi="arial"/>
          <w:sz w:val="20"/>
        </w:rPr>
        <w:t xml:space="preserve">Additional information about each named executive officers individual 2022 compensation arrangement and individual performance during the year is provided later in this section. </w:t>
      </w:r>
    </w:p>
    <w:p>
      <w:pPr>
        <w:pStyle w:val="TextBody"/>
        <w:spacing w:before="120" w:after="0"/>
        <w:jc w:val="left"/>
        <w:rPr>
          <w:rFonts w:ascii="arial" w:hAnsi="arial"/>
          <w:color w:val="B94831"/>
          <w:sz w:val="28"/>
        </w:rPr>
      </w:pPr>
      <w:bookmarkStart w:id="52" w:name="tx494196_cd12"/>
      <w:bookmarkEnd w:id="52"/>
      <w:r>
        <w:rPr>
          <w:rFonts w:ascii="arial" w:hAnsi="arial"/>
          <w:color w:val="B94831"/>
          <w:sz w:val="28"/>
        </w:rPr>
        <w:t xml:space="preserve">Base Salary </w:t>
      </w:r>
    </w:p>
    <w:p>
      <w:pPr>
        <w:pStyle w:val="TextBody"/>
        <w:spacing w:before="40" w:after="0"/>
        <w:jc w:val="left"/>
        <w:rPr>
          <w:rFonts w:ascii="arial" w:hAnsi="arial"/>
          <w:sz w:val="20"/>
        </w:rPr>
      </w:pPr>
      <w:r>
        <w:rPr>
          <w:rFonts w:ascii="arial" w:hAnsi="arial"/>
          <w:sz w:val="20"/>
        </w:rPr>
        <w:t xml:space="preserve">Base salary is typically determined annually by reference to an executives individual performance and experience and our companys financial performance, as well as competitive considerations, such as salaries prevailing in the relevant market. Base salaries are also evaluated in connection with promotions and other changes in job responsibilities. </w:t>
      </w:r>
    </w:p>
    <w:p>
      <w:pPr>
        <w:pStyle w:val="TextBody"/>
        <w:spacing w:before="120" w:after="0"/>
        <w:jc w:val="left"/>
        <w:rPr>
          <w:rFonts w:ascii="arial" w:hAnsi="arial"/>
          <w:sz w:val="20"/>
        </w:rPr>
      </w:pPr>
      <w:r>
        <w:rPr>
          <w:rFonts w:ascii="arial" w:hAnsi="arial"/>
          <w:sz w:val="20"/>
        </w:rPr>
        <w:t xml:space="preserve">The HR Committee establishes the CEOs base salary and considers any increases to the base salaries of our other named executive officers based on the CEOs recommendations for each individual. In addition to the considerations described above, the HR Committee also reviews any applicable merit increase guidelines established for our employees. </w:t>
      </w:r>
    </w:p>
    <w:p>
      <w:pPr>
        <w:pStyle w:val="TextBody"/>
        <w:spacing w:before="120" w:after="0"/>
        <w:jc w:val="left"/>
        <w:rPr>
          <w:rFonts w:ascii="arial" w:hAnsi="arial"/>
          <w:sz w:val="20"/>
        </w:rPr>
      </w:pPr>
      <w:r>
        <w:rPr>
          <w:rFonts w:ascii="arial" w:hAnsi="arial"/>
          <w:sz w:val="20"/>
        </w:rPr>
        <w:t xml:space="preserve">In 2022, our companys annual merit increase budget for Canadian, Swiss and U.S. employee base salaries was approximately 2.9%, 2.3% and 3.1%, respectively (effective on April 1 of the year). In March 2022, the HR Committee evaluated the current market position of our named executive officers compensation and approved an increase to Kirsty Roths base salary to better align her pay with the market and the impact of her role. There were no changes for the other named executive officers 2022 base salaries. Base salaries for each of our named executive officers are described later in this section of the circular. FW Cook was consulted in connection with this compensation evaluation. </w:t>
      </w:r>
    </w:p>
    <w:p>
      <w:pPr>
        <w:pStyle w:val="TextBody"/>
        <w:spacing w:before="120" w:after="0"/>
        <w:jc w:val="left"/>
        <w:rPr>
          <w:rFonts w:ascii="arial" w:hAnsi="arial"/>
          <w:color w:val="B94831"/>
          <w:sz w:val="28"/>
        </w:rPr>
      </w:pPr>
      <w:bookmarkStart w:id="53" w:name="tx494196_cd13"/>
      <w:bookmarkEnd w:id="53"/>
      <w:r>
        <w:rPr>
          <w:rFonts w:ascii="arial" w:hAnsi="arial"/>
          <w:color w:val="B94831"/>
          <w:sz w:val="28"/>
        </w:rPr>
        <w:t xml:space="preserve">Annual Incentive Awards </w:t>
      </w:r>
    </w:p>
    <w:p>
      <w:pPr>
        <w:pStyle w:val="TextBody"/>
        <w:spacing w:before="40" w:after="0"/>
        <w:jc w:val="left"/>
        <w:rPr>
          <w:rFonts w:ascii="arial" w:hAnsi="arial"/>
          <w:sz w:val="20"/>
        </w:rPr>
      </w:pPr>
      <w:r>
        <w:rPr>
          <w:rFonts w:ascii="arial" w:hAnsi="arial"/>
          <w:sz w:val="20"/>
        </w:rPr>
        <w:t xml:space="preserve">We provide an annual, cash-based incentive award opportunity to each of our named executive officers which is based on our companys actual financial performance compared to our annual operating plan for the year and an assessment of individual performance against key strategic objectives. </w:t>
      </w:r>
    </w:p>
    <w:p>
      <w:pPr>
        <w:pStyle w:val="TextBody"/>
        <w:spacing w:before="120" w:after="0"/>
        <w:jc w:val="left"/>
        <w:rPr>
          <w:rFonts w:ascii="arial" w:hAnsi="arial"/>
          <w:sz w:val="20"/>
        </w:rPr>
      </w:pPr>
      <w:r>
        <w:rPr>
          <w:rFonts w:ascii="arial" w:hAnsi="arial"/>
          <w:sz w:val="20"/>
        </w:rPr>
        <w:t xml:space="preserve">Each named executive officers annual incentive award has a target that is expressed as a percentage of base salary. In setting target percentages, the HR Committee considers factors such as an executives position and responsibilities as well as competitive considerations identified through compensation benchmarking.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 the fourth quarter of 2021, senior executives from our businesses met with our CEO, CFO and other corporate executives to discuss the 2022 operating plan, including specific objectives and targets for the plan. In developing our operating plan, management considered various factors related to our operations, products/services, competition, and economic and market conditions in the countries where we operate. Our Board of Directors then met with senior management in the first quarter of 2022 to review, discuss and approve the final version of the plan. </w:t>
      </w:r>
    </w:p>
    <w:p>
      <w:pPr>
        <w:pStyle w:val="TextBody"/>
        <w:spacing w:before="120" w:after="0"/>
        <w:jc w:val="left"/>
        <w:rPr>
          <w:rFonts w:ascii="arial" w:hAnsi="arial"/>
          <w:sz w:val="20"/>
        </w:rPr>
      </w:pPr>
      <w:r>
        <w:rPr>
          <w:rFonts w:ascii="arial" w:hAnsi="arial"/>
          <w:sz w:val="20"/>
        </w:rPr>
        <w:t xml:space="preserve">After meeting with management in the first quarter of 2022, the HR Committee decided that 2022 annual incentive awards for our named executive officers would continue to be weighted as follows based 100% on Thomson Reuters consolidated results. We believe that a bonus pool funded based on total Thomson Reuters performance promotes teamwork and enables enterprise collaboration.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98"/>
        <w:gridCol w:w="122"/>
        <w:gridCol w:w="5485"/>
      </w:tblGrid>
      <w:tr>
        <w:trPr/>
        <w:tc>
          <w:tcPr>
            <w:tcW w:w="459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548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4598" w:type="dxa"/>
            <w:tcBorders>
              <w:right w:val="single" w:sz="2" w:space="0" w:color="AFAFAF"/>
            </w:tcBorders>
            <w:shd w:fill="auto" w:val="clear"/>
            <w:tcMar>
              <w:right w:w="28" w:type="dxa"/>
            </w:tcMar>
            <w:vAlign w:val="center"/>
          </w:tcPr>
          <w:p>
            <w:pPr>
              <w:pStyle w:val="TableContents"/>
              <w:spacing w:before="0" w:after="283"/>
              <w:rPr/>
            </w:pPr>
            <w:r>
              <w:rPr/>
              <w:t> </w:t>
            </w:r>
          </w:p>
        </w:tc>
        <w:tc>
          <w:tcPr>
            <w:tcW w:w="5607" w:type="dxa"/>
            <w:gridSpan w:val="2"/>
            <w:tcBorders/>
            <w:shd w:fill="262626" w:val="clear"/>
            <w:vAlign w:val="center"/>
          </w:tcPr>
          <w:p>
            <w:pPr>
              <w:pStyle w:val="TableContents"/>
              <w:spacing w:before="0" w:after="283"/>
              <w:rPr>
                <w:sz w:val="4"/>
                <w:szCs w:val="4"/>
              </w:rPr>
            </w:pPr>
            <w:r>
              <w:rPr>
                <w:sz w:val="4"/>
                <w:szCs w:val="4"/>
              </w:rPr>
            </w:r>
          </w:p>
        </w:tc>
      </w:tr>
      <w:tr>
        <w:trPr/>
        <w:tc>
          <w:tcPr>
            <w:tcW w:w="4598" w:type="dxa"/>
            <w:tcBorders>
              <w:bottom w:val="single" w:sz="8" w:space="0" w:color="B94831"/>
              <w:right w:val="single" w:sz="2" w:space="0" w:color="AFAFAF"/>
            </w:tcBorders>
            <w:shd w:fill="auto" w:val="clear"/>
            <w:tcMar>
              <w:bottom w:w="28" w:type="dxa"/>
              <w:right w:w="28" w:type="dxa"/>
            </w:tcMar>
            <w:vAlign w:val="bottom"/>
          </w:tcPr>
          <w:p>
            <w:pPr>
              <w:pStyle w:val="TableContents"/>
              <w:rPr/>
            </w:pPr>
            <w:r>
              <w:rPr/>
              <w:t xml:space="preserve">  </w:t>
            </w:r>
          </w:p>
          <w:p>
            <w:pPr>
              <w:pStyle w:val="TableContents"/>
              <w:spacing w:before="0" w:after="0"/>
              <w:rPr/>
            </w:pPr>
            <w:r>
              <w:rPr/>
              <w:t> </w:t>
            </w:r>
          </w:p>
        </w:tc>
        <w:tc>
          <w:tcPr>
            <w:tcW w:w="122" w:type="dxa"/>
            <w:tcBorders>
              <w:bottom w:val="single" w:sz="8" w:space="0" w:color="B94831"/>
            </w:tcBorders>
            <w:shd w:fill="262626" w:val="clear"/>
            <w:tcMar>
              <w:bottom w:w="28" w:type="dxa"/>
            </w:tcMar>
            <w:vAlign w:val="bottom"/>
          </w:tcPr>
          <w:p>
            <w:pPr>
              <w:pStyle w:val="TableContents"/>
              <w:spacing w:before="0" w:after="283"/>
              <w:rPr/>
            </w:pPr>
            <w:r>
              <w:rPr/>
              <w:t>  </w:t>
            </w:r>
          </w:p>
        </w:tc>
        <w:tc>
          <w:tcPr>
            <w:tcW w:w="5485"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Rationale for financial metric</w:t>
            </w:r>
          </w:p>
        </w:tc>
      </w:tr>
      <w:tr>
        <w:trPr>
          <w:trHeight w:val="75" w:hRule="atLeast"/>
        </w:trPr>
        <w:tc>
          <w:tcPr>
            <w:tcW w:w="4598" w:type="dxa"/>
            <w:tcBorders>
              <w:right w:val="single" w:sz="2" w:space="0" w:color="AFAFAF"/>
            </w:tcBorders>
            <w:shd w:fill="auto" w:val="clear"/>
            <w:tcMar>
              <w:right w:w="28" w:type="dxa"/>
            </w:tcMar>
            <w:vAlign w:val="center"/>
          </w:tcPr>
          <w:p>
            <w:pPr>
              <w:pStyle w:val="TableContents"/>
              <w:spacing w:before="0" w:after="283"/>
              <w:rPr/>
            </w:pPr>
            <w:r>
              <w:rPr/>
              <w:t> </w:t>
            </w:r>
          </w:p>
        </w:tc>
        <w:tc>
          <w:tcPr>
            <w:tcW w:w="5607" w:type="dxa"/>
            <w:gridSpan w:val="2"/>
            <w:tcBorders/>
            <w:shd w:fill="auto" w:val="clear"/>
            <w:vAlign w:val="center"/>
          </w:tcPr>
          <w:p>
            <w:pPr>
              <w:pStyle w:val="TableContents"/>
              <w:spacing w:before="0" w:after="283"/>
              <w:rPr>
                <w:sz w:val="4"/>
                <w:szCs w:val="4"/>
              </w:rPr>
            </w:pPr>
            <w:r>
              <w:rPr>
                <w:sz w:val="4"/>
                <w:szCs w:val="4"/>
              </w:rPr>
            </w:r>
          </w:p>
        </w:tc>
      </w:tr>
      <w:tr>
        <w:trPr/>
        <w:tc>
          <w:tcPr>
            <w:tcW w:w="4598" w:type="dxa"/>
            <w:vMerge w:val="restart"/>
            <w:tcBorders>
              <w:bottom w:val="single" w:sz="8" w:space="0" w:color="B94831"/>
              <w:right w:val="single" w:sz="2" w:space="0" w:color="AFAFAF"/>
            </w:tcBorders>
            <w:shd w:fill="auto" w:val="clear"/>
            <w:tcMar>
              <w:bottom w:w="28" w:type="dxa"/>
              <w:right w:w="28" w:type="dxa"/>
            </w:tcMar>
            <w:vAlign w:val="center"/>
          </w:tcPr>
          <w:p>
            <w:pPr>
              <w:pStyle w:val="TableContents"/>
              <w:spacing w:before="0" w:after="283"/>
              <w:jc w:val="center"/>
              <w:rPr/>
            </w:pPr>
            <w:r>
              <w:rPr/>
              <w:drawing>
                <wp:inline distT="0" distB="0" distL="0" distR="0">
                  <wp:extent cx="278130" cy="22733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78130" cy="227330"/>
                          </a:xfrm>
                          <a:prstGeom prst="rect">
                            <a:avLst/>
                          </a:prstGeom>
                        </pic:spPr>
                      </pic:pic>
                    </a:graphicData>
                  </a:graphic>
                </wp:inline>
              </w:drawing>
            </w:r>
            <w:r>
              <w:rPr/>
              <w:t xml:space="preserve"> </w:t>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5485"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arial" w:hAnsi="arial"/>
                <w:sz w:val="16"/>
              </w:rPr>
              <w:t xml:space="preserve">1⁄3 </w:t>
            </w:r>
            <w:r>
              <w:rPr>
                <w:rFonts w:ascii="Arial" w:hAnsi="Arial"/>
                <w:b/>
                <w:sz w:val="16"/>
              </w:rPr>
              <w:t>organic revenue</w:t>
            </w:r>
          </w:p>
          <w:p>
            <w:pPr>
              <w:pStyle w:val="TableContents"/>
              <w:spacing w:before="0" w:after="20"/>
              <w:rPr>
                <w:rFonts w:ascii="arial" w:hAnsi="arial"/>
                <w:sz w:val="16"/>
              </w:rPr>
            </w:pPr>
            <w:r>
              <w:rPr>
                <w:rFonts w:ascii="arial" w:hAnsi="arial"/>
                <w:sz w:val="16"/>
              </w:rPr>
              <w:t>We use organic revenues because it measures growth of our existing businesses at constant currency (or excluding the effects of currency), and excludes the distortive impacts of acquisitions and dispositions from not owning a business in both comparable periods. Organic revenues are generated from the sale of products and services, including recurring revenues (subscriptions), transactions revenues (volume-based fees, software licenses, and professional service fees), and Print revenues. This performance metric is important to us because is serves as a measure of our ability to grow our business over the long term.</w:t>
            </w:r>
          </w:p>
        </w:tc>
      </w:tr>
      <w:tr>
        <w:trPr/>
        <w:tc>
          <w:tcPr>
            <w:tcW w:w="4598" w:type="dxa"/>
            <w:vMerge w:val="continue"/>
            <w:tcBorders>
              <w:bottom w:val="single" w:sz="8" w:space="0" w:color="B94831"/>
              <w:right w:val="single" w:sz="2" w:space="0" w:color="AFAFAF"/>
            </w:tcBorders>
            <w:shd w:fill="auto" w:val="clear"/>
            <w:tcMar>
              <w:bottom w:w="28" w:type="dxa"/>
              <w:right w:w="28" w:type="dxa"/>
            </w:tcMar>
            <w:vAlign w:val="center"/>
          </w:tcPr>
          <w:p>
            <w:pPr>
              <w:pStyle w:val="Normal"/>
              <w:rPr/>
            </w:pPr>
            <w:r>
              <w:rPr/>
            </w:r>
          </w:p>
        </w:tc>
        <w:tc>
          <w:tcPr>
            <w:tcW w:w="122" w:type="dxa"/>
            <w:tcBorders>
              <w:bottom w:val="single" w:sz="2" w:space="0" w:color="AFAFAF"/>
            </w:tcBorders>
            <w:shd w:fill="auto" w:val="clear"/>
            <w:tcMar>
              <w:bottom w:w="28" w:type="dxa"/>
            </w:tcMar>
            <w:vAlign w:val="bottom"/>
          </w:tcPr>
          <w:p>
            <w:pPr>
              <w:pStyle w:val="TableContents"/>
              <w:spacing w:before="0" w:after="283"/>
              <w:rPr/>
            </w:pPr>
            <w:r>
              <w:rPr/>
              <w:t>  </w:t>
            </w:r>
          </w:p>
        </w:tc>
        <w:tc>
          <w:tcPr>
            <w:tcW w:w="5485" w:type="dxa"/>
            <w:tcBorders>
              <w:bottom w:val="single" w:sz="2" w:space="0" w:color="AFAFAF"/>
            </w:tcBorders>
            <w:shd w:fill="auto" w:val="clear"/>
            <w:tcMar>
              <w:bottom w:w="60" w:type="dxa"/>
            </w:tcMar>
            <w:vAlign w:val="bottom"/>
          </w:tcPr>
          <w:p>
            <w:pPr>
              <w:pStyle w:val="TableContents"/>
              <w:spacing w:before="0" w:after="0"/>
              <w:rPr>
                <w:rFonts w:ascii="arial" w:hAnsi="arial"/>
                <w:sz w:val="16"/>
              </w:rPr>
            </w:pPr>
            <w:r>
              <w:rPr>
                <w:rFonts w:ascii="arial" w:hAnsi="arial"/>
                <w:sz w:val="16"/>
              </w:rPr>
              <w:t xml:space="preserve">1⁄3 </w:t>
            </w:r>
            <w:r>
              <w:rPr>
                <w:rFonts w:ascii="Arial" w:hAnsi="Arial"/>
                <w:b/>
                <w:sz w:val="16"/>
              </w:rPr>
              <w:t>adjusted EBITDA less accrued capital expenditures</w:t>
            </w:r>
          </w:p>
          <w:p>
            <w:pPr>
              <w:pStyle w:val="TableContents"/>
              <w:spacing w:before="0" w:after="20"/>
              <w:rPr>
                <w:rFonts w:ascii="arial" w:hAnsi="arial"/>
                <w:sz w:val="16"/>
              </w:rPr>
            </w:pPr>
            <w:r>
              <w:rPr>
                <w:rFonts w:ascii="arial" w:hAnsi="arial"/>
                <w:sz w:val="16"/>
              </w:rPr>
              <w:t>We use adjusted EBITDA less accrued capital expenditures (referred to internally as cash OI) because it provides a basis for evaluating the operating profitability and capital intensity of our business in a single measure. This measure captures investments regardless of whether they are expensed or capitalized. This performance metric is important to us because we focus on spending and investing in ways that are designed to enable our long-term growth potential.</w:t>
            </w:r>
          </w:p>
        </w:tc>
      </w:tr>
      <w:tr>
        <w:trPr/>
        <w:tc>
          <w:tcPr>
            <w:tcW w:w="4598" w:type="dxa"/>
            <w:vMerge w:val="continue"/>
            <w:tcBorders>
              <w:bottom w:val="single" w:sz="8" w:space="0" w:color="B94831"/>
              <w:right w:val="single" w:sz="2" w:space="0" w:color="AFAFAF"/>
            </w:tcBorders>
            <w:shd w:fill="auto" w:val="clear"/>
            <w:tcMar>
              <w:bottom w:w="28" w:type="dxa"/>
              <w:right w:w="28" w:type="dxa"/>
            </w:tcMar>
            <w:vAlign w:val="center"/>
          </w:tcPr>
          <w:p>
            <w:pPr>
              <w:pStyle w:val="Normal"/>
              <w:rPr/>
            </w:pPr>
            <w:r>
              <w:rPr/>
            </w:r>
          </w:p>
        </w:tc>
        <w:tc>
          <w:tcPr>
            <w:tcW w:w="122" w:type="dxa"/>
            <w:tcBorders>
              <w:bottom w:val="single" w:sz="8" w:space="0" w:color="B94831"/>
            </w:tcBorders>
            <w:shd w:fill="auto" w:val="clear"/>
            <w:tcMar>
              <w:bottom w:w="28" w:type="dxa"/>
            </w:tcMar>
            <w:vAlign w:val="bottom"/>
          </w:tcPr>
          <w:p>
            <w:pPr>
              <w:pStyle w:val="TableContents"/>
              <w:spacing w:before="0" w:after="283"/>
              <w:rPr/>
            </w:pPr>
            <w:r>
              <w:rPr/>
              <w:t>  </w:t>
            </w:r>
          </w:p>
        </w:tc>
        <w:tc>
          <w:tcPr>
            <w:tcW w:w="5485" w:type="dxa"/>
            <w:tcBorders>
              <w:bottom w:val="single" w:sz="8" w:space="0" w:color="B94831"/>
            </w:tcBorders>
            <w:shd w:fill="auto" w:val="clear"/>
            <w:tcMar>
              <w:bottom w:w="60" w:type="dxa"/>
            </w:tcMar>
            <w:vAlign w:val="bottom"/>
          </w:tcPr>
          <w:p>
            <w:pPr>
              <w:pStyle w:val="TableContents"/>
              <w:spacing w:before="0" w:after="0"/>
              <w:rPr>
                <w:rFonts w:ascii="arial" w:hAnsi="arial"/>
                <w:sz w:val="16"/>
              </w:rPr>
            </w:pPr>
            <w:r>
              <w:rPr>
                <w:rFonts w:ascii="arial" w:hAnsi="arial"/>
                <w:sz w:val="16"/>
              </w:rPr>
              <w:t xml:space="preserve">1⁄3 </w:t>
            </w:r>
            <w:r>
              <w:rPr>
                <w:rFonts w:ascii="Arial" w:hAnsi="Arial"/>
                <w:b/>
                <w:sz w:val="16"/>
              </w:rPr>
              <w:t>organic book of business or ACV</w:t>
            </w:r>
          </w:p>
          <w:p>
            <w:pPr>
              <w:pStyle w:val="TableContents"/>
              <w:spacing w:before="0" w:after="20"/>
              <w:rPr>
                <w:rFonts w:ascii="arial" w:hAnsi="arial"/>
                <w:sz w:val="16"/>
              </w:rPr>
            </w:pPr>
            <w:r>
              <w:rPr>
                <w:rFonts w:ascii="arial" w:hAnsi="arial"/>
                <w:sz w:val="16"/>
              </w:rPr>
              <w:t>We use organic book of business because it is focused on recurring or subscription-based revenue that customers have contractually agreed to for a period of time, generally 12 consecutive months. This performance metric is important to us because increasing customer relationships that generate recurring revenue and maximizing customer retention are key strategic goals for driving growth.</w:t>
            </w:r>
          </w:p>
        </w:tc>
      </w:tr>
    </w:tbl>
    <w:p>
      <w:pPr>
        <w:pStyle w:val="TextBody"/>
        <w:spacing w:before="120" w:after="0"/>
        <w:jc w:val="left"/>
        <w:rPr>
          <w:rFonts w:ascii="arial" w:hAnsi="arial"/>
          <w:sz w:val="20"/>
        </w:rPr>
      </w:pPr>
      <w:r>
        <w:rPr>
          <w:rFonts w:ascii="arial" w:hAnsi="arial"/>
          <w:sz w:val="20"/>
        </w:rPr>
        <w:t xml:space="preserve">The HR Committee believes that these shorter term financial metrics complement metrics reflected in long-term incentive awards and that the addition of an individual performance adjustment tied to strategic objectives provides the appropriate balance between delivering financial results and focusing on key business and functional priorities that position the organization for long-term success. </w:t>
      </w:r>
    </w:p>
    <w:p>
      <w:pPr>
        <w:pStyle w:val="TextBody"/>
        <w:spacing w:before="120" w:after="0"/>
        <w:jc w:val="left"/>
        <w:rPr>
          <w:rFonts w:ascii="arial" w:hAnsi="arial"/>
          <w:sz w:val="20"/>
        </w:rPr>
      </w:pPr>
      <w:r>
        <w:rPr>
          <w:rFonts w:ascii="arial" w:hAnsi="arial"/>
          <w:sz w:val="20"/>
        </w:rPr>
        <w:t xml:space="preserve">Potential payouts for 2022 annual incentive awards ranged from 0% to 200% of the target award depending on financial performance against the goals set by the HR Committee at the beginning of the year. </w:t>
      </w:r>
    </w:p>
    <w:p>
      <w:pPr>
        <w:pStyle w:val="TextBody"/>
        <w:spacing w:before="120" w:after="0"/>
        <w:jc w:val="left"/>
        <w:rPr>
          <w:rFonts w:ascii="arial" w:hAnsi="arial"/>
          <w:sz w:val="20"/>
        </w:rPr>
      </w:pPr>
      <w:r>
        <w:rPr>
          <w:rFonts w:ascii="arial" w:hAnsi="arial"/>
          <w:sz w:val="20"/>
        </w:rPr>
        <w:t xml:space="preserve">As part of the HR Committees design principles for 2022 annual incentive awards, targets and actual results were evaluated on a constant currency basis. In addition, in determining performance, guiding principles approved by the HR Committee for annual incentive awards contemplated adjustments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7"/>
        <w:gridCol w:w="109"/>
        <w:gridCol w:w="9651"/>
      </w:tblGrid>
      <w:tr>
        <w:trPr/>
        <w:tc>
          <w:tcPr>
            <w:tcW w:w="208"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1" w:type="dxa"/>
            <w:tcBorders/>
            <w:shd w:fill="auto" w:val="clear"/>
          </w:tcPr>
          <w:p>
            <w:pPr>
              <w:pStyle w:val="TableContents"/>
              <w:spacing w:before="0" w:after="0"/>
              <w:jc w:val="left"/>
              <w:rPr>
                <w:rFonts w:ascii="arial" w:hAnsi="arial"/>
                <w:sz w:val="20"/>
              </w:rPr>
            </w:pPr>
            <w:r>
              <w:rPr>
                <w:rFonts w:ascii="arial" w:hAnsi="arial"/>
                <w:sz w:val="20"/>
              </w:rPr>
              <w:t xml:space="preserve">Acquisitions and disposals not in our companys 2022 operating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242"/>
        <w:gridCol w:w="110"/>
        <w:gridCol w:w="9644"/>
      </w:tblGrid>
      <w:tr>
        <w:trPr/>
        <w:tc>
          <w:tcPr>
            <w:tcW w:w="209"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4" w:type="dxa"/>
            <w:tcBorders/>
            <w:shd w:fill="auto" w:val="clear"/>
          </w:tcPr>
          <w:p>
            <w:pPr>
              <w:pStyle w:val="TableContents"/>
              <w:spacing w:before="0" w:after="0"/>
              <w:jc w:val="left"/>
              <w:rPr>
                <w:rFonts w:ascii="arial" w:hAnsi="arial"/>
                <w:sz w:val="20"/>
              </w:rPr>
            </w:pPr>
            <w:r>
              <w:rPr>
                <w:rFonts w:ascii="arial" w:hAnsi="arial"/>
                <w:sz w:val="20"/>
              </w:rPr>
              <w:t xml:space="preserve">One-time charges (above a specified financial threshold) that were not foreseen in the 2022 operating plan and where the related savings are outside of the plan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4"/>
        <w:gridCol w:w="108"/>
        <w:gridCol w:w="9656"/>
      </w:tblGrid>
      <w:tr>
        <w:trPr/>
        <w:tc>
          <w:tcPr>
            <w:tcW w:w="207"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6" w:type="dxa"/>
            <w:tcBorders/>
            <w:shd w:fill="auto" w:val="clear"/>
          </w:tcPr>
          <w:p>
            <w:pPr>
              <w:pStyle w:val="TableContents"/>
              <w:spacing w:before="0" w:after="0"/>
              <w:jc w:val="left"/>
              <w:rPr>
                <w:rFonts w:ascii="arial" w:hAnsi="arial"/>
                <w:sz w:val="20"/>
              </w:rPr>
            </w:pPr>
            <w:r>
              <w:rPr>
                <w:rFonts w:ascii="arial" w:hAnsi="arial"/>
                <w:sz w:val="20"/>
              </w:rPr>
              <w:t xml:space="preserve">Extraordinary events which were outside of managements control to the extent that the actual impact differed from original plan assumptions (i.e., the regulatory/tax environment and significant one-time transactions);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245"/>
        <w:gridCol w:w="111"/>
        <w:gridCol w:w="9640"/>
      </w:tblGrid>
      <w:tr>
        <w:trPr/>
        <w:tc>
          <w:tcPr>
            <w:tcW w:w="209" w:type="dxa"/>
            <w:tcBorders/>
            <w:shd w:fill="auto" w:val="clear"/>
            <w:vAlign w:val="center"/>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111" w:type="dxa"/>
            <w:tcBorders/>
            <w:shd w:fill="auto" w:val="clear"/>
          </w:tcPr>
          <w:p>
            <w:pPr>
              <w:pStyle w:val="TableContents"/>
              <w:spacing w:before="0" w:after="283"/>
              <w:rPr/>
            </w:pPr>
            <w:r>
              <w:rPr/>
              <w:t> </w:t>
            </w:r>
          </w:p>
        </w:tc>
        <w:tc>
          <w:tcPr>
            <w:tcW w:w="9640" w:type="dxa"/>
            <w:tcBorders/>
            <w:shd w:fill="auto" w:val="clear"/>
          </w:tcPr>
          <w:p>
            <w:pPr>
              <w:pStyle w:val="TableContents"/>
              <w:spacing w:before="0" w:after="0"/>
              <w:jc w:val="left"/>
              <w:rPr>
                <w:rFonts w:ascii="arial" w:hAnsi="arial"/>
                <w:sz w:val="20"/>
              </w:rPr>
            </w:pPr>
            <w:r>
              <w:rPr>
                <w:rFonts w:ascii="arial" w:hAnsi="arial"/>
                <w:sz w:val="20"/>
              </w:rPr>
              <w:t xml:space="preserve">Changes in accounting practices to make figures comparable to the original 2022 operating plan.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 January 2023, the HR Committee determined the extent to which our 2022 annual performance targets were met by comparing our unaudited financial results to our performance goals. 2022 results were evaluated using foreign currency exchange rates that were used to prepare our 2022 annual operating plan. This has been a longstanding policy that has consistently been applied to our annual incentive awards. </w:t>
      </w:r>
    </w:p>
    <w:p>
      <w:pPr>
        <w:pStyle w:val="TextBody"/>
        <w:spacing w:before="120" w:after="0"/>
        <w:jc w:val="left"/>
        <w:rPr>
          <w:rFonts w:ascii="arial" w:hAnsi="arial"/>
          <w:sz w:val="20"/>
        </w:rPr>
      </w:pPr>
      <w:r>
        <w:rPr>
          <w:rFonts w:ascii="arial" w:hAnsi="arial"/>
          <w:sz w:val="20"/>
        </w:rPr>
        <w:t xml:space="preserve">The following table sets forth information regarding our 2022 minimum, target, maximum and actual performance for the three financial metrics reflected in annual incentive awards granted to our named executive officers, which had a payout of approximately 120% of target. After factoring in the 2022 payout, our five-year average payout is 123% of target. </w:t>
      </w:r>
    </w:p>
    <w:p>
      <w:pPr>
        <w:pStyle w:val="TextBody"/>
        <w:spacing w:before="120" w:after="0"/>
        <w:jc w:val="left"/>
        <w:rPr>
          <w:rFonts w:ascii="arial" w:hAnsi="arial"/>
          <w:sz w:val="20"/>
        </w:rPr>
      </w:pPr>
      <w:r>
        <w:rPr>
          <w:rFonts w:ascii="arial" w:hAnsi="arial"/>
          <w:sz w:val="20"/>
        </w:rPr>
        <w:t xml:space="preserve">2022 annual incentive award targets included the expected impact of the Change Program, which created a direct link between our strategic priorities and our incentive award funding. 2022 targets for organic revenues, organic book of business and adjusted EBITDA less accrued capital expenditures were higher than full-year 2021 actual results, in support of our growth initiatives. For 2022 awards, performance for organic revenue growth and adjusted EBITDA less accrued capital expenditures had to be above threshold in order for participants to earn a payout. In addition, if organic revenues or adjusted EBITDA less accrued capital expenditures results did not achieve an applicable minimum growth hurdle, payout for the other metric was capped at 100%.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4675" cy="15811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574675" cy="158115"/>
                    </a:xfrm>
                    <a:prstGeom prst="rect">
                      <a:avLst/>
                    </a:prstGeom>
                  </pic:spPr>
                </pic:pic>
              </a:graphicData>
            </a:graphic>
          </wp:inline>
        </w:drawing>
      </w:r>
      <w:r>
        <w:rPr/>
        <w:t xml:space="preserve"> </w:t>
      </w:r>
    </w:p>
    <w:p>
      <w:pPr>
        <w:pStyle w:val="TextBody"/>
        <w:spacing w:before="120" w:after="0"/>
        <w:jc w:val="left"/>
        <w:rPr>
          <w:rFonts w:ascii="arial" w:hAnsi="arial"/>
          <w:sz w:val="20"/>
        </w:rPr>
      </w:pPr>
      <w:r>
        <w:rPr>
          <w:rFonts w:ascii="arial" w:hAnsi="arial"/>
          <w:sz w:val="20"/>
        </w:rPr>
        <w:t xml:space="preserve">In 2022, Thomson Reuters achieved 6% organic revenue growth. Thomson Reuters also completed its two-year Change Program, providing it with a strong foundation for sustainable growth in the future. Organic revenue growth benefited from growth in recurring revenues and transactions revenues. The actual performance results indicated in the table above are not directly comparable to similar financial measures that we disclose in our 2022 annual report because they are based on our internal operating plan. </w:t>
      </w:r>
    </w:p>
    <w:p>
      <w:pPr>
        <w:pStyle w:val="TextBody"/>
        <w:spacing w:before="120" w:after="0"/>
        <w:jc w:val="left"/>
        <w:rPr>
          <w:rFonts w:ascii="arial" w:hAnsi="arial"/>
          <w:sz w:val="20"/>
        </w:rPr>
      </w:pPr>
      <w:r>
        <w:rPr>
          <w:rFonts w:ascii="arial" w:hAnsi="arial"/>
          <w:sz w:val="20"/>
        </w:rPr>
        <w:t xml:space="preserve">We believe that annual incentive awards are most effective when they are meaningful and clearly differentiate based on individual contributions to business results. As a result, annual incentive award payouts for our named executive officers (other than the CEO) are subject to adjustment based on individual performance and their payouts may be higher or lower than the funded percentage based on an assessment of their individual financial and strategic results and demonstration of Thomson Reuters mindsets and behaviors. To further increase the link between pay for performance, the HR Committee embedded strategic priorities into individual performance evaluations for 2022 awards to increase and formalize the linkage between participants impact on our strategic priorities and their award decisions. </w:t>
      </w:r>
    </w:p>
    <w:p>
      <w:pPr>
        <w:pStyle w:val="TextBody"/>
        <w:spacing w:before="120" w:after="0"/>
        <w:jc w:val="left"/>
        <w:rPr>
          <w:rFonts w:ascii="arial" w:hAnsi="arial"/>
          <w:sz w:val="20"/>
        </w:rPr>
      </w:pPr>
      <w:r>
        <w:rPr>
          <w:rFonts w:ascii="arial" w:hAnsi="arial"/>
          <w:sz w:val="20"/>
        </w:rPr>
        <w:t xml:space="preserve">The CEO and his direct reports had the following strategic priorities embedded in their 2022 performance assessments: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9"/>
        <w:gridCol w:w="109"/>
        <w:gridCol w:w="9650"/>
      </w:tblGrid>
      <w:tr>
        <w:trPr/>
        <w:tc>
          <w:tcPr>
            <w:tcW w:w="2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0" w:type="dxa"/>
            <w:tcBorders/>
            <w:shd w:fill="auto" w:val="clear"/>
          </w:tcPr>
          <w:p>
            <w:pPr>
              <w:pStyle w:val="TableContents"/>
              <w:spacing w:before="0" w:after="0"/>
              <w:jc w:val="left"/>
              <w:rPr>
                <w:rFonts w:ascii="arial" w:hAnsi="arial"/>
                <w:sz w:val="20"/>
              </w:rPr>
            </w:pPr>
            <w:r>
              <w:rPr>
                <w:rFonts w:ascii="arial" w:hAnsi="arial"/>
                <w:i/>
                <w:sz w:val="20"/>
              </w:rPr>
              <w:t>Customer obsession</w:t>
            </w:r>
            <w:r>
              <w:rPr>
                <w:rFonts w:ascii="arial" w:hAnsi="arial"/>
                <w:sz w:val="20"/>
              </w:rPr>
              <w:t xml:space="preserve">  demonstrating a deep understanding of the customer and prioritizing solving customer needs over internal needs;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1"/>
        <w:gridCol w:w="108"/>
        <w:gridCol w:w="9659"/>
      </w:tblGrid>
      <w:tr>
        <w:trPr/>
        <w:tc>
          <w:tcPr>
            <w:tcW w:w="207" w:type="dxa"/>
            <w:tcBorders/>
            <w:shd w:fill="auto" w:val="clear"/>
            <w:vAlign w:val="center"/>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9" w:type="dxa"/>
            <w:tcBorders/>
            <w:shd w:fill="auto" w:val="clear"/>
          </w:tcPr>
          <w:p>
            <w:pPr>
              <w:pStyle w:val="TableContents"/>
              <w:spacing w:before="0" w:after="0"/>
              <w:jc w:val="left"/>
              <w:rPr>
                <w:rFonts w:ascii="arial" w:hAnsi="arial"/>
                <w:sz w:val="20"/>
              </w:rPr>
            </w:pPr>
            <w:r>
              <w:rPr>
                <w:rFonts w:ascii="arial" w:hAnsi="arial"/>
                <w:i/>
                <w:sz w:val="20"/>
              </w:rPr>
              <w:t>Talent goals</w:t>
            </w:r>
            <w:r>
              <w:rPr>
                <w:rFonts w:ascii="arial" w:hAnsi="arial"/>
                <w:sz w:val="20"/>
              </w:rPr>
              <w:t xml:space="preserve">  building a world-class talent and a high performance, inclusive culture in which team members understand their role, know their performance and objectives deliver impact;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3"/>
        <w:gridCol w:w="108"/>
        <w:gridCol w:w="9657"/>
      </w:tblGrid>
      <w:tr>
        <w:trPr/>
        <w:tc>
          <w:tcPr>
            <w:tcW w:w="207" w:type="dxa"/>
            <w:tcBorders/>
            <w:shd w:fill="auto" w:val="clear"/>
            <w:vAlign w:val="center"/>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7" w:type="dxa"/>
            <w:tcBorders/>
            <w:shd w:fill="auto" w:val="clear"/>
          </w:tcPr>
          <w:p>
            <w:pPr>
              <w:pStyle w:val="TableContents"/>
              <w:spacing w:before="0" w:after="0"/>
              <w:jc w:val="left"/>
              <w:rPr>
                <w:rFonts w:ascii="arial" w:hAnsi="arial"/>
                <w:i/>
                <w:sz w:val="20"/>
              </w:rPr>
            </w:pPr>
            <w:r>
              <w:rPr>
                <w:rFonts w:ascii="arial" w:hAnsi="arial"/>
                <w:i/>
                <w:sz w:val="20"/>
              </w:rPr>
              <w:t xml:space="preserve">Contribution to specified shared priorities. </w:t>
            </w:r>
          </w:p>
        </w:tc>
      </w:tr>
    </w:tbl>
    <w:p>
      <w:pPr>
        <w:pStyle w:val="TextBody"/>
        <w:spacing w:before="120" w:after="0"/>
        <w:jc w:val="left"/>
        <w:rPr>
          <w:rFonts w:ascii="arial" w:hAnsi="arial"/>
          <w:sz w:val="20"/>
        </w:rPr>
      </w:pPr>
      <w:r>
        <w:rPr>
          <w:rFonts w:ascii="arial" w:hAnsi="arial"/>
          <w:sz w:val="20"/>
        </w:rPr>
        <w:t xml:space="preserve">For 2022 annual incentive award payouts to the named executive officers (other than the CEO), Steve Hasker initially assessed each individuals performance and provided recommendations to the HR Committee. In February 2023, the HR Committee approved individual annual incentive award payouts to each of our named executive officers, which are discussed later in this compensation discussion and analysis.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bookmarkStart w:id="54" w:name="tx494196_cd14"/>
      <w:bookmarkEnd w:id="54"/>
      <w:r>
        <w:rPr>
          <w:rFonts w:ascii="arial" w:hAnsi="arial"/>
          <w:color w:val="B94831"/>
          <w:sz w:val="28"/>
        </w:rPr>
        <w:t xml:space="preserve">Long-term Incentive Awards </w:t>
      </w:r>
    </w:p>
    <w:p>
      <w:pPr>
        <w:pStyle w:val="TextBody"/>
        <w:spacing w:before="40" w:after="0"/>
        <w:jc w:val="left"/>
        <w:rPr>
          <w:rFonts w:ascii="arial" w:hAnsi="arial"/>
          <w:sz w:val="20"/>
        </w:rPr>
      </w:pPr>
      <w:r>
        <w:rPr>
          <w:rFonts w:ascii="arial" w:hAnsi="arial"/>
          <w:sz w:val="20"/>
        </w:rPr>
        <w:t xml:space="preserve">Each named executive officers long-term incentive award has a target that is expressed as a percentage of base salary. In setting target percentages, the HR Committee considers factors such as an executives position and responsibilities as well as competitive considerations. The HR Committee may decide to increase or decrease an executive officers target from year to year based on an assessment of the executives prior-year performance and expected contribution to future financial and strategic results. </w:t>
      </w:r>
    </w:p>
    <w:p>
      <w:pPr>
        <w:pStyle w:val="TextBody"/>
        <w:spacing w:before="120" w:after="0"/>
        <w:jc w:val="left"/>
        <w:rPr>
          <w:rFonts w:ascii="arial" w:hAnsi="arial"/>
          <w:sz w:val="20"/>
        </w:rPr>
      </w:pPr>
      <w:r>
        <w:rPr>
          <w:rFonts w:ascii="arial" w:hAnsi="arial"/>
          <w:sz w:val="20"/>
        </w:rPr>
        <w:t xml:space="preserve">In 2022, we divided long-term incentive award values for our named executive officers among 50% PRSUs, 25% TRSUs and 25% stock options. This blend was intended to create balance in our long-term incentive awards by ensuring that the program is aligned to shareholder interests, financially efficient, strongly drives executive outcomes with the companys strategic and business objectives and promotes retention of key talent. The value of PRSUs, TRSUs and stock options is dependent on our companys share price. </w:t>
      </w:r>
    </w:p>
    <w:p>
      <w:pPr>
        <w:pStyle w:val="TextBody"/>
        <w:spacing w:before="120" w:after="0"/>
        <w:jc w:val="left"/>
        <w:rPr>
          <w:rFonts w:ascii="arial" w:hAnsi="arial"/>
          <w:sz w:val="20"/>
        </w:rPr>
      </w:pPr>
      <w:r>
        <w:rPr>
          <w:rFonts w:ascii="arial" w:hAnsi="arial"/>
          <w:sz w:val="20"/>
        </w:rPr>
        <w:t xml:space="preserve">The table below sets forth information regarding long-term incentive awards that recently vested in March 2023 and long-term incentive awards that are outstanding as of the date of this circular.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2363"/>
        <w:gridCol w:w="121"/>
        <w:gridCol w:w="4332"/>
        <w:gridCol w:w="208"/>
        <w:gridCol w:w="1405"/>
        <w:gridCol w:w="208"/>
        <w:gridCol w:w="1465"/>
      </w:tblGrid>
      <w:tr>
        <w:trPr/>
        <w:tc>
          <w:tcPr>
            <w:tcW w:w="236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33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363" w:type="dxa"/>
            <w:tcBorders>
              <w:top w:val="single" w:sz="2" w:space="0" w:color="000000"/>
              <w:left w:val="single" w:sz="2" w:space="0" w:color="FFFFFF"/>
            </w:tcBorders>
            <w:shd w:fill="262626" w:val="clear"/>
            <w:tcMar>
              <w:top w:w="28" w:type="dxa"/>
              <w:left w:w="160" w:type="dxa"/>
            </w:tcMar>
            <w:vAlign w:val="center"/>
          </w:tcPr>
          <w:p>
            <w:pPr>
              <w:pStyle w:val="TableContents"/>
              <w:spacing w:before="0" w:after="283"/>
              <w:rPr/>
            </w:pPr>
            <w:r>
              <w:rPr/>
              <w:t> </w:t>
            </w:r>
          </w:p>
        </w:tc>
        <w:tc>
          <w:tcPr>
            <w:tcW w:w="4453" w:type="dxa"/>
            <w:gridSpan w:val="2"/>
            <w:tcBorders>
              <w:top w:val="single" w:sz="2" w:space="0" w:color="000000"/>
              <w:left w:val="single" w:sz="2" w:space="0" w:color="FFFFFF"/>
            </w:tcBorders>
            <w:shd w:fill="262626" w:val="clear"/>
            <w:tcMar>
              <w:top w:w="28" w:type="dxa"/>
              <w:left w:w="28" w:type="dxa"/>
            </w:tcMar>
            <w:vAlign w:val="center"/>
          </w:tcPr>
          <w:p>
            <w:pPr>
              <w:pStyle w:val="TableContents"/>
              <w:spacing w:before="0" w:after="283"/>
              <w:rPr/>
            </w:pPr>
            <w:r>
              <w:rPr/>
              <w:t> </w:t>
            </w:r>
          </w:p>
        </w:tc>
        <w:tc>
          <w:tcPr>
            <w:tcW w:w="1613" w:type="dxa"/>
            <w:gridSpan w:val="2"/>
            <w:tcBorders>
              <w:top w:val="single" w:sz="2" w:space="0" w:color="000000"/>
              <w:left w:val="single" w:sz="2" w:space="0" w:color="FFFFFF"/>
            </w:tcBorders>
            <w:shd w:fill="262626" w:val="clear"/>
            <w:tcMar>
              <w:top w:w="28" w:type="dxa"/>
              <w:left w:w="28" w:type="dxa"/>
            </w:tcMar>
            <w:vAlign w:val="center"/>
          </w:tcPr>
          <w:p>
            <w:pPr>
              <w:pStyle w:val="TableContents"/>
              <w:spacing w:before="0" w:after="283"/>
              <w:rPr/>
            </w:pPr>
            <w:r>
              <w:rPr/>
              <w:t> </w:t>
            </w:r>
          </w:p>
        </w:tc>
        <w:tc>
          <w:tcPr>
            <w:tcW w:w="1673" w:type="dxa"/>
            <w:gridSpan w:val="2"/>
            <w:tcBorders>
              <w:top w:val="single" w:sz="2" w:space="0" w:color="000000"/>
              <w:left w:val="single" w:sz="2" w:space="0" w:color="FFFFFF"/>
            </w:tcBorders>
            <w:shd w:fill="262626" w:val="clear"/>
            <w:tcMar>
              <w:top w:w="28" w:type="dxa"/>
              <w:left w:w="28" w:type="dxa"/>
            </w:tcMar>
            <w:vAlign w:val="center"/>
          </w:tcPr>
          <w:p>
            <w:pPr>
              <w:pStyle w:val="TableContents"/>
              <w:spacing w:before="0" w:after="283"/>
              <w:rPr/>
            </w:pPr>
            <w:r>
              <w:rPr/>
              <w:t> </w:t>
            </w:r>
          </w:p>
        </w:tc>
      </w:tr>
      <w:tr>
        <w:trPr/>
        <w:tc>
          <w:tcPr>
            <w:tcW w:w="2363" w:type="dxa"/>
            <w:tcBorders>
              <w:left w:val="single" w:sz="2" w:space="0" w:color="FFFFFF"/>
              <w:bottom w:val="single" w:sz="8" w:space="0" w:color="B94831"/>
            </w:tcBorders>
            <w:shd w:fill="262626" w:val="clear"/>
            <w:tcMar>
              <w:left w:w="160" w:type="dxa"/>
              <w:bottom w:w="60" w:type="dxa"/>
            </w:tcMar>
          </w:tcPr>
          <w:p>
            <w:pPr>
              <w:pStyle w:val="TableContents"/>
              <w:spacing w:before="0" w:after="283"/>
              <w:jc w:val="center"/>
              <w:rPr>
                <w:rFonts w:ascii="Arial" w:hAnsi="Arial"/>
                <w:b/>
                <w:color w:val="FFFFFF"/>
              </w:rPr>
            </w:pPr>
            <w:r>
              <w:rPr>
                <w:rFonts w:ascii="Arial" w:hAnsi="Arial"/>
                <w:b/>
                <w:color w:val="FFFFFF"/>
              </w:rPr>
              <w:t>Performance  Period</w:t>
            </w:r>
          </w:p>
        </w:tc>
        <w:tc>
          <w:tcPr>
            <w:tcW w:w="121"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4332" w:type="dxa"/>
            <w:tcBorders>
              <w:bottom w:val="single" w:sz="8" w:space="0" w:color="B94831"/>
            </w:tcBorders>
            <w:shd w:fill="262626" w:val="clear"/>
            <w:tcMar>
              <w:bottom w:w="60" w:type="dxa"/>
            </w:tcMar>
          </w:tcPr>
          <w:p>
            <w:pPr>
              <w:pStyle w:val="TableContents"/>
              <w:spacing w:before="0" w:after="283"/>
              <w:rPr>
                <w:rFonts w:ascii="Arial" w:hAnsi="Arial"/>
                <w:b/>
                <w:color w:val="FFFFFF"/>
              </w:rPr>
            </w:pPr>
            <w:r>
              <w:rPr>
                <w:rFonts w:ascii="Arial" w:hAnsi="Arial"/>
                <w:b/>
                <w:color w:val="FFFFFF"/>
              </w:rPr>
              <w:t>Long-Term Incentive Awards  Executive Officers</w:t>
            </w:r>
          </w:p>
        </w:tc>
        <w:tc>
          <w:tcPr>
            <w:tcW w:w="208"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405" w:type="dxa"/>
            <w:tcBorders>
              <w:bottom w:val="single" w:sz="8" w:space="0" w:color="B94831"/>
            </w:tcBorders>
            <w:shd w:fill="262626" w:val="clear"/>
            <w:tcMar>
              <w:bottom w:w="60" w:type="dxa"/>
            </w:tcMar>
          </w:tcPr>
          <w:p>
            <w:pPr>
              <w:pStyle w:val="TableContents"/>
              <w:spacing w:before="0" w:after="0"/>
              <w:jc w:val="center"/>
              <w:rPr>
                <w:rFonts w:ascii="Arial" w:hAnsi="Arial"/>
                <w:b/>
                <w:color w:val="FFFFFF"/>
                <w:sz w:val="17"/>
              </w:rPr>
            </w:pPr>
            <w:r>
              <w:rPr>
                <w:rFonts w:ascii="Arial" w:hAnsi="Arial"/>
                <w:b/>
                <w:color w:val="FFFFFF"/>
                <w:sz w:val="17"/>
              </w:rPr>
              <w:t>Vesting Date</w:t>
            </w:r>
          </w:p>
          <w:p>
            <w:pPr>
              <w:pStyle w:val="TableContents"/>
              <w:spacing w:before="0" w:after="20"/>
              <w:jc w:val="center"/>
              <w:rPr>
                <w:rFonts w:ascii="Arial" w:hAnsi="Arial"/>
                <w:b/>
                <w:color w:val="FFFFFF"/>
                <w:sz w:val="17"/>
              </w:rPr>
            </w:pPr>
            <w:r>
              <w:rPr>
                <w:rFonts w:ascii="Arial" w:hAnsi="Arial"/>
                <w:b/>
                <w:color w:val="FFFFFF"/>
                <w:sz w:val="17"/>
              </w:rPr>
              <w:t>(RSUs)</w:t>
            </w:r>
          </w:p>
        </w:tc>
        <w:tc>
          <w:tcPr>
            <w:tcW w:w="208" w:type="dxa"/>
            <w:tcBorders>
              <w:left w:val="single" w:sz="2" w:space="0" w:color="FFFFFF"/>
              <w:bottom w:val="single" w:sz="8" w:space="0" w:color="B94831"/>
            </w:tcBorders>
            <w:shd w:fill="262626" w:val="clear"/>
            <w:tcMar>
              <w:left w:w="28" w:type="dxa"/>
              <w:bottom w:w="28" w:type="dxa"/>
            </w:tcMar>
            <w:vAlign w:val="bottom"/>
          </w:tcPr>
          <w:p>
            <w:pPr>
              <w:pStyle w:val="TableContents"/>
              <w:spacing w:before="0" w:after="283"/>
              <w:rPr/>
            </w:pPr>
            <w:r>
              <w:rPr/>
              <w:t>  </w:t>
            </w:r>
          </w:p>
        </w:tc>
        <w:tc>
          <w:tcPr>
            <w:tcW w:w="1465" w:type="dxa"/>
            <w:tcBorders>
              <w:bottom w:val="single" w:sz="8" w:space="0" w:color="B94831"/>
            </w:tcBorders>
            <w:shd w:fill="262626" w:val="clear"/>
            <w:tcMar>
              <w:bottom w:w="60" w:type="dxa"/>
            </w:tcMar>
          </w:tcPr>
          <w:p>
            <w:pPr>
              <w:pStyle w:val="TableContents"/>
              <w:spacing w:before="0" w:after="0"/>
              <w:jc w:val="center"/>
              <w:rPr>
                <w:rFonts w:ascii="Arial" w:hAnsi="Arial"/>
                <w:b/>
                <w:color w:val="FFFFFF"/>
                <w:sz w:val="17"/>
              </w:rPr>
            </w:pPr>
            <w:r>
              <w:rPr>
                <w:rFonts w:ascii="Arial" w:hAnsi="Arial"/>
                <w:b/>
                <w:color w:val="FFFFFF"/>
                <w:sz w:val="17"/>
              </w:rPr>
              <w:t>Expiration Date</w:t>
            </w:r>
          </w:p>
          <w:p>
            <w:pPr>
              <w:pStyle w:val="TableContents"/>
              <w:spacing w:before="0" w:after="20"/>
              <w:jc w:val="center"/>
              <w:rPr>
                <w:rFonts w:ascii="Arial" w:hAnsi="Arial"/>
                <w:b/>
                <w:color w:val="FFFFFF"/>
                <w:sz w:val="17"/>
              </w:rPr>
            </w:pPr>
            <w:r>
              <w:rPr>
                <w:rFonts w:ascii="Arial" w:hAnsi="Arial"/>
                <w:b/>
                <w:color w:val="FFFFFF"/>
                <w:sz w:val="17"/>
              </w:rPr>
              <w:t>(stock options)</w:t>
            </w:r>
          </w:p>
        </w:tc>
      </w:tr>
      <w:tr>
        <w:trPr>
          <w:trHeight w:val="75" w:hRule="atLeast"/>
        </w:trPr>
        <w:tc>
          <w:tcPr>
            <w:tcW w:w="2363" w:type="dxa"/>
            <w:tcBorders/>
            <w:shd w:fill="auto" w:val="clear"/>
            <w:vAlign w:val="center"/>
          </w:tcPr>
          <w:p>
            <w:pPr>
              <w:pStyle w:val="TableContents"/>
              <w:spacing w:before="0" w:after="283"/>
              <w:rPr>
                <w:sz w:val="4"/>
                <w:szCs w:val="4"/>
              </w:rPr>
            </w:pPr>
            <w:r>
              <w:rPr>
                <w:sz w:val="4"/>
                <w:szCs w:val="4"/>
              </w:rPr>
            </w:r>
          </w:p>
        </w:tc>
        <w:tc>
          <w:tcPr>
            <w:tcW w:w="445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1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7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363" w:type="dxa"/>
            <w:tcBorders>
              <w:bottom w:val="single" w:sz="2" w:space="0" w:color="AFAFAF"/>
            </w:tcBorders>
            <w:shd w:fill="auto" w:val="clear"/>
            <w:tcMar>
              <w:bottom w:w="60" w:type="dxa"/>
            </w:tcMar>
          </w:tcPr>
          <w:p>
            <w:pPr>
              <w:pStyle w:val="TableContents"/>
              <w:spacing w:before="0" w:after="283"/>
              <w:jc w:val="center"/>
              <w:rPr>
                <w:rFonts w:ascii="Arial" w:hAnsi="Arial"/>
                <w:b/>
              </w:rPr>
            </w:pPr>
            <w:r>
              <w:rPr>
                <w:rFonts w:ascii="Arial" w:hAnsi="Arial"/>
                <w:b/>
              </w:rPr>
              <w:t>2020-2022</w:t>
            </w:r>
          </w:p>
        </w:tc>
        <w:tc>
          <w:tcPr>
            <w:tcW w:w="12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4332" w:type="dxa"/>
            <w:tcBorders>
              <w:bottom w:val="single" w:sz="2" w:space="0" w:color="AFAFAF"/>
            </w:tcBorders>
            <w:shd w:fill="auto" w:val="clear"/>
            <w:tcMar>
              <w:bottom w:w="60" w:type="dxa"/>
            </w:tcMar>
            <w:vAlign w:val="bottom"/>
          </w:tcPr>
          <w:p>
            <w:pPr>
              <w:pStyle w:val="TableContents"/>
              <w:spacing w:before="0" w:after="283"/>
              <w:rPr/>
            </w:pPr>
            <w:r>
              <w:rPr/>
              <w:t>50% PRSUs, 25% TRSUs, 25% stock options</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5" w:type="dxa"/>
            <w:tcBorders>
              <w:bottom w:val="single" w:sz="2" w:space="0" w:color="AFAFAF"/>
            </w:tcBorders>
            <w:shd w:fill="auto" w:val="clear"/>
            <w:tcMar>
              <w:bottom w:w="60" w:type="dxa"/>
            </w:tcMar>
            <w:vAlign w:val="bottom"/>
          </w:tcPr>
          <w:p>
            <w:pPr>
              <w:pStyle w:val="TableContents"/>
              <w:spacing w:before="0" w:after="283"/>
              <w:jc w:val="center"/>
              <w:rPr/>
            </w:pPr>
            <w:r>
              <w:rPr/>
              <w:t>March 2023</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65" w:type="dxa"/>
            <w:tcBorders>
              <w:bottom w:val="single" w:sz="2" w:space="0" w:color="AFAFAF"/>
            </w:tcBorders>
            <w:shd w:fill="auto" w:val="clear"/>
            <w:tcMar>
              <w:bottom w:w="60" w:type="dxa"/>
            </w:tcMar>
            <w:vAlign w:val="bottom"/>
          </w:tcPr>
          <w:p>
            <w:pPr>
              <w:pStyle w:val="TableContents"/>
              <w:spacing w:before="0" w:after="283"/>
              <w:jc w:val="center"/>
              <w:rPr/>
            </w:pPr>
            <w:r>
              <w:rPr/>
              <w:t>March 2030</w:t>
            </w:r>
          </w:p>
        </w:tc>
      </w:tr>
      <w:tr>
        <w:trPr>
          <w:trHeight w:val="75" w:hRule="atLeast"/>
        </w:trPr>
        <w:tc>
          <w:tcPr>
            <w:tcW w:w="2363" w:type="dxa"/>
            <w:tcBorders/>
            <w:shd w:fill="auto" w:val="clear"/>
            <w:vAlign w:val="center"/>
          </w:tcPr>
          <w:p>
            <w:pPr>
              <w:pStyle w:val="TableContents"/>
              <w:spacing w:before="0" w:after="283"/>
              <w:rPr>
                <w:sz w:val="4"/>
                <w:szCs w:val="4"/>
              </w:rPr>
            </w:pPr>
            <w:r>
              <w:rPr>
                <w:sz w:val="4"/>
                <w:szCs w:val="4"/>
              </w:rPr>
            </w:r>
          </w:p>
        </w:tc>
        <w:tc>
          <w:tcPr>
            <w:tcW w:w="445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1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7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363" w:type="dxa"/>
            <w:tcBorders>
              <w:bottom w:val="single" w:sz="2" w:space="0" w:color="AFAFAF"/>
            </w:tcBorders>
            <w:shd w:fill="auto" w:val="clear"/>
            <w:tcMar>
              <w:bottom w:w="60" w:type="dxa"/>
            </w:tcMar>
          </w:tcPr>
          <w:p>
            <w:pPr>
              <w:pStyle w:val="TableContents"/>
              <w:spacing w:before="0" w:after="283"/>
              <w:jc w:val="center"/>
              <w:rPr>
                <w:rFonts w:ascii="Arial" w:hAnsi="Arial"/>
                <w:b/>
              </w:rPr>
            </w:pPr>
            <w:r>
              <w:rPr>
                <w:rFonts w:ascii="Arial" w:hAnsi="Arial"/>
                <w:b/>
              </w:rPr>
              <w:t>2021-2023</w:t>
            </w:r>
          </w:p>
        </w:tc>
        <w:tc>
          <w:tcPr>
            <w:tcW w:w="12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4332" w:type="dxa"/>
            <w:tcBorders>
              <w:bottom w:val="single" w:sz="2" w:space="0" w:color="AFAFAF"/>
            </w:tcBorders>
            <w:shd w:fill="auto" w:val="clear"/>
            <w:tcMar>
              <w:bottom w:w="60" w:type="dxa"/>
            </w:tcMar>
            <w:vAlign w:val="bottom"/>
          </w:tcPr>
          <w:p>
            <w:pPr>
              <w:pStyle w:val="TableContents"/>
              <w:spacing w:before="0" w:after="283"/>
              <w:rPr/>
            </w:pPr>
            <w:r>
              <w:rPr/>
              <w:t>50% PRSUs, 25% TRSUs, 25% stock options</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5" w:type="dxa"/>
            <w:tcBorders>
              <w:bottom w:val="single" w:sz="2" w:space="0" w:color="AFAFAF"/>
            </w:tcBorders>
            <w:shd w:fill="auto" w:val="clear"/>
            <w:tcMar>
              <w:bottom w:w="60" w:type="dxa"/>
            </w:tcMar>
            <w:vAlign w:val="bottom"/>
          </w:tcPr>
          <w:p>
            <w:pPr>
              <w:pStyle w:val="TableContents"/>
              <w:spacing w:before="0" w:after="283"/>
              <w:jc w:val="center"/>
              <w:rPr/>
            </w:pPr>
            <w:r>
              <w:rPr/>
              <w:t>March 2024</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65" w:type="dxa"/>
            <w:tcBorders>
              <w:bottom w:val="single" w:sz="2" w:space="0" w:color="AFAFAF"/>
            </w:tcBorders>
            <w:shd w:fill="auto" w:val="clear"/>
            <w:tcMar>
              <w:bottom w:w="60" w:type="dxa"/>
            </w:tcMar>
            <w:vAlign w:val="bottom"/>
          </w:tcPr>
          <w:p>
            <w:pPr>
              <w:pStyle w:val="TableContents"/>
              <w:spacing w:before="0" w:after="283"/>
              <w:jc w:val="center"/>
              <w:rPr/>
            </w:pPr>
            <w:r>
              <w:rPr/>
              <w:t>March 2031</w:t>
            </w:r>
          </w:p>
        </w:tc>
      </w:tr>
      <w:tr>
        <w:trPr>
          <w:trHeight w:val="75" w:hRule="atLeast"/>
        </w:trPr>
        <w:tc>
          <w:tcPr>
            <w:tcW w:w="2363" w:type="dxa"/>
            <w:tcBorders/>
            <w:shd w:fill="auto" w:val="clear"/>
            <w:vAlign w:val="center"/>
          </w:tcPr>
          <w:p>
            <w:pPr>
              <w:pStyle w:val="TableContents"/>
              <w:spacing w:before="0" w:after="283"/>
              <w:rPr>
                <w:sz w:val="4"/>
                <w:szCs w:val="4"/>
              </w:rPr>
            </w:pPr>
            <w:r>
              <w:rPr>
                <w:sz w:val="4"/>
                <w:szCs w:val="4"/>
              </w:rPr>
            </w:r>
          </w:p>
        </w:tc>
        <w:tc>
          <w:tcPr>
            <w:tcW w:w="445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1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7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363" w:type="dxa"/>
            <w:tcBorders>
              <w:bottom w:val="single" w:sz="2" w:space="0" w:color="AFAFAF"/>
            </w:tcBorders>
            <w:shd w:fill="auto" w:val="clear"/>
            <w:tcMar>
              <w:bottom w:w="60" w:type="dxa"/>
            </w:tcMar>
          </w:tcPr>
          <w:p>
            <w:pPr>
              <w:pStyle w:val="TableContents"/>
              <w:spacing w:before="0" w:after="283"/>
              <w:jc w:val="center"/>
              <w:rPr>
                <w:rFonts w:ascii="Arial" w:hAnsi="Arial"/>
                <w:b/>
              </w:rPr>
            </w:pPr>
            <w:r>
              <w:rPr>
                <w:rFonts w:ascii="Arial" w:hAnsi="Arial"/>
                <w:b/>
              </w:rPr>
              <w:t>2022-2024</w:t>
            </w:r>
          </w:p>
        </w:tc>
        <w:tc>
          <w:tcPr>
            <w:tcW w:w="12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4332" w:type="dxa"/>
            <w:tcBorders>
              <w:bottom w:val="single" w:sz="2" w:space="0" w:color="AFAFAF"/>
            </w:tcBorders>
            <w:shd w:fill="auto" w:val="clear"/>
            <w:tcMar>
              <w:bottom w:w="60" w:type="dxa"/>
            </w:tcMar>
            <w:vAlign w:val="bottom"/>
          </w:tcPr>
          <w:p>
            <w:pPr>
              <w:pStyle w:val="TableContents"/>
              <w:spacing w:before="0" w:after="283"/>
              <w:rPr/>
            </w:pPr>
            <w:r>
              <w:rPr/>
              <w:t>50% PRSUs, 25% TRSUs, 25% stock options</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5" w:type="dxa"/>
            <w:tcBorders>
              <w:bottom w:val="single" w:sz="2" w:space="0" w:color="AFAFAF"/>
            </w:tcBorders>
            <w:shd w:fill="auto" w:val="clear"/>
            <w:tcMar>
              <w:bottom w:w="60" w:type="dxa"/>
            </w:tcMar>
            <w:vAlign w:val="bottom"/>
          </w:tcPr>
          <w:p>
            <w:pPr>
              <w:pStyle w:val="TableContents"/>
              <w:spacing w:before="0" w:after="283"/>
              <w:jc w:val="center"/>
              <w:rPr/>
            </w:pPr>
            <w:r>
              <w:rPr/>
              <w:t>March 2025</w:t>
            </w:r>
          </w:p>
        </w:tc>
        <w:tc>
          <w:tcPr>
            <w:tcW w:w="20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65" w:type="dxa"/>
            <w:tcBorders>
              <w:bottom w:val="single" w:sz="2" w:space="0" w:color="AFAFAF"/>
            </w:tcBorders>
            <w:shd w:fill="auto" w:val="clear"/>
            <w:tcMar>
              <w:bottom w:w="60" w:type="dxa"/>
            </w:tcMar>
            <w:vAlign w:val="bottom"/>
          </w:tcPr>
          <w:p>
            <w:pPr>
              <w:pStyle w:val="TableContents"/>
              <w:spacing w:before="0" w:after="283"/>
              <w:jc w:val="center"/>
              <w:rPr/>
            </w:pPr>
            <w:r>
              <w:rPr/>
              <w:t>March 2032</w:t>
            </w:r>
          </w:p>
        </w:tc>
      </w:tr>
      <w:tr>
        <w:trPr>
          <w:trHeight w:val="75" w:hRule="atLeast"/>
        </w:trPr>
        <w:tc>
          <w:tcPr>
            <w:tcW w:w="2363" w:type="dxa"/>
            <w:tcBorders/>
            <w:shd w:fill="auto" w:val="clear"/>
            <w:vAlign w:val="center"/>
          </w:tcPr>
          <w:p>
            <w:pPr>
              <w:pStyle w:val="TableContents"/>
              <w:spacing w:before="0" w:after="283"/>
              <w:rPr>
                <w:sz w:val="4"/>
                <w:szCs w:val="4"/>
              </w:rPr>
            </w:pPr>
            <w:r>
              <w:rPr>
                <w:sz w:val="4"/>
                <w:szCs w:val="4"/>
              </w:rPr>
            </w:r>
          </w:p>
        </w:tc>
        <w:tc>
          <w:tcPr>
            <w:tcW w:w="445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13"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167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363" w:type="dxa"/>
            <w:tcBorders>
              <w:bottom w:val="single" w:sz="8" w:space="0" w:color="B94831"/>
            </w:tcBorders>
            <w:shd w:fill="auto" w:val="clear"/>
            <w:tcMar>
              <w:bottom w:w="60" w:type="dxa"/>
            </w:tcMar>
          </w:tcPr>
          <w:p>
            <w:pPr>
              <w:pStyle w:val="TableContents"/>
              <w:spacing w:before="0" w:after="283"/>
              <w:jc w:val="center"/>
              <w:rPr>
                <w:rFonts w:ascii="Arial" w:hAnsi="Arial"/>
                <w:b/>
              </w:rPr>
            </w:pPr>
            <w:r>
              <w:rPr>
                <w:rFonts w:ascii="Arial" w:hAnsi="Arial"/>
                <w:b/>
              </w:rPr>
              <w:t>2023-2025</w:t>
            </w:r>
          </w:p>
        </w:tc>
        <w:tc>
          <w:tcPr>
            <w:tcW w:w="12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4332" w:type="dxa"/>
            <w:tcBorders>
              <w:bottom w:val="single" w:sz="8" w:space="0" w:color="B94831"/>
            </w:tcBorders>
            <w:shd w:fill="auto" w:val="clear"/>
            <w:tcMar>
              <w:bottom w:w="60" w:type="dxa"/>
            </w:tcMar>
            <w:vAlign w:val="bottom"/>
          </w:tcPr>
          <w:p>
            <w:pPr>
              <w:pStyle w:val="TableContents"/>
              <w:spacing w:before="0" w:after="283"/>
              <w:rPr/>
            </w:pPr>
            <w:r>
              <w:rPr/>
              <w:t>50% PRSUs, 25% TRSUs, 25% stock options</w:t>
            </w:r>
          </w:p>
        </w:tc>
        <w:tc>
          <w:tcPr>
            <w:tcW w:w="208"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405" w:type="dxa"/>
            <w:tcBorders>
              <w:bottom w:val="single" w:sz="8" w:space="0" w:color="B94831"/>
            </w:tcBorders>
            <w:shd w:fill="auto" w:val="clear"/>
            <w:tcMar>
              <w:bottom w:w="60" w:type="dxa"/>
            </w:tcMar>
            <w:vAlign w:val="bottom"/>
          </w:tcPr>
          <w:p>
            <w:pPr>
              <w:pStyle w:val="TableContents"/>
              <w:spacing w:before="0" w:after="283"/>
              <w:jc w:val="center"/>
              <w:rPr/>
            </w:pPr>
            <w:r>
              <w:rPr/>
              <w:t>March 2026</w:t>
            </w:r>
          </w:p>
        </w:tc>
        <w:tc>
          <w:tcPr>
            <w:tcW w:w="208"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465" w:type="dxa"/>
            <w:tcBorders>
              <w:bottom w:val="single" w:sz="8" w:space="0" w:color="B94831"/>
            </w:tcBorders>
            <w:shd w:fill="auto" w:val="clear"/>
            <w:tcMar>
              <w:bottom w:w="60" w:type="dxa"/>
            </w:tcMar>
            <w:vAlign w:val="bottom"/>
          </w:tcPr>
          <w:p>
            <w:pPr>
              <w:pStyle w:val="TableContents"/>
              <w:spacing w:before="0" w:after="283"/>
              <w:jc w:val="center"/>
              <w:rPr/>
            </w:pPr>
            <w:r>
              <w:rPr/>
              <w:t>March 2033</w:t>
            </w:r>
          </w:p>
        </w:tc>
      </w:tr>
    </w:tbl>
    <w:p>
      <w:pPr>
        <w:pStyle w:val="TextBody"/>
        <w:spacing w:before="120" w:after="0"/>
        <w:jc w:val="left"/>
        <w:rPr>
          <w:rFonts w:ascii="arial" w:hAnsi="arial"/>
          <w:sz w:val="20"/>
        </w:rPr>
      </w:pPr>
      <w:r>
        <w:rPr>
          <w:rFonts w:ascii="arial" w:hAnsi="arial"/>
          <w:sz w:val="20"/>
        </w:rPr>
        <w:t xml:space="preserve">In determining the size of PRSU, TRSU and stock option grants, the HR Committee initially established a total target compensation award opportunity for each named executive officer, along with the percentage of this amount to be reflected through long-term incentive awards. The HR Committee then determined the value of PRSUs, TRSUs and stock options to be granted to each named executive officer. In determining long-term incentive grants for our executive officers, the HR Committee generally takes into account the target compensation, the amount of previous awards and other factors such as individual performance and contributions, an individuals criticality to the company, and retention considerations. Key talent ratings and holding power are also considered to support decision making. </w:t>
      </w:r>
    </w:p>
    <w:p>
      <w:pPr>
        <w:pStyle w:val="TextBody"/>
        <w:spacing w:before="120" w:after="0"/>
        <w:jc w:val="left"/>
        <w:rPr>
          <w:rFonts w:ascii="arial" w:hAnsi="arial"/>
          <w:color w:val="B94831"/>
          <w:sz w:val="28"/>
        </w:rPr>
      </w:pPr>
      <w:r>
        <w:rPr>
          <w:rFonts w:ascii="arial" w:hAnsi="arial"/>
          <w:color w:val="B94831"/>
          <w:sz w:val="28"/>
        </w:rPr>
        <w:t xml:space="preserve">PRSUs </w:t>
      </w:r>
    </w:p>
    <w:p>
      <w:pPr>
        <w:pStyle w:val="TextBody"/>
        <w:spacing w:before="40" w:after="0"/>
        <w:jc w:val="left"/>
        <w:rPr>
          <w:rFonts w:ascii="arial" w:hAnsi="arial"/>
          <w:sz w:val="20"/>
        </w:rPr>
      </w:pPr>
      <w:r>
        <w:rPr>
          <w:rFonts w:ascii="arial" w:hAnsi="arial"/>
          <w:sz w:val="20"/>
        </w:rPr>
        <w:t xml:space="preserve">Our PRSUs reinforce our pay for performance philosophy and align with the interests of our shareholders. Because the payout for PRSUs is tied to operational results over a long-term period, these awards create a strong line of sight between controllable performance and realizable compensation, reinforce the importance of achieving specific multi-year financial results and mitigate the impact of stock price volatility on the retention power of the overall program. Costs associated with PRSUs are variable and are incurred only to the extent that the underlying performance goals are achieved. PRSUs thereby ensure a financially efficient outcome to our company by tying expense recognition to the achievement of specific financial goals. </w:t>
      </w:r>
    </w:p>
    <w:p>
      <w:pPr>
        <w:pStyle w:val="TextBody"/>
        <w:spacing w:before="120" w:after="0"/>
        <w:jc w:val="left"/>
        <w:rPr>
          <w:rFonts w:ascii="arial" w:hAnsi="arial"/>
          <w:sz w:val="20"/>
        </w:rPr>
      </w:pPr>
      <w:r>
        <w:rPr>
          <w:rFonts w:ascii="arial" w:hAnsi="arial"/>
          <w:sz w:val="20"/>
        </w:rPr>
        <w:t xml:space="preserve">When long-term incentive awards include PRSUs, the HR Committee sets targets that align with realistic expected growth rates over the three-year performance period in our operating plan. Similar to annual incentive awards, in general, the HR Committee sets targets so that the relative difficulty of achieving them is consistent from year to year. The HR Committee also reviews past performance against similar targets to assess the effectiveness of targets. Target levels are intended to be challenging, yet realistic and achievable. For PRSUs granted for the 2022-2024 period, the HR Committee selected three-year average organic revenue growth and free cash flow per share as the performance metrics to focus participants on the key drivers of long-term shareholder value creation. The financial performance goals for PRSUs granted in 2022 were weighted 50% each as they were equally important to our long-term objectives.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615"/>
        <w:gridCol w:w="126"/>
        <w:gridCol w:w="5464"/>
      </w:tblGrid>
      <w:tr>
        <w:trPr/>
        <w:tc>
          <w:tcPr>
            <w:tcW w:w="46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464"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4615" w:type="dxa"/>
            <w:tcBorders>
              <w:right w:val="single" w:sz="2" w:space="0" w:color="AFAFAF"/>
            </w:tcBorders>
            <w:shd w:fill="auto" w:val="clear"/>
            <w:tcMar>
              <w:right w:w="28" w:type="dxa"/>
            </w:tcMar>
            <w:vAlign w:val="center"/>
          </w:tcPr>
          <w:p>
            <w:pPr>
              <w:pStyle w:val="TableContents"/>
              <w:spacing w:before="0" w:after="283"/>
              <w:rPr/>
            </w:pPr>
            <w:r>
              <w:rPr/>
              <w:t> </w:t>
            </w:r>
          </w:p>
        </w:tc>
        <w:tc>
          <w:tcPr>
            <w:tcW w:w="5590" w:type="dxa"/>
            <w:gridSpan w:val="2"/>
            <w:tcBorders/>
            <w:shd w:fill="262626" w:val="clear"/>
            <w:vAlign w:val="center"/>
          </w:tcPr>
          <w:p>
            <w:pPr>
              <w:pStyle w:val="TableContents"/>
              <w:spacing w:before="0" w:after="283"/>
              <w:rPr>
                <w:sz w:val="4"/>
                <w:szCs w:val="4"/>
              </w:rPr>
            </w:pPr>
            <w:r>
              <w:rPr>
                <w:sz w:val="4"/>
                <w:szCs w:val="4"/>
              </w:rPr>
            </w:r>
          </w:p>
        </w:tc>
      </w:tr>
      <w:tr>
        <w:trPr/>
        <w:tc>
          <w:tcPr>
            <w:tcW w:w="4615" w:type="dxa"/>
            <w:tcBorders>
              <w:bottom w:val="single" w:sz="8" w:space="0" w:color="B94831"/>
              <w:right w:val="single" w:sz="2" w:space="0" w:color="AFAFAF"/>
            </w:tcBorders>
            <w:shd w:fill="auto" w:val="clear"/>
            <w:tcMar>
              <w:bottom w:w="28" w:type="dxa"/>
              <w:right w:w="28" w:type="dxa"/>
            </w:tcMar>
            <w:vAlign w:val="bottom"/>
          </w:tcPr>
          <w:p>
            <w:pPr>
              <w:pStyle w:val="TableContents"/>
              <w:rPr/>
            </w:pPr>
            <w:r>
              <w:rPr/>
              <w:t xml:space="preserve">  </w:t>
            </w:r>
          </w:p>
          <w:p>
            <w:pPr>
              <w:pStyle w:val="TableContents"/>
              <w:spacing w:before="0" w:after="0"/>
              <w:rPr/>
            </w:pPr>
            <w:r>
              <w:rPr/>
              <w:t> </w:t>
            </w:r>
          </w:p>
        </w:tc>
        <w:tc>
          <w:tcPr>
            <w:tcW w:w="126" w:type="dxa"/>
            <w:tcBorders>
              <w:bottom w:val="single" w:sz="8" w:space="0" w:color="B94831"/>
            </w:tcBorders>
            <w:shd w:fill="262626" w:val="clear"/>
            <w:tcMar>
              <w:bottom w:w="28" w:type="dxa"/>
            </w:tcMar>
            <w:vAlign w:val="bottom"/>
          </w:tcPr>
          <w:p>
            <w:pPr>
              <w:pStyle w:val="TableContents"/>
              <w:spacing w:before="0" w:after="283"/>
              <w:rPr/>
            </w:pPr>
            <w:r>
              <w:rPr/>
              <w:t>  </w:t>
            </w:r>
          </w:p>
        </w:tc>
        <w:tc>
          <w:tcPr>
            <w:tcW w:w="5464" w:type="dxa"/>
            <w:tcBorders>
              <w:bottom w:val="single" w:sz="8" w:space="0" w:color="B94831"/>
            </w:tcBorders>
            <w:shd w:fill="262626" w:val="clear"/>
            <w:tcMar>
              <w:bottom w:w="60" w:type="dxa"/>
            </w:tcMar>
            <w:vAlign w:val="bottom"/>
          </w:tcPr>
          <w:p>
            <w:pPr>
              <w:pStyle w:val="TableContents"/>
              <w:spacing w:before="0" w:after="283"/>
              <w:jc w:val="center"/>
              <w:rPr>
                <w:rFonts w:ascii="Arial" w:hAnsi="Arial"/>
                <w:b/>
                <w:color w:val="FFFFFF"/>
              </w:rPr>
            </w:pPr>
            <w:r>
              <w:rPr>
                <w:rFonts w:ascii="Arial" w:hAnsi="Arial"/>
                <w:b/>
                <w:color w:val="FFFFFF"/>
              </w:rPr>
              <w:t>Rationale for financial metric</w:t>
            </w:r>
          </w:p>
        </w:tc>
      </w:tr>
      <w:tr>
        <w:trPr>
          <w:trHeight w:val="75" w:hRule="atLeast"/>
        </w:trPr>
        <w:tc>
          <w:tcPr>
            <w:tcW w:w="4615" w:type="dxa"/>
            <w:tcBorders>
              <w:right w:val="single" w:sz="2" w:space="0" w:color="AFAFAF"/>
            </w:tcBorders>
            <w:shd w:fill="auto" w:val="clear"/>
            <w:tcMar>
              <w:right w:w="28" w:type="dxa"/>
            </w:tcMar>
            <w:vAlign w:val="center"/>
          </w:tcPr>
          <w:p>
            <w:pPr>
              <w:pStyle w:val="TableContents"/>
              <w:spacing w:before="0" w:after="283"/>
              <w:rPr/>
            </w:pPr>
            <w:r>
              <w:rPr/>
              <w:t> </w:t>
            </w:r>
          </w:p>
        </w:tc>
        <w:tc>
          <w:tcPr>
            <w:tcW w:w="5590" w:type="dxa"/>
            <w:gridSpan w:val="2"/>
            <w:tcBorders/>
            <w:shd w:fill="auto" w:val="clear"/>
            <w:vAlign w:val="center"/>
          </w:tcPr>
          <w:p>
            <w:pPr>
              <w:pStyle w:val="TableContents"/>
              <w:spacing w:before="0" w:after="283"/>
              <w:rPr>
                <w:sz w:val="4"/>
                <w:szCs w:val="4"/>
              </w:rPr>
            </w:pPr>
            <w:r>
              <w:rPr>
                <w:sz w:val="4"/>
                <w:szCs w:val="4"/>
              </w:rPr>
            </w:r>
          </w:p>
        </w:tc>
      </w:tr>
      <w:tr>
        <w:trPr/>
        <w:tc>
          <w:tcPr>
            <w:tcW w:w="4615" w:type="dxa"/>
            <w:vMerge w:val="restart"/>
            <w:tcBorders>
              <w:bottom w:val="single" w:sz="8" w:space="0" w:color="B94831"/>
              <w:right w:val="single" w:sz="2" w:space="0" w:color="AFAFAF"/>
            </w:tcBorders>
            <w:shd w:fill="auto" w:val="clear"/>
            <w:tcMar>
              <w:bottom w:w="28" w:type="dxa"/>
              <w:right w:w="28" w:type="dxa"/>
            </w:tcMar>
            <w:vAlign w:val="center"/>
          </w:tcPr>
          <w:p>
            <w:pPr>
              <w:pStyle w:val="TableContents"/>
              <w:spacing w:before="0" w:after="0"/>
              <w:rPr/>
            </w:pPr>
            <w:r>
              <w:rPr/>
              <w:t> </w:t>
            </w:r>
          </w:p>
          <w:p>
            <w:pPr>
              <w:pStyle w:val="TableContents"/>
              <w:spacing w:before="0" w:after="0"/>
              <w:jc w:val="center"/>
              <w:rPr/>
            </w:pPr>
            <w:r>
              <w:rPr/>
              <w:drawing>
                <wp:inline distT="0" distB="0" distL="0" distR="0">
                  <wp:extent cx="289560" cy="19113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89560" cy="191135"/>
                          </a:xfrm>
                          <a:prstGeom prst="rect">
                            <a:avLst/>
                          </a:prstGeom>
                        </pic:spPr>
                      </pic:pic>
                    </a:graphicData>
                  </a:graphic>
                </wp:inline>
              </w:drawing>
            </w:r>
            <w:r>
              <w:rPr/>
              <w:t xml:space="preserve"> </w:t>
            </w:r>
          </w:p>
          <w:p>
            <w:pPr>
              <w:pStyle w:val="TableContents"/>
              <w:spacing w:before="0" w:after="20"/>
              <w:jc w:val="left"/>
              <w:rPr/>
            </w:pPr>
            <w:r>
              <w:rPr/>
              <w:t> </w:t>
            </w:r>
          </w:p>
        </w:tc>
        <w:tc>
          <w:tcPr>
            <w:tcW w:w="126" w:type="dxa"/>
            <w:tcBorders>
              <w:bottom w:val="single" w:sz="2" w:space="0" w:color="AFAFAF"/>
            </w:tcBorders>
            <w:shd w:fill="auto" w:val="clear"/>
            <w:tcMar>
              <w:bottom w:w="28" w:type="dxa"/>
            </w:tcMar>
            <w:vAlign w:val="bottom"/>
          </w:tcPr>
          <w:p>
            <w:pPr>
              <w:pStyle w:val="TableContents"/>
              <w:spacing w:before="0" w:after="283"/>
              <w:rPr/>
            </w:pPr>
            <w:r>
              <w:rPr/>
              <w:t>  </w:t>
            </w:r>
          </w:p>
        </w:tc>
        <w:tc>
          <w:tcPr>
            <w:tcW w:w="5464" w:type="dxa"/>
            <w:tcBorders>
              <w:bottom w:val="single" w:sz="2" w:space="0" w:color="AFAFAF"/>
            </w:tcBorders>
            <w:shd w:fill="auto" w:val="clear"/>
            <w:tcMar>
              <w:bottom w:w="28" w:type="dxa"/>
            </w:tcMar>
            <w:vAlign w:val="bottom"/>
          </w:tcPr>
          <w:p>
            <w:pPr>
              <w:pStyle w:val="TableContents"/>
              <w:spacing w:before="0" w:after="0"/>
              <w:rPr>
                <w:rFonts w:ascii="Arial" w:hAnsi="Arial"/>
                <w:b/>
                <w:sz w:val="16"/>
              </w:rPr>
            </w:pPr>
            <w:r>
              <w:rPr>
                <w:rFonts w:ascii="Arial" w:hAnsi="Arial"/>
                <w:b/>
                <w:sz w:val="16"/>
              </w:rPr>
              <w:t>50% organic revenue</w:t>
            </w:r>
          </w:p>
          <w:p>
            <w:pPr>
              <w:pStyle w:val="TableContents"/>
              <w:spacing w:before="0" w:after="20"/>
              <w:rPr>
                <w:rFonts w:ascii="arial" w:hAnsi="arial"/>
                <w:sz w:val="16"/>
              </w:rPr>
            </w:pPr>
            <w:r>
              <w:rPr>
                <w:rFonts w:ascii="arial" w:hAnsi="arial"/>
                <w:sz w:val="16"/>
              </w:rPr>
              <w:t>We believed that organic revenue growth over a multi-year period complemented the same metric as reflected in 2022 annual incentive awards and aligned to the companys strategic priorities. For more information about organic revenue growth and our rationale for including the financial metric in 2022 annual and long-term incentive awards, please see the Annual Incentive Awards discussion above.</w:t>
            </w:r>
          </w:p>
        </w:tc>
      </w:tr>
      <w:tr>
        <w:trPr/>
        <w:tc>
          <w:tcPr>
            <w:tcW w:w="4615" w:type="dxa"/>
            <w:vMerge w:val="continue"/>
            <w:tcBorders>
              <w:bottom w:val="single" w:sz="8" w:space="0" w:color="B94831"/>
              <w:right w:val="single" w:sz="2" w:space="0" w:color="AFAFAF"/>
            </w:tcBorders>
            <w:shd w:fill="auto" w:val="clear"/>
            <w:tcMar>
              <w:bottom w:w="28" w:type="dxa"/>
              <w:right w:w="28" w:type="dxa"/>
            </w:tcMar>
            <w:vAlign w:val="center"/>
          </w:tcPr>
          <w:p>
            <w:pPr>
              <w:pStyle w:val="Normal"/>
              <w:rPr/>
            </w:pPr>
            <w:r>
              <w:rPr/>
            </w:r>
          </w:p>
        </w:tc>
        <w:tc>
          <w:tcPr>
            <w:tcW w:w="126" w:type="dxa"/>
            <w:tcBorders>
              <w:bottom w:val="single" w:sz="8" w:space="0" w:color="B94831"/>
            </w:tcBorders>
            <w:shd w:fill="auto" w:val="clear"/>
            <w:tcMar>
              <w:bottom w:w="28" w:type="dxa"/>
            </w:tcMar>
            <w:vAlign w:val="bottom"/>
          </w:tcPr>
          <w:p>
            <w:pPr>
              <w:pStyle w:val="TableContents"/>
              <w:spacing w:before="0" w:after="283"/>
              <w:rPr/>
            </w:pPr>
            <w:r>
              <w:rPr/>
              <w:t>  </w:t>
            </w:r>
          </w:p>
        </w:tc>
        <w:tc>
          <w:tcPr>
            <w:tcW w:w="5464" w:type="dxa"/>
            <w:tcBorders>
              <w:bottom w:val="single" w:sz="8" w:space="0" w:color="B94831"/>
            </w:tcBorders>
            <w:shd w:fill="auto" w:val="clear"/>
            <w:tcMar>
              <w:bottom w:w="28" w:type="dxa"/>
            </w:tcMar>
            <w:vAlign w:val="bottom"/>
          </w:tcPr>
          <w:p>
            <w:pPr>
              <w:pStyle w:val="TableContents"/>
              <w:spacing w:before="0" w:after="0"/>
              <w:rPr/>
            </w:pPr>
            <w:r>
              <w:rPr/>
              <w:t> </w:t>
            </w:r>
          </w:p>
          <w:p>
            <w:pPr>
              <w:pStyle w:val="TableContents"/>
              <w:spacing w:before="0" w:after="0"/>
              <w:rPr>
                <w:rFonts w:ascii="Arial" w:hAnsi="Arial"/>
                <w:b/>
                <w:sz w:val="16"/>
              </w:rPr>
            </w:pPr>
            <w:r>
              <w:rPr>
                <w:rFonts w:ascii="Arial" w:hAnsi="Arial"/>
                <w:b/>
                <w:sz w:val="16"/>
              </w:rPr>
              <w:t>50% free cash flow per share</w:t>
            </w:r>
          </w:p>
          <w:p>
            <w:pPr>
              <w:pStyle w:val="TableContents"/>
              <w:spacing w:before="0" w:after="20"/>
              <w:rPr>
                <w:rFonts w:ascii="arial" w:hAnsi="arial"/>
                <w:sz w:val="16"/>
              </w:rPr>
            </w:pPr>
            <w:r>
              <w:rPr>
                <w:rFonts w:ascii="arial" w:hAnsi="arial"/>
                <w:sz w:val="16"/>
              </w:rPr>
              <w:t>Free cash flow per share is a measure of our operating performance because it helps us assess our ability, over the long term, to create value for our shareholders as it represents cash available to repay debt, pay common share dividends and fund share repurchases and new acquisitions. We define free cash flow as net cash provided by operating activities, proceeds from disposals of property and equipment, and other investing activities, less capital expenditures, payments of lease principal and dividends paid on our preference shares.</w:t>
            </w:r>
          </w:p>
        </w:tc>
      </w:tr>
    </w:tbl>
    <w:p>
      <w:pPr>
        <w:pStyle w:val="TextBody"/>
        <w:spacing w:before="120" w:after="0"/>
        <w:jc w:val="left"/>
        <w:rPr>
          <w:rFonts w:ascii="arial" w:hAnsi="arial"/>
          <w:sz w:val="20"/>
        </w:rPr>
      </w:pPr>
      <w:r>
        <w:rPr>
          <w:rFonts w:ascii="arial" w:hAnsi="arial"/>
          <w:sz w:val="20"/>
        </w:rPr>
        <w:t xml:space="preserve">The number of PRSUs granted to each executive was based on our closing share price on the NYSE on the business day before the grant. PRSUs had a vesting range of 0% to 200% after the end of the performance period, depending on the achievement of the performance goals. </w:t>
      </w:r>
    </w:p>
    <w:p>
      <w:pPr>
        <w:pStyle w:val="TextBody"/>
        <w:spacing w:before="120" w:after="0"/>
        <w:jc w:val="left"/>
        <w:rPr>
          <w:rFonts w:ascii="arial" w:hAnsi="arial"/>
          <w:sz w:val="20"/>
        </w:rPr>
      </w:pPr>
      <w:r>
        <w:rPr>
          <w:rFonts w:ascii="arial" w:hAnsi="arial"/>
          <w:sz w:val="20"/>
        </w:rPr>
        <w:t xml:space="preserve">PRSUs also accumulate additional units based on notional equivalents of dividends paid on our common shares. The accumulated dividends are subject to the same performance adjustment as the underlying award when the underlying shares are distributed. </w:t>
      </w:r>
    </w:p>
    <w:p>
      <w:pPr>
        <w:pStyle w:val="TextBody"/>
        <w:spacing w:before="120" w:after="0"/>
        <w:jc w:val="left"/>
        <w:rPr>
          <w:rFonts w:ascii="arial" w:hAnsi="arial"/>
          <w:sz w:val="20"/>
        </w:rPr>
      </w:pPr>
      <w:r>
        <w:rPr>
          <w:rFonts w:ascii="arial" w:hAnsi="arial"/>
          <w:sz w:val="20"/>
        </w:rPr>
        <w:t xml:space="preserve">2022-2024 targets for organic revenue growth and free cash flow per share are based on three-year averages for each metric and contemplate increases each year for both metrics during the performance period. PRSU awards granted in 2022 included the expected impact of the Change Program, which created a direct link between our strategic priorities and our incentive award funding. </w:t>
      </w:r>
    </w:p>
    <w:p>
      <w:pPr>
        <w:pStyle w:val="TextBody"/>
        <w:spacing w:before="120" w:after="0"/>
        <w:jc w:val="left"/>
        <w:rPr>
          <w:rFonts w:ascii="arial" w:hAnsi="arial"/>
          <w:sz w:val="20"/>
        </w:rPr>
      </w:pPr>
      <w:r>
        <w:rPr>
          <w:rFonts w:ascii="arial" w:hAnsi="arial"/>
          <w:sz w:val="20"/>
        </w:rPr>
        <w:t xml:space="preserve">As part of the HR Committees design principles for PRSU awards, targets and actual results are evaluated on a constant currency basis. In addition, in determining performance, guiding principles for long-term incentive awards contemplate adjustments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7"/>
        <w:gridCol w:w="109"/>
        <w:gridCol w:w="9651"/>
      </w:tblGrid>
      <w:tr>
        <w:trPr/>
        <w:tc>
          <w:tcPr>
            <w:tcW w:w="208"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1" w:type="dxa"/>
            <w:tcBorders/>
            <w:shd w:fill="auto" w:val="clear"/>
          </w:tcPr>
          <w:p>
            <w:pPr>
              <w:pStyle w:val="TableContents"/>
              <w:spacing w:before="0" w:after="0"/>
              <w:jc w:val="left"/>
              <w:rPr>
                <w:rFonts w:ascii="arial" w:hAnsi="arial"/>
                <w:sz w:val="20"/>
              </w:rPr>
            </w:pPr>
            <w:r>
              <w:rPr>
                <w:rFonts w:ascii="arial" w:hAnsi="arial"/>
                <w:sz w:val="20"/>
              </w:rPr>
              <w:t xml:space="preserve">Acquisitions and disposals not in our companys operating plan and resulting in adjustments greater than a specified amount;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2"/>
        <w:gridCol w:w="108"/>
        <w:gridCol w:w="9657"/>
      </w:tblGrid>
      <w:tr>
        <w:trPr/>
        <w:tc>
          <w:tcPr>
            <w:tcW w:w="208"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7" w:type="dxa"/>
            <w:tcBorders/>
            <w:shd w:fill="auto" w:val="clear"/>
          </w:tcPr>
          <w:p>
            <w:pPr>
              <w:pStyle w:val="TableContents"/>
              <w:spacing w:before="0" w:after="0"/>
              <w:jc w:val="left"/>
              <w:rPr>
                <w:rFonts w:ascii="arial" w:hAnsi="arial"/>
                <w:sz w:val="20"/>
              </w:rPr>
            </w:pPr>
            <w:r>
              <w:rPr>
                <w:rFonts w:ascii="arial" w:hAnsi="arial"/>
                <w:sz w:val="20"/>
              </w:rPr>
              <w:t xml:space="preserve">One-time charges that were not foreseen in the operating plan and where the related savings are outside of the plan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7"/>
        <w:gridCol w:w="109"/>
        <w:gridCol w:w="9651"/>
      </w:tblGrid>
      <w:tr>
        <w:trPr/>
        <w:tc>
          <w:tcPr>
            <w:tcW w:w="208"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1" w:type="dxa"/>
            <w:tcBorders/>
            <w:shd w:fill="auto" w:val="clear"/>
          </w:tcPr>
          <w:p>
            <w:pPr>
              <w:pStyle w:val="TableContents"/>
              <w:spacing w:before="0" w:after="0"/>
              <w:jc w:val="left"/>
              <w:rPr>
                <w:rFonts w:ascii="arial" w:hAnsi="arial"/>
                <w:sz w:val="20"/>
              </w:rPr>
            </w:pPr>
            <w:r>
              <w:rPr>
                <w:rFonts w:ascii="arial" w:hAnsi="arial"/>
                <w:sz w:val="20"/>
              </w:rPr>
              <w:t xml:space="preserve">The impact of any share repurchases that were in excess of buyback amounts reflected in the original operating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4"/>
        <w:gridCol w:w="108"/>
        <w:gridCol w:w="9656"/>
      </w:tblGrid>
      <w:tr>
        <w:trPr/>
        <w:tc>
          <w:tcPr>
            <w:tcW w:w="207"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6" w:type="dxa"/>
            <w:tcBorders/>
            <w:shd w:fill="auto" w:val="clear"/>
          </w:tcPr>
          <w:p>
            <w:pPr>
              <w:pStyle w:val="TableContents"/>
              <w:spacing w:before="0" w:after="0"/>
              <w:jc w:val="left"/>
              <w:rPr>
                <w:rFonts w:ascii="arial" w:hAnsi="arial"/>
                <w:sz w:val="20"/>
              </w:rPr>
            </w:pPr>
            <w:r>
              <w:rPr>
                <w:rFonts w:ascii="arial" w:hAnsi="arial"/>
                <w:sz w:val="20"/>
              </w:rPr>
              <w:t xml:space="preserve">Extraordinary events which were outside of managements control to the extent that the actual impact differed from original plan assumptions (i.e., the regulatory/tax environment and significant one-time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239"/>
        <w:gridCol w:w="110"/>
        <w:gridCol w:w="9647"/>
      </w:tblGrid>
      <w:tr>
        <w:trPr/>
        <w:tc>
          <w:tcPr>
            <w:tcW w:w="209"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7" w:type="dxa"/>
            <w:tcBorders/>
            <w:shd w:fill="auto" w:val="clear"/>
          </w:tcPr>
          <w:p>
            <w:pPr>
              <w:pStyle w:val="TableContents"/>
              <w:spacing w:before="0" w:after="0"/>
              <w:jc w:val="left"/>
              <w:rPr>
                <w:rFonts w:ascii="arial" w:hAnsi="arial"/>
                <w:sz w:val="20"/>
              </w:rPr>
            </w:pPr>
            <w:r>
              <w:rPr>
                <w:rFonts w:ascii="arial" w:hAnsi="arial"/>
                <w:sz w:val="20"/>
              </w:rPr>
              <w:t xml:space="preserve">The impact of foreign exchange on the PRSU payout in excess of 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245"/>
        <w:gridCol w:w="111"/>
        <w:gridCol w:w="9640"/>
      </w:tblGrid>
      <w:tr>
        <w:trPr/>
        <w:tc>
          <w:tcPr>
            <w:tcW w:w="209" w:type="dxa"/>
            <w:tcBorders/>
            <w:shd w:fill="auto" w:val="clear"/>
            <w:vAlign w:val="center"/>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111" w:type="dxa"/>
            <w:tcBorders/>
            <w:shd w:fill="auto" w:val="clear"/>
          </w:tcPr>
          <w:p>
            <w:pPr>
              <w:pStyle w:val="TableContents"/>
              <w:spacing w:before="0" w:after="283"/>
              <w:rPr/>
            </w:pPr>
            <w:r>
              <w:rPr/>
              <w:t> </w:t>
            </w:r>
          </w:p>
        </w:tc>
        <w:tc>
          <w:tcPr>
            <w:tcW w:w="9640" w:type="dxa"/>
            <w:tcBorders/>
            <w:shd w:fill="auto" w:val="clear"/>
          </w:tcPr>
          <w:p>
            <w:pPr>
              <w:pStyle w:val="TableContents"/>
              <w:spacing w:before="0" w:after="0"/>
              <w:jc w:val="left"/>
              <w:rPr>
                <w:rFonts w:ascii="arial" w:hAnsi="arial"/>
                <w:sz w:val="20"/>
              </w:rPr>
            </w:pPr>
            <w:r>
              <w:rPr>
                <w:rFonts w:ascii="arial" w:hAnsi="arial"/>
                <w:sz w:val="20"/>
              </w:rPr>
              <w:t xml:space="preserve">Changes in accounting practices to make figures comparable to the original operating plan;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9"/>
        <w:gridCol w:w="109"/>
        <w:gridCol w:w="9649"/>
      </w:tblGrid>
      <w:tr>
        <w:trPr/>
        <w:tc>
          <w:tcPr>
            <w:tcW w:w="208"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20"/>
              </w:rPr>
            </w:pPr>
            <w:r>
              <w:rPr>
                <w:rFonts w:ascii="arial" w:hAnsi="arial"/>
                <w:sz w:val="20"/>
              </w:rPr>
              <w:t xml:space="preserve">Tax expense on adjusted earnings and cash tax differences in excess of 5% of targets (positive or negative). </w:t>
            </w:r>
          </w:p>
        </w:tc>
      </w:tr>
    </w:tbl>
    <w:p>
      <w:pPr>
        <w:pStyle w:val="TextBody"/>
        <w:spacing w:before="120" w:after="0"/>
        <w:jc w:val="left"/>
        <w:rPr>
          <w:rFonts w:ascii="arial" w:hAnsi="arial"/>
          <w:sz w:val="20"/>
        </w:rPr>
      </w:pPr>
      <w:r>
        <w:rPr>
          <w:rFonts w:ascii="arial" w:hAnsi="arial"/>
          <w:sz w:val="20"/>
        </w:rPr>
        <w:t xml:space="preserve">In addition, as PRSU terms do not expressly account for abnormally high currency volatility, the HR Committee uses a constant currency methodology for all PRSU grants. Using this methodology, performance is measured at actual foreign currency rates within a specified performance range to hold management accountable for managing volatility. Constant currency rates are utilized outside of this range when high volatility is outside of management control. We believe this methodology best measures management performance. </w:t>
      </w:r>
    </w:p>
    <w:p>
      <w:pPr>
        <w:pStyle w:val="TextBody"/>
        <w:spacing w:before="120" w:after="0"/>
        <w:jc w:val="left"/>
        <w:rPr>
          <w:rFonts w:ascii="arial" w:hAnsi="arial"/>
          <w:sz w:val="20"/>
        </w:rPr>
      </w:pPr>
      <w:r>
        <w:rPr>
          <w:rFonts w:ascii="arial" w:hAnsi="arial"/>
          <w:sz w:val="20"/>
        </w:rPr>
        <w:t xml:space="preserve">As previously mentioned, PRSUs for the 2020-2022 performance period had a payout of 88% of target. For plan purposes, organic revenue growth had an average annual growth rate of 4.1% during the performance period compared to a target of 5.0%. Free cash flow per share for plan purposes had an average of $2.78 during the performance period compared to a target of $2.76.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following table sets forth information regarding our minimum, target, maximum and actual performance for the two financial metrics reflected in PRSUs granted to our named executive officers in 2020 for the three-year performance period ended December 31, 2022. These PRSU awards utilized average performance for organic revenue growth and free cash flow per share for the three-year period. The 2020-2022 targets for organic revenue growth and free cash flow per share contemplated increases each year for both metrics during the performance period. The results below are not directly comparable to similar financial measures that we disclose in our 2022 annual report because they are based on our internal operating plan. </w:t>
      </w:r>
    </w:p>
    <w:p>
      <w:pPr>
        <w:pStyle w:val="TextBody"/>
        <w:spacing w:before="0" w:after="0"/>
        <w:jc w:val="left"/>
        <w:rPr/>
      </w:pPr>
      <w:r>
        <w:rPr/>
        <w:t> </w:t>
      </w:r>
    </w:p>
    <w:p>
      <w:pPr>
        <w:pStyle w:val="TextBody"/>
        <w:spacing w:before="0" w:after="0"/>
        <w:jc w:val="center"/>
        <w:rPr/>
      </w:pPr>
      <w:r>
        <w:rPr/>
        <w:drawing>
          <wp:inline distT="0" distB="0" distL="0" distR="0">
            <wp:extent cx="577850" cy="12509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577850" cy="12509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Stock options </w:t>
      </w:r>
    </w:p>
    <w:p>
      <w:pPr>
        <w:pStyle w:val="TextBody"/>
        <w:spacing w:before="40" w:after="0"/>
        <w:jc w:val="left"/>
        <w:rPr>
          <w:rFonts w:ascii="arial" w:hAnsi="arial"/>
          <w:sz w:val="20"/>
        </w:rPr>
      </w:pPr>
      <w:r>
        <w:rPr>
          <w:rFonts w:ascii="arial" w:hAnsi="arial"/>
          <w:sz w:val="20"/>
        </w:rPr>
        <w:t xml:space="preserve">All options granted in 2022 vest 25% per year over four years. The exercise prices for options granted were equal to the closing price of our shares on the NYSE on the trading day immediately preceding the date of the grant. The expiration date for options granted in 2022 is 10 years from the grant date. Options expire at the later of the expiration date or, if that date occurs during a blackout period or other period during which an insider is prohibited from trading in our securities by our insider trading policy, 10 business days after the period ends, subject to certain exceptions. Other than their alignment to our companys share price, options do not contain additional performance goals. </w:t>
      </w:r>
    </w:p>
    <w:p>
      <w:pPr>
        <w:pStyle w:val="TextBody"/>
        <w:spacing w:before="120" w:after="0"/>
        <w:jc w:val="left"/>
        <w:rPr>
          <w:rFonts w:ascii="arial" w:hAnsi="arial"/>
          <w:sz w:val="20"/>
        </w:rPr>
      </w:pPr>
      <w:r>
        <w:rPr>
          <w:rFonts w:ascii="arial" w:hAnsi="arial"/>
          <w:sz w:val="20"/>
        </w:rPr>
        <w:t xml:space="preserve">In determining the number of options to be granted to each named executive officer, the HR Committee initially determines a target economic value for the total award. For options granted in 2022, the HR Committee calculated the grant date fair values using common share prices and a Black-Scholes valuation (as described in more detail in the Summary Compensation Table contained in this circular). The HR Committee uses a Black-Scholes value in order to maintain year-to-year consistency in determining the number of options to be granted. </w:t>
      </w:r>
    </w:p>
    <w:p>
      <w:pPr>
        <w:pStyle w:val="TextBody"/>
        <w:spacing w:before="120" w:after="0"/>
        <w:jc w:val="left"/>
        <w:rPr>
          <w:rFonts w:ascii="arial" w:hAnsi="arial"/>
          <w:color w:val="B94831"/>
          <w:sz w:val="28"/>
        </w:rPr>
      </w:pPr>
      <w:r>
        <w:rPr>
          <w:rFonts w:ascii="arial" w:hAnsi="arial"/>
          <w:color w:val="B94831"/>
          <w:sz w:val="28"/>
        </w:rPr>
        <w:t xml:space="preserve">TRSUs </w:t>
      </w:r>
    </w:p>
    <w:p>
      <w:pPr>
        <w:pStyle w:val="TextBody"/>
        <w:spacing w:before="40" w:after="0"/>
        <w:jc w:val="left"/>
        <w:rPr>
          <w:rFonts w:ascii="arial" w:hAnsi="arial"/>
          <w:sz w:val="20"/>
        </w:rPr>
      </w:pPr>
      <w:r>
        <w:rPr>
          <w:rFonts w:ascii="arial" w:hAnsi="arial"/>
          <w:sz w:val="20"/>
        </w:rPr>
        <w:t xml:space="preserve">2022 long-term incentive awards included a component of TRSUs to promote retention. These TRSUs are scheduled to vest in 2025, subject to award terms and conditions. </w:t>
      </w:r>
    </w:p>
    <w:p>
      <w:pPr>
        <w:pStyle w:val="TextBody"/>
        <w:spacing w:before="120" w:after="0"/>
        <w:jc w:val="left"/>
        <w:rPr>
          <w:rFonts w:ascii="arial" w:hAnsi="arial"/>
          <w:sz w:val="20"/>
        </w:rPr>
      </w:pPr>
      <w:r>
        <w:rPr>
          <w:rFonts w:ascii="arial" w:hAnsi="arial"/>
          <w:sz w:val="20"/>
        </w:rPr>
        <w:t xml:space="preserve">While TRSUs are not subject to performance conditions, we believe they are effective retention tools as their value is often seen as more tangible by recipients and they require longer-time service to be earned. The value of TRSUs is directly aligned with our share price and is consistent with our philosophy of paying competitive compensation.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55" w:name="tx494196_cd15"/>
      <w:bookmarkStart w:id="56" w:name="tx494196_43"/>
      <w:bookmarkEnd w:id="55"/>
      <w:bookmarkEnd w:id="56"/>
      <w:r>
        <w:rPr>
          <w:rFonts w:ascii="Arial" w:hAnsi="Arial"/>
          <w:b/>
          <w:sz w:val="28"/>
        </w:rPr>
        <w:t xml:space="preserve">2022 Named Executive Officer Compensation and Key Accomplishments </w:t>
      </w:r>
    </w:p>
    <w:p>
      <w:pPr>
        <w:pStyle w:val="TextBody"/>
        <w:spacing w:before="120" w:after="0"/>
        <w:jc w:val="left"/>
        <w:rPr>
          <w:rFonts w:ascii="arial" w:hAnsi="arial"/>
          <w:sz w:val="20"/>
        </w:rPr>
      </w:pPr>
      <w:r>
        <w:rPr>
          <w:rFonts w:ascii="arial" w:hAnsi="arial"/>
          <w:sz w:val="20"/>
        </w:rPr>
        <w:t xml:space="preserve">The following section provides information about 2022 performance and compensation for our named executive officers. The tables in this section help show how we pay for performance. In the tables below, compensation figures reflect target total direct compensation as at the end of 2022 as opposed to actual compensation received for 2022 (as described in the summary compensation table). </w:t>
      </w:r>
    </w:p>
    <w:p>
      <w:pPr>
        <w:pStyle w:val="TextBody"/>
        <w:spacing w:before="0" w:after="0"/>
        <w:jc w:val="left"/>
        <w:rPr/>
      </w:pPr>
      <w:r>
        <w:rPr/>
        <w:t> </w:t>
      </w:r>
    </w:p>
    <w:p>
      <w:pPr>
        <w:pStyle w:val="TextBody"/>
        <w:pBdr>
          <w:bottom w:val="single" w:sz="2" w:space="1" w:color="B94831"/>
        </w:pBdr>
        <w:spacing w:lineRule="atLeast" w:line="141" w:before="0" w:after="4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87"/>
        <w:gridCol w:w="123"/>
        <w:gridCol w:w="8495"/>
      </w:tblGrid>
      <w:tr>
        <w:trPr/>
        <w:tc>
          <w:tcPr>
            <w:tcW w:w="158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495" w:type="dxa"/>
            <w:tcBorders/>
            <w:shd w:fill="auto" w:val="clear"/>
            <w:vAlign w:val="center"/>
          </w:tcPr>
          <w:p>
            <w:pPr>
              <w:pStyle w:val="TableContents"/>
              <w:spacing w:before="0" w:after="283"/>
              <w:rPr>
                <w:sz w:val="4"/>
                <w:szCs w:val="4"/>
              </w:rPr>
            </w:pPr>
            <w:r>
              <w:rPr>
                <w:sz w:val="4"/>
                <w:szCs w:val="4"/>
              </w:rPr>
            </w:r>
          </w:p>
        </w:tc>
      </w:tr>
      <w:tr>
        <w:trPr/>
        <w:tc>
          <w:tcPr>
            <w:tcW w:w="1587" w:type="dxa"/>
            <w:tcBorders/>
            <w:shd w:fill="auto" w:val="clear"/>
          </w:tcPr>
          <w:p>
            <w:pPr>
              <w:pStyle w:val="TableContents"/>
              <w:spacing w:before="0" w:after="0"/>
              <w:rPr/>
            </w:pPr>
            <w:r>
              <w:rPr/>
              <w:drawing>
                <wp:inline distT="0" distB="0" distL="0" distR="0">
                  <wp:extent cx="108585" cy="10858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08585" cy="108585"/>
                          </a:xfrm>
                          <a:prstGeom prst="rect">
                            <a:avLst/>
                          </a:prstGeom>
                        </pic:spPr>
                      </pic:pic>
                    </a:graphicData>
                  </a:graphic>
                </wp:inline>
              </w:drawing>
            </w:r>
            <w:r>
              <w:rPr/>
              <w:t xml:space="preserve"> </w:t>
            </w:r>
          </w:p>
        </w:tc>
        <w:tc>
          <w:tcPr>
            <w:tcW w:w="123" w:type="dxa"/>
            <w:tcBorders/>
            <w:shd w:fill="auto" w:val="clear"/>
            <w:vAlign w:val="bottom"/>
          </w:tcPr>
          <w:p>
            <w:pPr>
              <w:pStyle w:val="TableContents"/>
              <w:spacing w:before="0" w:after="283"/>
              <w:rPr/>
            </w:pPr>
            <w:r>
              <w:rPr/>
              <w:t>  </w:t>
            </w:r>
          </w:p>
        </w:tc>
        <w:tc>
          <w:tcPr>
            <w:tcW w:w="8495" w:type="dxa"/>
            <w:tcBorders/>
            <w:shd w:fill="auto" w:val="clear"/>
          </w:tcPr>
          <w:p>
            <w:pPr>
              <w:pStyle w:val="TableContents"/>
              <w:spacing w:before="0" w:after="0"/>
              <w:rPr>
                <w:rFonts w:ascii="Arial" w:hAnsi="Arial"/>
                <w:b/>
                <w:color w:val="B94831"/>
                <w:sz w:val="28"/>
              </w:rPr>
            </w:pPr>
            <w:r>
              <w:rPr>
                <w:rFonts w:ascii="Arial" w:hAnsi="Arial"/>
                <w:b/>
                <w:color w:val="B94831"/>
                <w:sz w:val="28"/>
              </w:rPr>
              <w:t>Steve Hasker</w:t>
            </w:r>
          </w:p>
          <w:p>
            <w:pPr>
              <w:pStyle w:val="TableContents"/>
              <w:spacing w:before="0" w:after="0"/>
              <w:rPr>
                <w:rFonts w:ascii="arial" w:hAnsi="arial"/>
                <w:color w:val="B94831"/>
                <w:sz w:val="28"/>
              </w:rPr>
            </w:pPr>
            <w:r>
              <w:rPr>
                <w:rFonts w:ascii="arial" w:hAnsi="arial"/>
                <w:color w:val="B94831"/>
                <w:sz w:val="28"/>
              </w:rPr>
              <w:t>President and Chief Executive Officer</w:t>
            </w:r>
          </w:p>
          <w:p>
            <w:pPr>
              <w:pStyle w:val="TableContents"/>
              <w:spacing w:before="0" w:after="0"/>
              <w:rPr/>
            </w:pPr>
            <w:r>
              <w:rPr/>
              <w:t> </w:t>
            </w:r>
          </w:p>
          <w:p>
            <w:pPr>
              <w:pStyle w:val="TableContents"/>
              <w:spacing w:before="0" w:after="20"/>
              <w:rPr>
                <w:rFonts w:ascii="arial" w:hAnsi="arial"/>
                <w:sz w:val="20"/>
              </w:rPr>
            </w:pPr>
            <w:r>
              <w:rPr>
                <w:rFonts w:ascii="arial" w:hAnsi="arial"/>
                <w:sz w:val="20"/>
              </w:rPr>
              <w:t>Steve Hasker has been President and Chief Executive Officer and a director of our company since March 2020. Prior to joining Thomson Reuters in February 2020, he was Senior Adviser to TPG Capital, a private equity firm, from August 2019 to February 2020. Prior to that, Steve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Steve has an undergraduate economics degree from the University of Melbourne and received an MBA and masters in international affairs from Columbia University. Steve is also a non-executive director of Appen Limited. He is a member of the Australia and New Zealand Institute of Chartered Accountants.</w:t>
            </w:r>
          </w:p>
        </w:tc>
      </w:tr>
    </w:tbl>
    <w:p>
      <w:pPr>
        <w:pStyle w:val="TextBody"/>
        <w:spacing w:before="120" w:after="0"/>
        <w:jc w:val="left"/>
        <w:rPr>
          <w:rFonts w:ascii="arial" w:hAnsi="arial"/>
          <w:color w:val="B94831"/>
          <w:sz w:val="28"/>
        </w:rPr>
      </w:pPr>
      <w:r>
        <w:rPr>
          <w:rFonts w:ascii="arial" w:hAnsi="arial"/>
          <w:color w:val="B94831"/>
          <w:sz w:val="28"/>
        </w:rPr>
        <w:t xml:space="preserve">2022 Performance </w:t>
      </w:r>
    </w:p>
    <w:p>
      <w:pPr>
        <w:pStyle w:val="TextBody"/>
        <w:spacing w:before="40" w:after="0"/>
        <w:jc w:val="left"/>
        <w:rPr>
          <w:rFonts w:ascii="arial" w:hAnsi="arial"/>
          <w:sz w:val="20"/>
        </w:rPr>
      </w:pPr>
      <w:r>
        <w:rPr>
          <w:rFonts w:ascii="arial" w:hAnsi="arial"/>
          <w:sz w:val="20"/>
        </w:rPr>
        <w:t xml:space="preserve">Under Steves leadership in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0"/>
        <w:gridCol w:w="107"/>
        <w:gridCol w:w="9662"/>
      </w:tblGrid>
      <w:tr>
        <w:trPr/>
        <w:tc>
          <w:tcPr>
            <w:tcW w:w="206" w:type="dxa"/>
            <w:tcBorders/>
            <w:shd w:fill="auto" w:val="clear"/>
            <w:vAlign w:val="center"/>
          </w:tcPr>
          <w:p>
            <w:pPr>
              <w:pStyle w:val="TableContents"/>
              <w:spacing w:before="0" w:after="283"/>
              <w:rPr/>
            </w:pPr>
            <w:r>
              <w:rPr/>
              <w:t> </w:t>
            </w:r>
          </w:p>
        </w:tc>
        <w:tc>
          <w:tcPr>
            <w:tcW w:w="230" w:type="dxa"/>
            <w:tcBorders/>
            <w:shd w:fill="auto" w:val="clear"/>
          </w:tcPr>
          <w:p>
            <w:pPr>
              <w:pStyle w:val="TableContents"/>
              <w:spacing w:before="0" w:after="283"/>
              <w:jc w:val="left"/>
              <w:rPr/>
            </w:pPr>
            <w:r>
              <w:rPr/>
              <w:t>● </w:t>
            </w:r>
          </w:p>
        </w:tc>
        <w:tc>
          <w:tcPr>
            <w:tcW w:w="107" w:type="dxa"/>
            <w:tcBorders/>
            <w:shd w:fill="auto" w:val="clear"/>
          </w:tcPr>
          <w:p>
            <w:pPr>
              <w:pStyle w:val="TableContents"/>
              <w:spacing w:before="0" w:after="283"/>
              <w:rPr/>
            </w:pPr>
            <w:r>
              <w:rPr/>
              <w:t> </w:t>
            </w:r>
          </w:p>
        </w:tc>
        <w:tc>
          <w:tcPr>
            <w:tcW w:w="9662" w:type="dxa"/>
            <w:tcBorders/>
            <w:shd w:fill="auto" w:val="clear"/>
          </w:tcPr>
          <w:p>
            <w:pPr>
              <w:pStyle w:val="TableContents"/>
              <w:spacing w:before="0" w:after="0"/>
              <w:jc w:val="left"/>
              <w:rPr>
                <w:rFonts w:ascii="arial" w:hAnsi="arial"/>
                <w:sz w:val="20"/>
              </w:rPr>
            </w:pPr>
            <w:r>
              <w:rPr>
                <w:rFonts w:ascii="arial" w:hAnsi="arial"/>
                <w:sz w:val="20"/>
              </w:rPr>
              <w:t xml:space="preserve">We completed the two-year Change Program, which marked a turning point in our transition from a holding company into an operating company, and from a content provider into a content-driven technology company. We invested nearly $600 million on technology, organizational and market-related initiatives. As of December 31, 2022, we achieved $540 million of annualized run-rate operating expense savings, and made significant progress transforming Thomson Reuters into a more streamlined and scalable business that we believe now has a strong foundation for sustainable future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2"/>
        <w:gridCol w:w="108"/>
        <w:gridCol w:w="9657"/>
      </w:tblGrid>
      <w:tr>
        <w:trPr/>
        <w:tc>
          <w:tcPr>
            <w:tcW w:w="208"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7" w:type="dxa"/>
            <w:tcBorders/>
            <w:shd w:fill="auto" w:val="clear"/>
          </w:tcPr>
          <w:p>
            <w:pPr>
              <w:pStyle w:val="TableContents"/>
              <w:spacing w:before="0" w:after="0"/>
              <w:jc w:val="left"/>
              <w:rPr>
                <w:rFonts w:ascii="arial" w:hAnsi="arial"/>
                <w:sz w:val="20"/>
              </w:rPr>
            </w:pPr>
            <w:r>
              <w:rPr>
                <w:rFonts w:ascii="arial" w:hAnsi="arial"/>
                <w:sz w:val="20"/>
              </w:rPr>
              <w:t xml:space="preserve">We achieved nearly all of our 2022 financial targets, including organic revenue, adjusted EBITDA margin and free cash flow, setting up the company to invest in its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8"/>
        <w:gridCol w:w="109"/>
        <w:gridCol w:w="9652"/>
      </w:tblGrid>
      <w:tr>
        <w:trPr/>
        <w:tc>
          <w:tcPr>
            <w:tcW w:w="206" w:type="dxa"/>
            <w:tcBorders/>
            <w:shd w:fill="auto" w:val="clear"/>
            <w:vAlign w:val="center"/>
          </w:tcPr>
          <w:p>
            <w:pPr>
              <w:pStyle w:val="TableContents"/>
              <w:spacing w:before="0" w:after="283"/>
              <w:rPr/>
            </w:pPr>
            <w:r>
              <w:rPr/>
              <w:t> </w:t>
            </w:r>
          </w:p>
        </w:tc>
        <w:tc>
          <w:tcPr>
            <w:tcW w:w="238"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2" w:type="dxa"/>
            <w:tcBorders/>
            <w:shd w:fill="auto" w:val="clear"/>
          </w:tcPr>
          <w:p>
            <w:pPr>
              <w:pStyle w:val="TableContents"/>
              <w:spacing w:before="0" w:after="0"/>
              <w:jc w:val="left"/>
              <w:rPr>
                <w:rFonts w:ascii="arial" w:hAnsi="arial"/>
                <w:sz w:val="20"/>
              </w:rPr>
            </w:pPr>
            <w:r>
              <w:rPr>
                <w:rFonts w:ascii="arial" w:hAnsi="arial"/>
                <w:sz w:val="20"/>
              </w:rPr>
              <w:t xml:space="preserve">We focused on investing in seven strategic investment priorities within our Big 3 segments of Legal Professionals, Corporates and Tax &amp; Accounting Professionals. The businesses that are included in our seven strategic investment priorities grew 8% organically in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1"/>
        <w:gridCol w:w="107"/>
        <w:gridCol w:w="9661"/>
      </w:tblGrid>
      <w:tr>
        <w:trPr/>
        <w:tc>
          <w:tcPr>
            <w:tcW w:w="206" w:type="dxa"/>
            <w:tcBorders/>
            <w:shd w:fill="auto" w:val="clear"/>
            <w:vAlign w:val="center"/>
          </w:tcPr>
          <w:p>
            <w:pPr>
              <w:pStyle w:val="TableContents"/>
              <w:spacing w:before="0" w:after="283"/>
              <w:rPr/>
            </w:pPr>
            <w:r>
              <w:rPr/>
              <w:t> </w:t>
            </w:r>
          </w:p>
        </w:tc>
        <w:tc>
          <w:tcPr>
            <w:tcW w:w="231" w:type="dxa"/>
            <w:tcBorders/>
            <w:shd w:fill="auto" w:val="clear"/>
          </w:tcPr>
          <w:p>
            <w:pPr>
              <w:pStyle w:val="TableContents"/>
              <w:spacing w:before="0" w:after="283"/>
              <w:jc w:val="left"/>
              <w:rPr/>
            </w:pPr>
            <w:r>
              <w:rPr/>
              <w:t>● </w:t>
            </w:r>
          </w:p>
        </w:tc>
        <w:tc>
          <w:tcPr>
            <w:tcW w:w="107" w:type="dxa"/>
            <w:tcBorders/>
            <w:shd w:fill="auto" w:val="clear"/>
          </w:tcPr>
          <w:p>
            <w:pPr>
              <w:pStyle w:val="TableContents"/>
              <w:spacing w:before="0" w:after="283"/>
              <w:rPr/>
            </w:pPr>
            <w:r>
              <w:rPr/>
              <w:t> </w:t>
            </w:r>
          </w:p>
        </w:tc>
        <w:tc>
          <w:tcPr>
            <w:tcW w:w="9661" w:type="dxa"/>
            <w:tcBorders/>
            <w:shd w:fill="auto" w:val="clear"/>
          </w:tcPr>
          <w:p>
            <w:pPr>
              <w:pStyle w:val="TableContents"/>
              <w:spacing w:before="0" w:after="0"/>
              <w:jc w:val="left"/>
              <w:rPr>
                <w:rFonts w:ascii="arial" w:hAnsi="arial"/>
                <w:sz w:val="20"/>
              </w:rPr>
            </w:pPr>
            <w:r>
              <w:rPr>
                <w:rFonts w:ascii="arial" w:hAnsi="arial"/>
                <w:sz w:val="20"/>
              </w:rPr>
              <w:t xml:space="preserve">In 2022, we acquired ThoughtTrace, Gestta, PLX AI ApS and entered into a definitive agreement to acquire SurePrep, LLC, which closed on January 3, 2023. </w:t>
            </w:r>
          </w:p>
        </w:tc>
      </w:tr>
    </w:tbl>
    <w:p>
      <w:pPr>
        <w:pStyle w:val="TextBody"/>
        <w:spacing w:before="120" w:after="0"/>
        <w:jc w:val="left"/>
        <w:rPr>
          <w:rFonts w:ascii="arial" w:hAnsi="arial"/>
          <w:color w:val="B94831"/>
          <w:sz w:val="28"/>
        </w:rPr>
      </w:pPr>
      <w:r>
        <w:rPr>
          <w:rFonts w:ascii="arial" w:hAnsi="arial"/>
          <w:color w:val="B94831"/>
          <w:sz w:val="28"/>
        </w:rPr>
        <w:t xml:space="preserve">2022 Target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80"/>
        <w:gridCol w:w="130"/>
        <w:gridCol w:w="60"/>
        <w:gridCol w:w="1101"/>
        <w:gridCol w:w="68"/>
        <w:gridCol w:w="133"/>
        <w:gridCol w:w="170"/>
        <w:gridCol w:w="2784"/>
        <w:gridCol w:w="180"/>
        <w:gridCol w:w="170"/>
        <w:gridCol w:w="255"/>
        <w:gridCol w:w="1626"/>
        <w:gridCol w:w="230"/>
        <w:gridCol w:w="130"/>
        <w:gridCol w:w="121"/>
        <w:gridCol w:w="530"/>
        <w:gridCol w:w="225"/>
        <w:gridCol w:w="127"/>
        <w:gridCol w:w="178"/>
        <w:gridCol w:w="772"/>
        <w:gridCol w:w="235"/>
      </w:tblGrid>
      <w:tr>
        <w:trPr/>
        <w:tc>
          <w:tcPr>
            <w:tcW w:w="9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980" w:type="dxa"/>
            <w:tcBorders/>
            <w:shd w:fill="auto" w:val="clear"/>
            <w:vAlign w:val="center"/>
          </w:tcPr>
          <w:p>
            <w:pPr>
              <w:pStyle w:val="TableContents"/>
              <w:spacing w:before="0" w:after="283"/>
              <w:rPr>
                <w:sz w:val="4"/>
                <w:szCs w:val="4"/>
              </w:rPr>
            </w:pPr>
            <w:r>
              <w:rPr>
                <w:sz w:val="4"/>
                <w:szCs w:val="4"/>
              </w:rPr>
            </w:r>
          </w:p>
        </w:tc>
        <w:tc>
          <w:tcPr>
            <w:tcW w:w="1359" w:type="dxa"/>
            <w:gridSpan w:val="4"/>
            <w:tcBorders/>
            <w:shd w:fill="auto" w:val="clear"/>
            <w:vAlign w:val="center"/>
          </w:tcPr>
          <w:p>
            <w:pPr>
              <w:pStyle w:val="TableContents"/>
              <w:spacing w:before="0" w:after="283"/>
              <w:rPr>
                <w:sz w:val="4"/>
                <w:szCs w:val="4"/>
              </w:rPr>
            </w:pPr>
            <w:r>
              <w:rPr>
                <w:sz w:val="4"/>
                <w:szCs w:val="4"/>
              </w:rPr>
            </w:r>
          </w:p>
        </w:tc>
        <w:tc>
          <w:tcPr>
            <w:tcW w:w="5548" w:type="dxa"/>
            <w:gridSpan w:val="8"/>
            <w:tcBorders>
              <w:top w:val="single" w:sz="2" w:space="0" w:color="B94831"/>
              <w:left w:val="single" w:sz="2" w:space="0" w:color="AFAFAF"/>
              <w:right w:val="single" w:sz="2" w:space="0" w:color="AFAFAF"/>
            </w:tcBorders>
            <w:shd w:fill="auto" w:val="clear"/>
            <w:tcMar>
              <w:top w:w="28" w:type="dxa"/>
              <w:left w:w="28" w:type="dxa"/>
              <w:right w:w="28" w:type="dxa"/>
            </w:tcMar>
            <w:vAlign w:val="center"/>
          </w:tcPr>
          <w:p>
            <w:pPr>
              <w:pStyle w:val="TableContents"/>
              <w:spacing w:before="0" w:after="283"/>
              <w:rPr/>
            </w:pPr>
            <w:r>
              <w:rPr/>
              <w:t> </w:t>
            </w:r>
          </w:p>
        </w:tc>
        <w:tc>
          <w:tcPr>
            <w:tcW w:w="1006" w:type="dxa"/>
            <w:gridSpan w:val="4"/>
            <w:tcBorders>
              <w:top w:val="single" w:sz="2" w:space="0" w:color="B94831"/>
            </w:tcBorders>
            <w:shd w:fill="BFBFBF" w:val="clear"/>
            <w:tcMar>
              <w:top w:w="28" w:type="dxa"/>
            </w:tcMar>
            <w:vAlign w:val="center"/>
          </w:tcPr>
          <w:p>
            <w:pPr>
              <w:pStyle w:val="TableContents"/>
              <w:spacing w:before="0" w:after="283"/>
              <w:rPr/>
            </w:pPr>
            <w:r>
              <w:rPr/>
              <w:t> </w:t>
            </w:r>
          </w:p>
        </w:tc>
        <w:tc>
          <w:tcPr>
            <w:tcW w:w="1312" w:type="dxa"/>
            <w:gridSpan w:val="4"/>
            <w:tcBorders>
              <w:top w:val="single" w:sz="2" w:space="0" w:color="B94831"/>
              <w:left w:val="single" w:sz="2" w:space="0" w:color="AFAFAF"/>
            </w:tcBorders>
            <w:shd w:fill="BFBFBF" w:val="clear"/>
            <w:tcMar>
              <w:top w:w="28" w:type="dxa"/>
              <w:left w:w="28" w:type="dxa"/>
            </w:tcMar>
            <w:vAlign w:val="center"/>
          </w:tcPr>
          <w:p>
            <w:pPr>
              <w:pStyle w:val="TableContents"/>
              <w:spacing w:before="0" w:after="283"/>
              <w:rPr/>
            </w:pPr>
            <w:r>
              <w:rPr/>
              <w:t> </w:t>
            </w:r>
          </w:p>
        </w:tc>
      </w:tr>
      <w:tr>
        <w:trPr/>
        <w:tc>
          <w:tcPr>
            <w:tcW w:w="9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1" w:type="dxa"/>
            <w:gridSpan w:val="2"/>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33"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5185" w:type="dxa"/>
            <w:gridSpan w:val="6"/>
            <w:tcBorders>
              <w:bottom w:val="single" w:sz="2"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Target Total Direct Compensation (2022)</w:t>
            </w:r>
          </w:p>
        </w:tc>
        <w:tc>
          <w:tcPr>
            <w:tcW w:w="230" w:type="dxa"/>
            <w:tcBorders>
              <w:bottom w:val="single" w:sz="2"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0" w:type="dxa"/>
            <w:tcBorders>
              <w:bottom w:val="single" w:sz="2"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Fixed</w:t>
            </w:r>
          </w:p>
        </w:tc>
        <w:tc>
          <w:tcPr>
            <w:tcW w:w="225" w:type="dxa"/>
            <w:tcBorders>
              <w:bottom w:val="single" w:sz="2" w:space="0" w:color="B94831"/>
            </w:tcBorders>
            <w:shd w:fill="BFBFBF" w:val="clear"/>
            <w:tcMar>
              <w:bottom w:w="28" w:type="dxa"/>
            </w:tcMar>
            <w:vAlign w:val="bottom"/>
          </w:tcPr>
          <w:p>
            <w:pPr>
              <w:pStyle w:val="TableContents"/>
              <w:spacing w:before="0" w:after="283"/>
              <w:rPr/>
            </w:pPr>
            <w:r>
              <w:rPr/>
              <w:t> </w:t>
            </w:r>
          </w:p>
        </w:tc>
        <w:tc>
          <w:tcPr>
            <w:tcW w:w="127" w:type="dxa"/>
            <w:tcBorders>
              <w:left w:val="single" w:sz="2" w:space="0" w:color="AFAFAF"/>
              <w:bottom w:val="single" w:sz="2"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Variable</w:t>
            </w:r>
          </w:p>
        </w:tc>
        <w:tc>
          <w:tcPr>
            <w:tcW w:w="235" w:type="dxa"/>
            <w:tcBorders>
              <w:bottom w:val="single" w:sz="2" w:space="0" w:color="B94831"/>
            </w:tcBorders>
            <w:shd w:fill="BFBFBF" w:val="clear"/>
            <w:tcMar>
              <w:bottom w:w="28" w:type="dxa"/>
            </w:tcMar>
            <w:vAlign w:val="bottom"/>
          </w:tcPr>
          <w:p>
            <w:pPr>
              <w:pStyle w:val="TableContents"/>
              <w:spacing w:before="0" w:after="283"/>
              <w:rPr/>
            </w:pPr>
            <w:r>
              <w:rPr/>
              <w:t> </w:t>
            </w:r>
          </w:p>
        </w:tc>
      </w:tr>
      <w:tr>
        <w:trPr/>
        <w:tc>
          <w:tcPr>
            <w:tcW w:w="980" w:type="dxa"/>
            <w:tcBorders>
              <w:bottom w:val="single" w:sz="8" w:space="0" w:color="B94831"/>
            </w:tcBorders>
            <w:shd w:fill="auto" w:val="clear"/>
            <w:tcMar>
              <w:bottom w:w="28" w:type="dxa"/>
            </w:tcMar>
            <w:vAlign w:val="bottom"/>
          </w:tcPr>
          <w:p>
            <w:pPr>
              <w:pStyle w:val="TableContents"/>
              <w:spacing w:before="0" w:after="283"/>
              <w:rPr/>
            </w:pPr>
            <w:r>
              <w:rPr/>
              <w:t>  </w:t>
            </w:r>
          </w:p>
        </w:tc>
        <w:tc>
          <w:tcPr>
            <w:tcW w:w="130" w:type="dxa"/>
            <w:tcBorders>
              <w:bottom w:val="single" w:sz="8" w:space="0" w:color="B94831"/>
            </w:tcBorders>
            <w:shd w:fill="auto" w:val="clear"/>
            <w:tcMar>
              <w:bottom w:w="28" w:type="dxa"/>
            </w:tcMar>
            <w:vAlign w:val="bottom"/>
          </w:tcPr>
          <w:p>
            <w:pPr>
              <w:pStyle w:val="TableContents"/>
              <w:spacing w:before="0" w:after="283"/>
              <w:rPr/>
            </w:pPr>
            <w:r>
              <w:rPr/>
              <w:t>  </w:t>
            </w:r>
          </w:p>
        </w:tc>
        <w:tc>
          <w:tcPr>
            <w:tcW w:w="1161"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C$</w:t>
            </w:r>
          </w:p>
        </w:tc>
        <w:tc>
          <w:tcPr>
            <w:tcW w:w="6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54"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US$</w:t>
            </w:r>
          </w:p>
        </w:tc>
        <w:tc>
          <w:tcPr>
            <w:tcW w:w="180"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81"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 of base salary</w:t>
            </w:r>
          </w:p>
        </w:tc>
        <w:tc>
          <w:tcPr>
            <w:tcW w:w="230"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2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7"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35" w:type="dxa"/>
            <w:tcBorders>
              <w:bottom w:val="single" w:sz="8" w:space="0" w:color="B94831"/>
            </w:tcBorders>
            <w:shd w:fill="BFBFBF" w:val="clear"/>
            <w:tcMar>
              <w:bottom w:w="28" w:type="dxa"/>
            </w:tcMar>
            <w:vAlign w:val="bottom"/>
          </w:tcPr>
          <w:p>
            <w:pPr>
              <w:pStyle w:val="TableContents"/>
              <w:spacing w:before="0" w:after="283"/>
              <w:rPr/>
            </w:pPr>
            <w:r>
              <w:rPr/>
              <w:t> </w:t>
            </w:r>
          </w:p>
        </w:tc>
      </w:tr>
      <w:tr>
        <w:trPr/>
        <w:tc>
          <w:tcPr>
            <w:tcW w:w="98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Base salary</w:t>
            </w:r>
          </w:p>
        </w:tc>
        <w:tc>
          <w:tcPr>
            <w:tcW w:w="13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jc w:val="right"/>
              <w:rPr/>
            </w:pPr>
            <w:r>
              <w:rPr/>
              <w:t>1,495,000</w:t>
            </w:r>
          </w:p>
        </w:tc>
        <w:tc>
          <w:tcPr>
            <w:tcW w:w="6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4" w:type="dxa"/>
            <w:tcBorders>
              <w:bottom w:val="single" w:sz="2" w:space="0" w:color="AFAFAF"/>
            </w:tcBorders>
            <w:shd w:fill="auto" w:val="clear"/>
            <w:tcMar>
              <w:bottom w:w="28" w:type="dxa"/>
            </w:tcMar>
            <w:vAlign w:val="bottom"/>
          </w:tcPr>
          <w:p>
            <w:pPr>
              <w:pStyle w:val="TableContents"/>
              <w:spacing w:before="0" w:after="283"/>
              <w:jc w:val="right"/>
              <w:rPr/>
            </w:pPr>
            <w:r>
              <w:rPr/>
              <w:t>1,146,685</w:t>
            </w:r>
          </w:p>
        </w:tc>
        <w:tc>
          <w:tcPr>
            <w:tcW w:w="180"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5" w:type="dxa"/>
            <w:tcBorders>
              <w:bottom w:val="single" w:sz="2" w:space="0" w:color="AFAFAF"/>
            </w:tcBorders>
            <w:shd w:fill="auto" w:val="clear"/>
            <w:tcMar>
              <w:bottom w:w="28" w:type="dxa"/>
            </w:tcMar>
            <w:vAlign w:val="bottom"/>
          </w:tcPr>
          <w:p>
            <w:pPr>
              <w:pStyle w:val="TableContents"/>
              <w:spacing w:before="0" w:after="283"/>
              <w:rPr/>
            </w:pPr>
            <w:r>
              <w:rPr/>
              <w:t> </w:t>
            </w:r>
          </w:p>
        </w:tc>
        <w:tc>
          <w:tcPr>
            <w:tcW w:w="1626"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230"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12</w:t>
            </w:r>
          </w:p>
        </w:tc>
        <w:tc>
          <w:tcPr>
            <w:tcW w:w="225" w:type="dxa"/>
            <w:tcBorders>
              <w:bottom w:val="single" w:sz="2" w:space="0" w:color="AFAFAF"/>
            </w:tcBorders>
            <w:shd w:fill="BFBFBF" w:val="clear"/>
            <w:tcMar>
              <w:bottom w:w="28" w:type="dxa"/>
            </w:tcMar>
            <w:vAlign w:val="bottom"/>
          </w:tcPr>
          <w:p>
            <w:pPr>
              <w:pStyle w:val="TableContents"/>
              <w:spacing w:before="0" w:after="283"/>
              <w:rPr/>
            </w:pPr>
            <w:r>
              <w:rPr/>
              <w:t>%</w:t>
            </w:r>
          </w:p>
        </w:tc>
        <w:tc>
          <w:tcPr>
            <w:tcW w:w="127"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rPr/>
            </w:pPr>
            <w:r>
              <w:rPr/>
              <w:t> </w:t>
            </w:r>
          </w:p>
        </w:tc>
        <w:tc>
          <w:tcPr>
            <w:tcW w:w="235" w:type="dxa"/>
            <w:tcBorders>
              <w:bottom w:val="single" w:sz="2" w:space="0" w:color="AFAFAF"/>
            </w:tcBorders>
            <w:shd w:fill="BFBFBF" w:val="clear"/>
            <w:tcMar>
              <w:bottom w:w="28" w:type="dxa"/>
            </w:tcMar>
            <w:vAlign w:val="bottom"/>
          </w:tcPr>
          <w:p>
            <w:pPr>
              <w:pStyle w:val="TableContents"/>
              <w:spacing w:before="0" w:after="283"/>
              <w:rPr/>
            </w:pPr>
            <w:r>
              <w:rPr/>
              <w:t> </w:t>
            </w:r>
          </w:p>
        </w:tc>
      </w:tr>
      <w:tr>
        <w:trPr/>
        <w:tc>
          <w:tcPr>
            <w:tcW w:w="98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Annual incentive award</w:t>
            </w:r>
          </w:p>
        </w:tc>
        <w:tc>
          <w:tcPr>
            <w:tcW w:w="13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101" w:type="dxa"/>
            <w:tcBorders>
              <w:bottom w:val="single" w:sz="2" w:space="0" w:color="AFAFAF"/>
            </w:tcBorders>
            <w:shd w:fill="auto" w:val="clear"/>
            <w:tcMar>
              <w:bottom w:w="28" w:type="dxa"/>
            </w:tcMar>
            <w:vAlign w:val="bottom"/>
          </w:tcPr>
          <w:p>
            <w:pPr>
              <w:pStyle w:val="TableContents"/>
              <w:spacing w:before="0" w:after="283"/>
              <w:jc w:val="right"/>
              <w:rPr/>
            </w:pPr>
            <w:r>
              <w:rPr/>
              <w:t>2,990,000</w:t>
            </w:r>
          </w:p>
        </w:tc>
        <w:tc>
          <w:tcPr>
            <w:tcW w:w="6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4" w:type="dxa"/>
            <w:tcBorders>
              <w:bottom w:val="single" w:sz="2" w:space="0" w:color="AFAFAF"/>
            </w:tcBorders>
            <w:shd w:fill="auto" w:val="clear"/>
            <w:tcMar>
              <w:bottom w:w="28" w:type="dxa"/>
            </w:tcMar>
            <w:vAlign w:val="bottom"/>
          </w:tcPr>
          <w:p>
            <w:pPr>
              <w:pStyle w:val="TableContents"/>
              <w:spacing w:before="0" w:after="283"/>
              <w:jc w:val="right"/>
              <w:rPr/>
            </w:pPr>
            <w:r>
              <w:rPr/>
              <w:t>2,293,370</w:t>
            </w:r>
          </w:p>
        </w:tc>
        <w:tc>
          <w:tcPr>
            <w:tcW w:w="180"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5" w:type="dxa"/>
            <w:tcBorders>
              <w:bottom w:val="single" w:sz="2" w:space="0" w:color="AFAFAF"/>
            </w:tcBorders>
            <w:shd w:fill="auto" w:val="clear"/>
            <w:tcMar>
              <w:bottom w:w="28" w:type="dxa"/>
            </w:tcMar>
            <w:vAlign w:val="bottom"/>
          </w:tcPr>
          <w:p>
            <w:pPr>
              <w:pStyle w:val="TableContents"/>
              <w:spacing w:before="0" w:after="283"/>
              <w:rPr/>
            </w:pPr>
            <w:r>
              <w:rPr/>
              <w:t> </w:t>
            </w:r>
          </w:p>
        </w:tc>
        <w:tc>
          <w:tcPr>
            <w:tcW w:w="1626" w:type="dxa"/>
            <w:tcBorders>
              <w:bottom w:val="single" w:sz="2" w:space="0" w:color="AFAFAF"/>
            </w:tcBorders>
            <w:shd w:fill="auto" w:val="clear"/>
            <w:tcMar>
              <w:bottom w:w="28" w:type="dxa"/>
            </w:tcMar>
            <w:vAlign w:val="bottom"/>
          </w:tcPr>
          <w:p>
            <w:pPr>
              <w:pStyle w:val="TableContents"/>
              <w:spacing w:before="0" w:after="283"/>
              <w:jc w:val="right"/>
              <w:rPr/>
            </w:pPr>
            <w:r>
              <w:rPr/>
              <w:t>200</w:t>
            </w:r>
          </w:p>
        </w:tc>
        <w:tc>
          <w:tcPr>
            <w:tcW w:w="230"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13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25"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7"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23</w:t>
            </w:r>
          </w:p>
        </w:tc>
        <w:tc>
          <w:tcPr>
            <w:tcW w:w="235" w:type="dxa"/>
            <w:tcBorders>
              <w:bottom w:val="single" w:sz="2" w:space="0" w:color="AFAFAF"/>
            </w:tcBorders>
            <w:shd w:fill="BFBFBF" w:val="clear"/>
            <w:tcMar>
              <w:bottom w:w="28" w:type="dxa"/>
            </w:tcMar>
            <w:vAlign w:val="bottom"/>
          </w:tcPr>
          <w:p>
            <w:pPr>
              <w:pStyle w:val="TableContents"/>
              <w:spacing w:before="0" w:after="283"/>
              <w:rPr/>
            </w:pPr>
            <w:r>
              <w:rPr/>
              <w:t>%</w:t>
            </w:r>
          </w:p>
        </w:tc>
      </w:tr>
      <w:tr>
        <w:trPr/>
        <w:tc>
          <w:tcPr>
            <w:tcW w:w="98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Long-term incentive awards</w:t>
            </w:r>
          </w:p>
        </w:tc>
        <w:tc>
          <w:tcPr>
            <w:tcW w:w="13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1" w:type="dxa"/>
            <w:tcBorders>
              <w:bottom w:val="single" w:sz="8" w:space="0" w:color="B94831"/>
            </w:tcBorders>
            <w:shd w:fill="auto" w:val="clear"/>
            <w:tcMar>
              <w:bottom w:w="28" w:type="dxa"/>
            </w:tcMar>
            <w:vAlign w:val="bottom"/>
          </w:tcPr>
          <w:p>
            <w:pPr>
              <w:pStyle w:val="TableContents"/>
              <w:spacing w:before="0" w:after="283"/>
              <w:jc w:val="right"/>
              <w:rPr/>
            </w:pPr>
            <w:r>
              <w:rPr/>
              <w:t>8,222,500</w:t>
            </w:r>
          </w:p>
        </w:tc>
        <w:tc>
          <w:tcPr>
            <w:tcW w:w="6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4" w:type="dxa"/>
            <w:tcBorders>
              <w:bottom w:val="single" w:sz="8" w:space="0" w:color="B94831"/>
            </w:tcBorders>
            <w:shd w:fill="auto" w:val="clear"/>
            <w:tcMar>
              <w:bottom w:w="28" w:type="dxa"/>
            </w:tcMar>
            <w:vAlign w:val="bottom"/>
          </w:tcPr>
          <w:p>
            <w:pPr>
              <w:pStyle w:val="TableContents"/>
              <w:spacing w:before="0" w:after="283"/>
              <w:jc w:val="right"/>
              <w:rPr/>
            </w:pPr>
            <w:r>
              <w:rPr/>
              <w:t>6,306,768</w:t>
            </w:r>
          </w:p>
        </w:tc>
        <w:tc>
          <w:tcPr>
            <w:tcW w:w="180"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5" w:type="dxa"/>
            <w:tcBorders>
              <w:bottom w:val="single" w:sz="8" w:space="0" w:color="B94831"/>
            </w:tcBorders>
            <w:shd w:fill="auto" w:val="clear"/>
            <w:tcMar>
              <w:bottom w:w="28" w:type="dxa"/>
            </w:tcMar>
            <w:vAlign w:val="bottom"/>
          </w:tcPr>
          <w:p>
            <w:pPr>
              <w:pStyle w:val="TableContents"/>
              <w:spacing w:before="0" w:after="283"/>
              <w:rPr/>
            </w:pPr>
            <w:r>
              <w:rPr/>
              <w:t> </w:t>
            </w:r>
          </w:p>
        </w:tc>
        <w:tc>
          <w:tcPr>
            <w:tcW w:w="1626" w:type="dxa"/>
            <w:tcBorders>
              <w:bottom w:val="single" w:sz="8" w:space="0" w:color="B94831"/>
            </w:tcBorders>
            <w:shd w:fill="auto" w:val="clear"/>
            <w:tcMar>
              <w:bottom w:w="28" w:type="dxa"/>
            </w:tcMar>
            <w:vAlign w:val="bottom"/>
          </w:tcPr>
          <w:p>
            <w:pPr>
              <w:pStyle w:val="TableContents"/>
              <w:spacing w:before="0" w:after="283"/>
              <w:jc w:val="right"/>
              <w:rPr/>
            </w:pPr>
            <w:r>
              <w:rPr/>
              <w:t>550</w:t>
            </w:r>
          </w:p>
        </w:tc>
        <w:tc>
          <w:tcPr>
            <w:tcW w:w="230"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1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w:t>
            </w:r>
          </w:p>
        </w:tc>
        <w:tc>
          <w:tcPr>
            <w:tcW w:w="22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7"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65</w:t>
            </w:r>
          </w:p>
        </w:tc>
        <w:tc>
          <w:tcPr>
            <w:tcW w:w="235" w:type="dxa"/>
            <w:tcBorders>
              <w:bottom w:val="single" w:sz="8" w:space="0" w:color="B94831"/>
            </w:tcBorders>
            <w:shd w:fill="BFBFBF" w:val="clear"/>
            <w:tcMar>
              <w:bottom w:w="28" w:type="dxa"/>
            </w:tcMar>
            <w:vAlign w:val="bottom"/>
          </w:tcPr>
          <w:p>
            <w:pPr>
              <w:pStyle w:val="TableContents"/>
              <w:spacing w:before="0" w:after="283"/>
              <w:rPr/>
            </w:pPr>
            <w:r>
              <w:rPr/>
              <w:t>%</w:t>
            </w:r>
          </w:p>
        </w:tc>
      </w:tr>
      <w:tr>
        <w:trPr/>
        <w:tc>
          <w:tcPr>
            <w:tcW w:w="98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3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101" w:type="dxa"/>
            <w:tcBorders>
              <w:bottom w:val="single" w:sz="8" w:space="0" w:color="B94831"/>
            </w:tcBorders>
            <w:shd w:fill="auto" w:val="clear"/>
            <w:tcMar>
              <w:bottom w:w="28" w:type="dxa"/>
            </w:tcMar>
            <w:vAlign w:val="bottom"/>
          </w:tcPr>
          <w:p>
            <w:pPr>
              <w:pStyle w:val="TableContents"/>
              <w:spacing w:before="0" w:after="283"/>
              <w:jc w:val="right"/>
              <w:rPr/>
            </w:pPr>
            <w:r>
              <w:rPr/>
              <w:t>12,707,500</w:t>
            </w:r>
          </w:p>
        </w:tc>
        <w:tc>
          <w:tcPr>
            <w:tcW w:w="6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4" w:type="dxa"/>
            <w:tcBorders>
              <w:bottom w:val="single" w:sz="8" w:space="0" w:color="B94831"/>
            </w:tcBorders>
            <w:shd w:fill="auto" w:val="clear"/>
            <w:tcMar>
              <w:bottom w:w="28" w:type="dxa"/>
            </w:tcMar>
            <w:vAlign w:val="bottom"/>
          </w:tcPr>
          <w:p>
            <w:pPr>
              <w:pStyle w:val="TableContents"/>
              <w:spacing w:before="0" w:after="283"/>
              <w:jc w:val="right"/>
              <w:rPr/>
            </w:pPr>
            <w:r>
              <w:rPr/>
              <w:t>9,746,823</w:t>
            </w:r>
          </w:p>
        </w:tc>
        <w:tc>
          <w:tcPr>
            <w:tcW w:w="180"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5" w:type="dxa"/>
            <w:tcBorders>
              <w:bottom w:val="single" w:sz="8" w:space="0" w:color="B94831"/>
            </w:tcBorders>
            <w:shd w:fill="auto" w:val="clear"/>
            <w:tcMar>
              <w:bottom w:w="28" w:type="dxa"/>
            </w:tcMar>
            <w:vAlign w:val="bottom"/>
          </w:tcPr>
          <w:p>
            <w:pPr>
              <w:pStyle w:val="TableContents"/>
              <w:spacing w:before="0" w:after="283"/>
              <w:rPr/>
            </w:pPr>
            <w:r>
              <w:rPr/>
              <w:t> </w:t>
            </w:r>
          </w:p>
        </w:tc>
        <w:tc>
          <w:tcPr>
            <w:tcW w:w="1626"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30"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12</w:t>
            </w:r>
          </w:p>
        </w:tc>
        <w:tc>
          <w:tcPr>
            <w:tcW w:w="225" w:type="dxa"/>
            <w:tcBorders>
              <w:bottom w:val="single" w:sz="8" w:space="0" w:color="B94831"/>
            </w:tcBorders>
            <w:shd w:fill="BFBFBF" w:val="clear"/>
            <w:tcMar>
              <w:bottom w:w="28" w:type="dxa"/>
            </w:tcMar>
            <w:vAlign w:val="bottom"/>
          </w:tcPr>
          <w:p>
            <w:pPr>
              <w:pStyle w:val="TableContents"/>
              <w:spacing w:before="0" w:after="283"/>
              <w:rPr/>
            </w:pPr>
            <w:r>
              <w:rPr/>
              <w:t>%</w:t>
            </w:r>
          </w:p>
        </w:tc>
        <w:tc>
          <w:tcPr>
            <w:tcW w:w="127"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88</w:t>
            </w:r>
          </w:p>
        </w:tc>
        <w:tc>
          <w:tcPr>
            <w:tcW w:w="235" w:type="dxa"/>
            <w:tcBorders>
              <w:bottom w:val="single" w:sz="8" w:space="0" w:color="B94831"/>
            </w:tcBorders>
            <w:shd w:fill="BFBFBF" w:val="clear"/>
            <w:tcMar>
              <w:bottom w:w="28" w:type="dxa"/>
            </w:tcM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b/>
          <w:sz w:val="20"/>
        </w:rPr>
        <w:t>Base salary:</w:t>
      </w:r>
      <w:r>
        <w:rPr>
          <w:rFonts w:ascii="arial" w:hAnsi="arial"/>
          <w:sz w:val="20"/>
        </w:rPr>
        <w:t xml:space="preserve"> Steves base salary was unchanged in 2022. </w:t>
      </w:r>
    </w:p>
    <w:p>
      <w:pPr>
        <w:pStyle w:val="TextBody"/>
        <w:spacing w:before="120" w:after="0"/>
        <w:jc w:val="left"/>
        <w:rPr>
          <w:rFonts w:ascii="arial" w:hAnsi="arial"/>
          <w:sz w:val="20"/>
        </w:rPr>
      </w:pPr>
      <w:r>
        <w:rPr>
          <w:rFonts w:ascii="Arial" w:hAnsi="Arial"/>
          <w:b/>
          <w:sz w:val="20"/>
        </w:rPr>
        <w:t>Annual incentive award:</w:t>
      </w:r>
      <w:r>
        <w:rPr>
          <w:rFonts w:ascii="arial" w:hAnsi="arial"/>
          <w:sz w:val="20"/>
        </w:rPr>
        <w:t xml:space="preserve"> Steves 2022 annual incentive award had a payout of 120% of target based on financial performance. </w:t>
      </w:r>
    </w:p>
    <w:p>
      <w:pPr>
        <w:pStyle w:val="TextBody"/>
        <w:spacing w:before="120" w:after="0"/>
        <w:jc w:val="left"/>
        <w:rPr>
          <w:rFonts w:ascii="arial" w:hAnsi="arial"/>
          <w:sz w:val="20"/>
        </w:rPr>
      </w:pPr>
      <w:r>
        <w:rPr>
          <w:rFonts w:ascii="Arial" w:hAnsi="Arial"/>
          <w:b/>
          <w:sz w:val="20"/>
        </w:rPr>
        <w:t>Long-term incentive awards:</w:t>
      </w:r>
      <w:r>
        <w:rPr>
          <w:rFonts w:ascii="arial" w:hAnsi="arial"/>
          <w:sz w:val="20"/>
        </w:rPr>
        <w:t xml:space="preserve"> Steves 2022 award grant (based on 2021 performance) was split between 50% PRSUs, 25% TRSUs and 25% stock options.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598"/>
        <w:gridCol w:w="123"/>
        <w:gridCol w:w="8484"/>
      </w:tblGrid>
      <w:tr>
        <w:trPr/>
        <w:tc>
          <w:tcPr>
            <w:tcW w:w="15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484" w:type="dxa"/>
            <w:tcBorders/>
            <w:shd w:fill="auto" w:val="clear"/>
            <w:vAlign w:val="center"/>
          </w:tcPr>
          <w:p>
            <w:pPr>
              <w:pStyle w:val="TableContents"/>
              <w:spacing w:before="0" w:after="283"/>
              <w:rPr>
                <w:sz w:val="4"/>
                <w:szCs w:val="4"/>
              </w:rPr>
            </w:pPr>
            <w:r>
              <w:rPr>
                <w:sz w:val="4"/>
                <w:szCs w:val="4"/>
              </w:rPr>
            </w:r>
          </w:p>
        </w:tc>
      </w:tr>
      <w:tr>
        <w:trPr/>
        <w:tc>
          <w:tcPr>
            <w:tcW w:w="1598" w:type="dxa"/>
            <w:tcBorders/>
            <w:shd w:fill="auto" w:val="clear"/>
          </w:tcPr>
          <w:p>
            <w:pPr>
              <w:pStyle w:val="TableContents"/>
              <w:spacing w:before="0" w:after="0"/>
              <w:rPr/>
            </w:pPr>
            <w:r>
              <w:rPr/>
              <w:drawing>
                <wp:inline distT="0" distB="0" distL="0" distR="0">
                  <wp:extent cx="108585" cy="10858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08585" cy="108585"/>
                          </a:xfrm>
                          <a:prstGeom prst="rect">
                            <a:avLst/>
                          </a:prstGeom>
                        </pic:spPr>
                      </pic:pic>
                    </a:graphicData>
                  </a:graphic>
                </wp:inline>
              </w:drawing>
            </w:r>
            <w:r>
              <w:rPr/>
              <w:t xml:space="preserve"> </w:t>
            </w:r>
          </w:p>
        </w:tc>
        <w:tc>
          <w:tcPr>
            <w:tcW w:w="123" w:type="dxa"/>
            <w:tcBorders/>
            <w:shd w:fill="auto" w:val="clear"/>
            <w:vAlign w:val="bottom"/>
          </w:tcPr>
          <w:p>
            <w:pPr>
              <w:pStyle w:val="TableContents"/>
              <w:spacing w:before="0" w:after="283"/>
              <w:rPr/>
            </w:pPr>
            <w:r>
              <w:rPr/>
              <w:t>  </w:t>
            </w:r>
          </w:p>
        </w:tc>
        <w:tc>
          <w:tcPr>
            <w:tcW w:w="8484" w:type="dxa"/>
            <w:tcBorders/>
            <w:shd w:fill="auto" w:val="clear"/>
          </w:tcPr>
          <w:p>
            <w:pPr>
              <w:pStyle w:val="TableContents"/>
              <w:spacing w:before="0" w:after="0"/>
              <w:rPr>
                <w:rFonts w:ascii="Arial" w:hAnsi="Arial"/>
                <w:b/>
                <w:color w:val="B94831"/>
                <w:sz w:val="28"/>
              </w:rPr>
            </w:pPr>
            <w:r>
              <w:rPr>
                <w:rFonts w:ascii="Arial" w:hAnsi="Arial"/>
                <w:b/>
                <w:color w:val="B94831"/>
                <w:sz w:val="28"/>
              </w:rPr>
              <w:t>Mike Eastwood</w:t>
            </w:r>
          </w:p>
          <w:p>
            <w:pPr>
              <w:pStyle w:val="TableContents"/>
              <w:spacing w:before="0" w:after="0"/>
              <w:rPr>
                <w:rFonts w:ascii="arial" w:hAnsi="arial"/>
                <w:color w:val="B94831"/>
                <w:sz w:val="28"/>
              </w:rPr>
            </w:pPr>
            <w:r>
              <w:rPr>
                <w:rFonts w:ascii="arial" w:hAnsi="arial"/>
                <w:color w:val="B94831"/>
                <w:sz w:val="28"/>
              </w:rPr>
              <w:t>Chief Financial Officer</w:t>
            </w:r>
          </w:p>
          <w:p>
            <w:pPr>
              <w:pStyle w:val="TableContents"/>
              <w:spacing w:before="0" w:after="0"/>
              <w:rPr/>
            </w:pPr>
            <w:r>
              <w:rPr/>
              <w:t> </w:t>
            </w:r>
          </w:p>
          <w:p>
            <w:pPr>
              <w:pStyle w:val="TableContents"/>
              <w:spacing w:before="0" w:after="20"/>
              <w:rPr>
                <w:rFonts w:ascii="arial" w:hAnsi="arial"/>
                <w:sz w:val="20"/>
              </w:rPr>
            </w:pPr>
            <w:r>
              <w:rPr>
                <w:rFonts w:ascii="arial" w:hAnsi="arial"/>
                <w:sz w:val="20"/>
              </w:rPr>
              <w:t>Mike Eastwood has been Chief Financial Officer of Thomson Reuters since March 2020. Mike joined Thomson in 1998 and has had several senior finance roles. Mike was previously Senior Vice President and Head of Corporate Finance from January 2016 to March 2020. Prior to that, he was Chief Operations Officer for Thomson Reuters Latin America from April 2014 to December 2015. Mike was also previously Chief Financial Officer of the companys former Intellectual Property &amp; Science business (which was sold in 2016). Mike received a BSA in Accounting from East Carolina University and an MBA from the University of North Carolina.</w:t>
            </w:r>
          </w:p>
        </w:tc>
      </w:tr>
    </w:tbl>
    <w:p>
      <w:pPr>
        <w:pStyle w:val="TextBody"/>
        <w:spacing w:before="120" w:after="0"/>
        <w:jc w:val="left"/>
        <w:rPr>
          <w:rFonts w:ascii="arial" w:hAnsi="arial"/>
          <w:color w:val="B94831"/>
          <w:sz w:val="28"/>
        </w:rPr>
      </w:pPr>
      <w:r>
        <w:rPr>
          <w:rFonts w:ascii="arial" w:hAnsi="arial"/>
          <w:color w:val="B94831"/>
          <w:sz w:val="28"/>
        </w:rPr>
        <w:t xml:space="preserve">2022 Performance </w:t>
      </w:r>
    </w:p>
    <w:p>
      <w:pPr>
        <w:pStyle w:val="TextBody"/>
        <w:spacing w:before="40" w:after="0"/>
        <w:jc w:val="left"/>
        <w:rPr>
          <w:rFonts w:ascii="arial" w:hAnsi="arial"/>
          <w:sz w:val="20"/>
        </w:rPr>
      </w:pPr>
      <w:r>
        <w:rPr>
          <w:rFonts w:ascii="arial" w:hAnsi="arial"/>
          <w:sz w:val="20"/>
        </w:rPr>
        <w:t xml:space="preserve">Under Mikes leadership in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9"/>
        <w:gridCol w:w="109"/>
        <w:gridCol w:w="9649"/>
      </w:tblGrid>
      <w:tr>
        <w:trPr/>
        <w:tc>
          <w:tcPr>
            <w:tcW w:w="208"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20"/>
              </w:rPr>
            </w:pPr>
            <w:r>
              <w:rPr>
                <w:rFonts w:ascii="arial" w:hAnsi="arial"/>
                <w:sz w:val="20"/>
              </w:rPr>
              <w:t xml:space="preserve">In 2022, we met or exceeded nearly all of the financial performance metrics in our business outlook, which we confirmed in November 2022. Organic revenue rose 6%, driven by 7% growth in recurring revenues, and our Big 3 segments also grew 7% organically, which reflected sustained momentum throughout the year. Our adjusted EBITDA margin rose over 400bp to 35.1%, despite inflationary pressure and investments in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42"/>
        <w:gridCol w:w="110"/>
        <w:gridCol w:w="9645"/>
      </w:tblGrid>
      <w:tr>
        <w:trPr/>
        <w:tc>
          <w:tcPr>
            <w:tcW w:w="208"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5" w:type="dxa"/>
            <w:tcBorders/>
            <w:shd w:fill="auto" w:val="clear"/>
          </w:tcPr>
          <w:p>
            <w:pPr>
              <w:pStyle w:val="TableContents"/>
              <w:spacing w:before="0" w:after="0"/>
              <w:jc w:val="left"/>
              <w:rPr>
                <w:rFonts w:ascii="arial" w:hAnsi="arial"/>
                <w:sz w:val="20"/>
              </w:rPr>
            </w:pPr>
            <w:r>
              <w:rPr>
                <w:rFonts w:ascii="arial" w:hAnsi="arial"/>
                <w:sz w:val="20"/>
              </w:rPr>
              <w:t xml:space="preserve">We generated net cash from our operating activities and free cash flow of $1.9 billion and $1.3 billion, respectively. We returned $2.1 billion to our shareholders through dividends and repurchases of our common shares. In February 2023, we increased our annualized dividend per common share by 10%, which is the 30th consecutive annual increase.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40"/>
        <w:gridCol w:w="109"/>
        <w:gridCol w:w="9649"/>
      </w:tblGrid>
      <w:tr>
        <w:trPr/>
        <w:tc>
          <w:tcPr>
            <w:tcW w:w="207"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20"/>
              </w:rPr>
            </w:pPr>
            <w:r>
              <w:rPr>
                <w:rFonts w:ascii="arial" w:hAnsi="arial"/>
                <w:sz w:val="20"/>
              </w:rPr>
              <w:t xml:space="preserve">As of December 31, 2022, we achieved $540 million of run-rate savings through Change Program initiatives.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40"/>
        <w:gridCol w:w="109"/>
        <w:gridCol w:w="9649"/>
      </w:tblGrid>
      <w:tr>
        <w:trPr/>
        <w:tc>
          <w:tcPr>
            <w:tcW w:w="207"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20"/>
              </w:rPr>
            </w:pPr>
            <w:r>
              <w:rPr>
                <w:rFonts w:ascii="arial" w:hAnsi="arial"/>
                <w:sz w:val="20"/>
              </w:rPr>
              <w:t xml:space="preserve">In 2022, LSEG repurchased approximately 1.2 million ordinary shares from YPL under a buyback program announced by LSEG in August 2022. We received proceeds of $43 million, for approximately 0.5 million shares, related to our portion of the buyback. On December 12, 2022, Thomson Reuters and Blackstones consortium agreed to sell shares in LSEG that we co-own to Microsoft. On January 31, 2023, approximately 21 million LSEG shares were sold to Microsoft, of which 10.5 million of LSEG shares were indirectly owned by Thomson Reuters, in connection with this transaction. Thomson Reuters received approximately $1 billion in proceeds from the transaction. In addition, on March 8, 2023, our company and Blackstones consortium collectively sold 28 million LSEG shares through a placement to institutional investors and an offer to retail investors. Of the shares sold, approximately 13.6 million were indirectly owned by Thomson Reuters and we received approximately US$1.26 billion of related gross proceeds. As of April 21, 2023, we indirectly owned approximately 47 million LSEG shares, which had a market value of approximately $4.7 billion based on LSEGs closing share price on that date. We expect to monetize our interest in LSEG over time to provide us with further options for investment and returns to shareholders. </w:t>
            </w:r>
          </w:p>
        </w:tc>
      </w:tr>
    </w:tbl>
    <w:p>
      <w:pPr>
        <w:pStyle w:val="TextBody"/>
        <w:spacing w:before="120" w:after="0"/>
        <w:jc w:val="left"/>
        <w:rPr>
          <w:rFonts w:ascii="arial" w:hAnsi="arial"/>
          <w:color w:val="B94831"/>
          <w:sz w:val="28"/>
        </w:rPr>
      </w:pPr>
      <w:r>
        <w:rPr>
          <w:rFonts w:ascii="arial" w:hAnsi="arial"/>
          <w:color w:val="B94831"/>
          <w:sz w:val="28"/>
        </w:rPr>
        <w:t xml:space="preserve">2022 Target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45"/>
        <w:gridCol w:w="135"/>
        <w:gridCol w:w="60"/>
        <w:gridCol w:w="983"/>
        <w:gridCol w:w="72"/>
        <w:gridCol w:w="140"/>
        <w:gridCol w:w="170"/>
        <w:gridCol w:w="2787"/>
        <w:gridCol w:w="185"/>
        <w:gridCol w:w="170"/>
        <w:gridCol w:w="256"/>
        <w:gridCol w:w="1627"/>
        <w:gridCol w:w="238"/>
        <w:gridCol w:w="135"/>
        <w:gridCol w:w="121"/>
        <w:gridCol w:w="530"/>
        <w:gridCol w:w="230"/>
        <w:gridCol w:w="131"/>
        <w:gridCol w:w="178"/>
        <w:gridCol w:w="772"/>
        <w:gridCol w:w="240"/>
      </w:tblGrid>
      <w:tr>
        <w:trPr/>
        <w:tc>
          <w:tcPr>
            <w:tcW w:w="104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045"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5573" w:type="dxa"/>
            <w:gridSpan w:val="8"/>
            <w:tcBorders>
              <w:top w:val="single" w:sz="2" w:space="0" w:color="B94831"/>
              <w:left w:val="single" w:sz="2" w:space="0" w:color="AFAFAF"/>
              <w:right w:val="single" w:sz="2" w:space="0" w:color="AFAFAF"/>
            </w:tcBorders>
            <w:shd w:fill="auto" w:val="clear"/>
            <w:tcMar>
              <w:top w:w="28" w:type="dxa"/>
              <w:left w:w="28" w:type="dxa"/>
              <w:right w:w="28" w:type="dxa"/>
            </w:tcMar>
            <w:vAlign w:val="center"/>
          </w:tcPr>
          <w:p>
            <w:pPr>
              <w:pStyle w:val="TableContents"/>
              <w:spacing w:before="0" w:after="283"/>
              <w:rPr/>
            </w:pPr>
            <w:r>
              <w:rPr/>
              <w:t> </w:t>
            </w:r>
          </w:p>
        </w:tc>
        <w:tc>
          <w:tcPr>
            <w:tcW w:w="1016" w:type="dxa"/>
            <w:gridSpan w:val="4"/>
            <w:tcBorders>
              <w:top w:val="single" w:sz="2" w:space="0" w:color="B94831"/>
            </w:tcBorders>
            <w:shd w:fill="BFBFBF" w:val="clear"/>
            <w:tcMar>
              <w:top w:w="28" w:type="dxa"/>
            </w:tcMar>
            <w:vAlign w:val="center"/>
          </w:tcPr>
          <w:p>
            <w:pPr>
              <w:pStyle w:val="TableContents"/>
              <w:spacing w:before="0" w:after="283"/>
              <w:rPr/>
            </w:pPr>
            <w:r>
              <w:rPr/>
              <w:t> </w:t>
            </w:r>
          </w:p>
        </w:tc>
        <w:tc>
          <w:tcPr>
            <w:tcW w:w="1321" w:type="dxa"/>
            <w:gridSpan w:val="4"/>
            <w:tcBorders>
              <w:top w:val="single" w:sz="2" w:space="0" w:color="B94831"/>
              <w:left w:val="single" w:sz="2" w:space="0" w:color="AFAFAF"/>
            </w:tcBorders>
            <w:shd w:fill="BFBFBF" w:val="clear"/>
            <w:tcMar>
              <w:top w:w="28" w:type="dxa"/>
              <w:left w:w="28" w:type="dxa"/>
            </w:tcMar>
            <w:vAlign w:val="center"/>
          </w:tcPr>
          <w:p>
            <w:pPr>
              <w:pStyle w:val="TableContents"/>
              <w:spacing w:before="0" w:after="283"/>
              <w:rPr/>
            </w:pPr>
            <w:r>
              <w:rPr/>
              <w:t> </w:t>
            </w:r>
          </w:p>
        </w:tc>
      </w:tr>
      <w:tr>
        <w:trPr/>
        <w:tc>
          <w:tcPr>
            <w:tcW w:w="104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43" w:type="dxa"/>
            <w:gridSpan w:val="2"/>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5195" w:type="dxa"/>
            <w:gridSpan w:val="6"/>
            <w:tcBorders>
              <w:bottom w:val="single" w:sz="2"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Target Total Direct Compensation (2022)</w:t>
            </w:r>
          </w:p>
        </w:tc>
        <w:tc>
          <w:tcPr>
            <w:tcW w:w="238" w:type="dxa"/>
            <w:tcBorders>
              <w:bottom w:val="single" w:sz="2"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2"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Fixed</w:t>
            </w:r>
          </w:p>
        </w:tc>
        <w:tc>
          <w:tcPr>
            <w:tcW w:w="230" w:type="dxa"/>
            <w:tcBorders>
              <w:bottom w:val="single" w:sz="2"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Variable</w:t>
            </w:r>
          </w:p>
        </w:tc>
        <w:tc>
          <w:tcPr>
            <w:tcW w:w="240" w:type="dxa"/>
            <w:tcBorders>
              <w:bottom w:val="single" w:sz="2" w:space="0" w:color="B94831"/>
            </w:tcBorders>
            <w:shd w:fill="BFBFBF" w:val="clear"/>
            <w:tcMar>
              <w:bottom w:w="28" w:type="dxa"/>
            </w:tcMar>
            <w:vAlign w:val="bottom"/>
          </w:tcPr>
          <w:p>
            <w:pPr>
              <w:pStyle w:val="TableContents"/>
              <w:spacing w:before="0" w:after="283"/>
              <w:rPr/>
            </w:pPr>
            <w:r>
              <w:rPr/>
              <w:t> </w:t>
            </w:r>
          </w:p>
        </w:tc>
      </w:tr>
      <w:tr>
        <w:trPr/>
        <w:tc>
          <w:tcPr>
            <w:tcW w:w="1045" w:type="dxa"/>
            <w:tcBorders>
              <w:bottom w:val="single" w:sz="8" w:space="0" w:color="B94831"/>
            </w:tcBorders>
            <w:shd w:fill="auto" w:val="clear"/>
            <w:tcMar>
              <w:bottom w:w="28" w:type="dxa"/>
            </w:tcMar>
            <w:vAlign w:val="bottom"/>
          </w:tcPr>
          <w:p>
            <w:pPr>
              <w:pStyle w:val="TableContents"/>
              <w:spacing w:before="0" w:after="283"/>
              <w:rPr/>
            </w:pPr>
            <w:r>
              <w:rPr/>
              <w:t>  </w:t>
            </w:r>
          </w:p>
        </w:tc>
        <w:tc>
          <w:tcPr>
            <w:tcW w:w="135" w:type="dxa"/>
            <w:tcBorders>
              <w:bottom w:val="single" w:sz="8" w:space="0" w:color="B94831"/>
            </w:tcBorders>
            <w:shd w:fill="auto" w:val="clear"/>
            <w:tcMar>
              <w:bottom w:w="28" w:type="dxa"/>
            </w:tcMar>
            <w:vAlign w:val="bottom"/>
          </w:tcPr>
          <w:p>
            <w:pPr>
              <w:pStyle w:val="TableContents"/>
              <w:spacing w:before="0" w:after="283"/>
              <w:rPr/>
            </w:pPr>
            <w:r>
              <w:rPr/>
              <w:t>  </w:t>
            </w:r>
          </w:p>
        </w:tc>
        <w:tc>
          <w:tcPr>
            <w:tcW w:w="104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C$</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57"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US$</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8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 of base salary</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 </w:t>
            </w:r>
          </w:p>
        </w:tc>
      </w:tr>
      <w:tr>
        <w:trPr/>
        <w:tc>
          <w:tcPr>
            <w:tcW w:w="1045"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Base salary</w:t>
            </w:r>
          </w:p>
        </w:tc>
        <w:tc>
          <w:tcPr>
            <w:tcW w:w="13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925,000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7" w:type="dxa"/>
            <w:tcBorders>
              <w:bottom w:val="single" w:sz="2" w:space="0" w:color="AFAFAF"/>
            </w:tcBorders>
            <w:shd w:fill="auto" w:val="clear"/>
            <w:tcMar>
              <w:bottom w:w="28" w:type="dxa"/>
            </w:tcMar>
            <w:vAlign w:val="bottom"/>
          </w:tcPr>
          <w:p>
            <w:pPr>
              <w:pStyle w:val="TableContents"/>
              <w:spacing w:before="0" w:after="283"/>
              <w:jc w:val="right"/>
              <w:rPr/>
            </w:pPr>
            <w:r>
              <w:rPr/>
              <w:t>709,487</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22</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40" w:type="dxa"/>
            <w:tcBorders>
              <w:bottom w:val="single" w:sz="2" w:space="0" w:color="AFAFAF"/>
            </w:tcBorders>
            <w:shd w:fill="BFBFBF" w:val="clear"/>
            <w:tcMar>
              <w:bottom w:w="28" w:type="dxa"/>
            </w:tcMar>
            <w:vAlign w:val="bottom"/>
          </w:tcPr>
          <w:p>
            <w:pPr>
              <w:pStyle w:val="TableContents"/>
              <w:spacing w:before="0" w:after="283"/>
              <w:rPr/>
            </w:pPr>
            <w:r>
              <w:rPr/>
              <w:t> </w:t>
            </w:r>
          </w:p>
        </w:tc>
      </w:tr>
      <w:tr>
        <w:trPr/>
        <w:tc>
          <w:tcPr>
            <w:tcW w:w="1045"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Annual incentive award</w:t>
            </w:r>
          </w:p>
        </w:tc>
        <w:tc>
          <w:tcPr>
            <w:tcW w:w="13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1,156,250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7" w:type="dxa"/>
            <w:tcBorders>
              <w:bottom w:val="single" w:sz="2" w:space="0" w:color="AFAFAF"/>
            </w:tcBorders>
            <w:shd w:fill="auto" w:val="clear"/>
            <w:tcMar>
              <w:bottom w:w="28" w:type="dxa"/>
            </w:tcMar>
            <w:vAlign w:val="bottom"/>
          </w:tcPr>
          <w:p>
            <w:pPr>
              <w:pStyle w:val="TableContents"/>
              <w:spacing w:before="0" w:after="283"/>
              <w:jc w:val="right"/>
              <w:rPr/>
            </w:pPr>
            <w:r>
              <w:rPr/>
              <w:t>886,859</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28" w:type="dxa"/>
            </w:tcMar>
            <w:vAlign w:val="bottom"/>
          </w:tcPr>
          <w:p>
            <w:pPr>
              <w:pStyle w:val="TableContents"/>
              <w:spacing w:before="0" w:after="283"/>
              <w:jc w:val="right"/>
              <w:rPr/>
            </w:pPr>
            <w:r>
              <w:rPr/>
              <w:t>125</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135"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28</w:t>
            </w:r>
          </w:p>
        </w:tc>
        <w:tc>
          <w:tcPr>
            <w:tcW w:w="240" w:type="dxa"/>
            <w:tcBorders>
              <w:bottom w:val="single" w:sz="2" w:space="0" w:color="AFAFAF"/>
            </w:tcBorders>
            <w:shd w:fill="BFBFBF" w:val="clear"/>
            <w:tcMar>
              <w:bottom w:w="28" w:type="dxa"/>
            </w:tcMar>
            <w:vAlign w:val="bottom"/>
          </w:tcPr>
          <w:p>
            <w:pPr>
              <w:pStyle w:val="TableContents"/>
              <w:spacing w:before="0" w:after="283"/>
              <w:rPr/>
            </w:pPr>
            <w:r>
              <w:rPr/>
              <w:t>%</w:t>
            </w:r>
          </w:p>
        </w:tc>
      </w:tr>
      <w:tr>
        <w:trPr/>
        <w:tc>
          <w:tcPr>
            <w:tcW w:w="1045"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Long-term incentive awards</w:t>
            </w:r>
          </w:p>
        </w:tc>
        <w:tc>
          <w:tcPr>
            <w:tcW w:w="13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2,081,250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7" w:type="dxa"/>
            <w:tcBorders>
              <w:bottom w:val="single" w:sz="8" w:space="0" w:color="B94831"/>
            </w:tcBorders>
            <w:shd w:fill="auto" w:val="clear"/>
            <w:tcMar>
              <w:bottom w:w="28" w:type="dxa"/>
            </w:tcMar>
            <w:vAlign w:val="bottom"/>
          </w:tcPr>
          <w:p>
            <w:pPr>
              <w:pStyle w:val="TableContents"/>
              <w:spacing w:before="0" w:after="283"/>
              <w:jc w:val="right"/>
              <w:rPr/>
            </w:pPr>
            <w:r>
              <w:rPr/>
              <w:t>1,596,347</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7" w:type="dxa"/>
            <w:tcBorders>
              <w:bottom w:val="single" w:sz="8" w:space="0" w:color="B94831"/>
            </w:tcBorders>
            <w:shd w:fill="auto" w:val="clear"/>
            <w:tcMar>
              <w:bottom w:w="28" w:type="dxa"/>
            </w:tcMar>
            <w:vAlign w:val="bottom"/>
          </w:tcPr>
          <w:p>
            <w:pPr>
              <w:pStyle w:val="TableContents"/>
              <w:spacing w:before="0" w:after="283"/>
              <w:jc w:val="right"/>
              <w:rPr/>
            </w:pPr>
            <w:r>
              <w:rPr/>
              <w:t>225</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50</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w:t>
            </w:r>
          </w:p>
        </w:tc>
      </w:tr>
      <w:tr>
        <w:trPr/>
        <w:tc>
          <w:tcPr>
            <w:tcW w:w="1045"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3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4,162,500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7" w:type="dxa"/>
            <w:tcBorders>
              <w:bottom w:val="single" w:sz="8" w:space="0" w:color="B94831"/>
            </w:tcBorders>
            <w:shd w:fill="auto" w:val="clear"/>
            <w:tcMar>
              <w:bottom w:w="28" w:type="dxa"/>
            </w:tcMar>
            <w:vAlign w:val="bottom"/>
          </w:tcPr>
          <w:p>
            <w:pPr>
              <w:pStyle w:val="TableContents"/>
              <w:spacing w:before="0" w:after="283"/>
              <w:jc w:val="right"/>
              <w:rPr/>
            </w:pPr>
            <w:r>
              <w:rPr/>
              <w:t>3,192,693</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7"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22</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78</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b/>
          <w:sz w:val="20"/>
        </w:rPr>
        <w:t>Base salary:</w:t>
      </w:r>
      <w:r>
        <w:rPr>
          <w:rFonts w:ascii="arial" w:hAnsi="arial"/>
          <w:sz w:val="20"/>
        </w:rPr>
        <w:t xml:space="preserve"> Mikes base salary was unchanged in 2022. </w:t>
      </w:r>
    </w:p>
    <w:p>
      <w:pPr>
        <w:pStyle w:val="TextBody"/>
        <w:spacing w:before="120" w:after="0"/>
        <w:jc w:val="left"/>
        <w:rPr>
          <w:rFonts w:ascii="arial" w:hAnsi="arial"/>
          <w:sz w:val="20"/>
        </w:rPr>
      </w:pPr>
      <w:r>
        <w:rPr>
          <w:rFonts w:ascii="Arial" w:hAnsi="Arial"/>
          <w:b/>
          <w:sz w:val="20"/>
        </w:rPr>
        <w:t>Annual incentive award:</w:t>
      </w:r>
      <w:r>
        <w:rPr>
          <w:rFonts w:ascii="arial" w:hAnsi="arial"/>
          <w:sz w:val="20"/>
        </w:rPr>
        <w:t xml:space="preserve"> Mikes 2022 annual incentive award had a payout of 120% of target based on financial and individual performance. </w:t>
      </w:r>
    </w:p>
    <w:p>
      <w:pPr>
        <w:pStyle w:val="TextBody"/>
        <w:spacing w:before="120" w:after="0"/>
        <w:jc w:val="left"/>
        <w:rPr>
          <w:rFonts w:ascii="arial" w:hAnsi="arial"/>
          <w:sz w:val="20"/>
        </w:rPr>
      </w:pPr>
      <w:r>
        <w:rPr>
          <w:rFonts w:ascii="Arial" w:hAnsi="Arial"/>
          <w:b/>
          <w:sz w:val="20"/>
        </w:rPr>
        <w:t>Long-term incentive awards:</w:t>
      </w:r>
      <w:r>
        <w:rPr>
          <w:rFonts w:ascii="arial" w:hAnsi="arial"/>
          <w:sz w:val="20"/>
        </w:rPr>
        <w:t xml:space="preserve"> Mikes 2022 award grant (based on 2021 performance) was split between 50% PRSUs, 25% TRSUs and 25% stock options.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775"/>
        <w:gridCol w:w="122"/>
        <w:gridCol w:w="8308"/>
      </w:tblGrid>
      <w:tr>
        <w:trPr/>
        <w:tc>
          <w:tcPr>
            <w:tcW w:w="177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8308"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tcPr>
          <w:p>
            <w:pPr>
              <w:pStyle w:val="TableContents"/>
              <w:spacing w:before="0" w:after="283"/>
              <w:jc w:val="center"/>
              <w:rPr/>
            </w:pPr>
            <w:r>
              <w:rPr/>
              <w:drawing>
                <wp:inline distT="0" distB="0" distL="0" distR="0">
                  <wp:extent cx="704215" cy="70421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04215" cy="704215"/>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8308" w:type="dxa"/>
            <w:tcBorders/>
            <w:shd w:fill="auto" w:val="clear"/>
          </w:tcPr>
          <w:p>
            <w:pPr>
              <w:pStyle w:val="TableContents"/>
              <w:spacing w:before="0" w:after="0"/>
              <w:rPr>
                <w:rFonts w:ascii="Arial" w:hAnsi="Arial"/>
                <w:b/>
                <w:color w:val="B94831"/>
                <w:sz w:val="28"/>
              </w:rPr>
            </w:pPr>
            <w:r>
              <w:rPr>
                <w:rFonts w:ascii="Arial" w:hAnsi="Arial"/>
                <w:b/>
                <w:color w:val="B94831"/>
                <w:sz w:val="28"/>
              </w:rPr>
              <w:t>Brian Peccarelli</w:t>
            </w:r>
          </w:p>
          <w:p>
            <w:pPr>
              <w:pStyle w:val="TableContents"/>
              <w:spacing w:before="0" w:after="0"/>
              <w:rPr/>
            </w:pPr>
            <w:r>
              <w:rPr/>
              <w:t> </w:t>
            </w:r>
          </w:p>
          <w:p>
            <w:pPr>
              <w:pStyle w:val="TableContents"/>
              <w:spacing w:before="0" w:after="0"/>
              <w:rPr>
                <w:rFonts w:ascii="arial" w:hAnsi="arial"/>
                <w:color w:val="B94831"/>
                <w:sz w:val="28"/>
              </w:rPr>
            </w:pPr>
            <w:r>
              <w:rPr>
                <w:rFonts w:ascii="arial" w:hAnsi="arial"/>
                <w:color w:val="B94831"/>
                <w:sz w:val="28"/>
              </w:rPr>
              <w:t>Former Chief Operating Officer, Customer Markets; Former President, Corporates</w:t>
            </w:r>
          </w:p>
          <w:p>
            <w:pPr>
              <w:pStyle w:val="TableContents"/>
              <w:spacing w:before="0" w:after="0"/>
              <w:rPr/>
            </w:pPr>
            <w:r>
              <w:rPr/>
              <w:t> </w:t>
            </w:r>
          </w:p>
          <w:p>
            <w:pPr>
              <w:pStyle w:val="TableContents"/>
              <w:spacing w:before="0" w:after="20"/>
              <w:rPr>
                <w:rFonts w:ascii="arial" w:hAnsi="arial"/>
                <w:sz w:val="20"/>
              </w:rPr>
            </w:pPr>
            <w:r>
              <w:rPr>
                <w:rFonts w:ascii="arial" w:hAnsi="arial"/>
                <w:sz w:val="20"/>
              </w:rPr>
              <w:t>Brian Peccarelli was Chief Operating Officer, Customer Markets from June 2018 through April 3, 2023 and President, Corporates from July 2022 through April 3, 2023. Prior to June 2018, Brian was President of the Tax &amp; Accounting business for seven years. Prior to February 2011, Brian was President of Workflow &amp; Service Solutions within the Tax &amp; Accounting business for seven years. Brian joined Thomson in 1984 and has held a number of other key leadership positions within the organization, including Vice President of the Corporate Services Market and General Manager for RIA Compliance. He is also a certified public accountant and a lawyer. He received a JD from Hamline University School of Law, a BA in accounting and business administration from Carthage College and an MBA from Southern Methodist University.</w:t>
            </w:r>
          </w:p>
        </w:tc>
      </w:tr>
    </w:tbl>
    <w:p>
      <w:pPr>
        <w:pStyle w:val="TextBody"/>
        <w:spacing w:before="120" w:after="0"/>
        <w:jc w:val="left"/>
        <w:rPr>
          <w:rFonts w:ascii="arial" w:hAnsi="arial"/>
          <w:color w:val="B94831"/>
          <w:sz w:val="28"/>
        </w:rPr>
      </w:pPr>
      <w:r>
        <w:rPr>
          <w:rFonts w:ascii="arial" w:hAnsi="arial"/>
          <w:color w:val="B94831"/>
          <w:sz w:val="28"/>
        </w:rPr>
        <w:t xml:space="preserve">2022 Performance </w:t>
      </w:r>
    </w:p>
    <w:p>
      <w:pPr>
        <w:pStyle w:val="TextBody"/>
        <w:spacing w:before="40" w:after="0"/>
        <w:jc w:val="left"/>
        <w:rPr>
          <w:rFonts w:ascii="arial" w:hAnsi="arial"/>
          <w:sz w:val="20"/>
        </w:rPr>
      </w:pPr>
      <w:r>
        <w:rPr>
          <w:rFonts w:ascii="arial" w:hAnsi="arial"/>
          <w:sz w:val="20"/>
        </w:rPr>
        <w:t xml:space="preserve">In 2022, Brian continued to oversee our customer-facing Legal Professionals, Corporates and Tax &amp; Accounting Professionals segments in his role as Chief Operating Officer. He also took over the role of Presidents, Corporates in July 2022. Mr. Peccarellis last day at Thomson Reuters was April 3, 2023. Our Big 3 segments, which collectively comprised approximately 80% of our total revenues, reported organic growth of 7%. </w:t>
      </w:r>
    </w:p>
    <w:p>
      <w:pPr>
        <w:pStyle w:val="TextBody"/>
        <w:spacing w:before="120" w:after="0"/>
        <w:jc w:val="left"/>
        <w:rPr>
          <w:rFonts w:ascii="arial" w:hAnsi="arial"/>
          <w:sz w:val="20"/>
        </w:rPr>
      </w:pPr>
      <w:r>
        <w:rPr>
          <w:rFonts w:ascii="arial" w:hAnsi="arial"/>
          <w:sz w:val="20"/>
        </w:rPr>
        <w:t xml:space="preserve">Under Brians leadership in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7"/>
        <w:gridCol w:w="109"/>
        <w:gridCol w:w="9652"/>
      </w:tblGrid>
      <w:tr>
        <w:trPr/>
        <w:tc>
          <w:tcPr>
            <w:tcW w:w="207"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2" w:type="dxa"/>
            <w:tcBorders/>
            <w:shd w:fill="auto" w:val="clear"/>
          </w:tcPr>
          <w:p>
            <w:pPr>
              <w:pStyle w:val="TableContents"/>
              <w:spacing w:before="0" w:after="0"/>
              <w:jc w:val="left"/>
              <w:rPr>
                <w:rFonts w:ascii="arial" w:hAnsi="arial"/>
                <w:sz w:val="20"/>
              </w:rPr>
            </w:pPr>
            <w:r>
              <w:rPr>
                <w:rFonts w:ascii="arial" w:hAnsi="arial"/>
                <w:sz w:val="20"/>
              </w:rPr>
              <w:t xml:space="preserve">Legal Professionals revenues grew 6% organically, due to growth in recurring revenues driven by Practical Law, Westlaw, HighQ and our Government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41"/>
        <w:gridCol w:w="110"/>
        <w:gridCol w:w="9646"/>
      </w:tblGrid>
      <w:tr>
        <w:trPr/>
        <w:tc>
          <w:tcPr>
            <w:tcW w:w="208" w:type="dxa"/>
            <w:tcBorders/>
            <w:shd w:fill="auto" w:val="clear"/>
            <w:vAlign w:val="center"/>
          </w:tcPr>
          <w:p>
            <w:pPr>
              <w:pStyle w:val="TableContents"/>
              <w:spacing w:before="0" w:after="283"/>
              <w:rPr/>
            </w:pPr>
            <w:r>
              <w:rPr/>
              <w:t> </w:t>
            </w:r>
          </w:p>
        </w:tc>
        <w:tc>
          <w:tcPr>
            <w:tcW w:w="241"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6" w:type="dxa"/>
            <w:tcBorders/>
            <w:shd w:fill="auto" w:val="clear"/>
          </w:tcPr>
          <w:p>
            <w:pPr>
              <w:pStyle w:val="TableContents"/>
              <w:spacing w:before="0" w:after="0"/>
              <w:jc w:val="left"/>
              <w:rPr>
                <w:rFonts w:ascii="arial" w:hAnsi="arial"/>
                <w:sz w:val="20"/>
              </w:rPr>
            </w:pPr>
            <w:r>
              <w:rPr>
                <w:rFonts w:ascii="arial" w:hAnsi="arial"/>
                <w:sz w:val="20"/>
              </w:rPr>
              <w:t xml:space="preserve">Corporates segment revenues increased 8% organically driven by Practical Law, CLEAR, Direct Tax, Indirect Tax, HighQ, Trust and Confirmation as well as the segments businesses in Asia and Latin America.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8"/>
        <w:gridCol w:w="109"/>
        <w:gridCol w:w="9652"/>
      </w:tblGrid>
      <w:tr>
        <w:trPr/>
        <w:tc>
          <w:tcPr>
            <w:tcW w:w="206" w:type="dxa"/>
            <w:tcBorders/>
            <w:shd w:fill="auto" w:val="clear"/>
            <w:vAlign w:val="center"/>
          </w:tcPr>
          <w:p>
            <w:pPr>
              <w:pStyle w:val="TableContents"/>
              <w:spacing w:before="0" w:after="283"/>
              <w:rPr/>
            </w:pPr>
            <w:r>
              <w:rPr/>
              <w:t> </w:t>
            </w:r>
          </w:p>
        </w:tc>
        <w:tc>
          <w:tcPr>
            <w:tcW w:w="238"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2" w:type="dxa"/>
            <w:tcBorders/>
            <w:shd w:fill="auto" w:val="clear"/>
          </w:tcPr>
          <w:p>
            <w:pPr>
              <w:pStyle w:val="TableContents"/>
              <w:spacing w:before="0" w:after="0"/>
              <w:jc w:val="left"/>
              <w:rPr>
                <w:rFonts w:ascii="arial" w:hAnsi="arial"/>
                <w:sz w:val="20"/>
              </w:rPr>
            </w:pPr>
            <w:r>
              <w:rPr>
                <w:rFonts w:ascii="arial" w:hAnsi="arial"/>
                <w:sz w:val="20"/>
              </w:rPr>
              <w:t xml:space="preserve">Tax &amp; Accounting Professionals revenues grew 9% organically driven by UltraTax and the segments businesses in Latin America.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242"/>
        <w:gridCol w:w="110"/>
        <w:gridCol w:w="9644"/>
      </w:tblGrid>
      <w:tr>
        <w:trPr/>
        <w:tc>
          <w:tcPr>
            <w:tcW w:w="209"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4" w:type="dxa"/>
            <w:tcBorders/>
            <w:shd w:fill="auto" w:val="clear"/>
          </w:tcPr>
          <w:p>
            <w:pPr>
              <w:pStyle w:val="TableContents"/>
              <w:spacing w:before="0" w:after="0"/>
              <w:jc w:val="left"/>
              <w:rPr>
                <w:rFonts w:ascii="arial" w:hAnsi="arial"/>
                <w:sz w:val="20"/>
              </w:rPr>
            </w:pPr>
            <w:r>
              <w:rPr>
                <w:rFonts w:ascii="arial" w:hAnsi="arial"/>
                <w:sz w:val="20"/>
              </w:rPr>
              <w:t xml:space="preserve">Global Prints revenues declined at a lower rate than expected. </w:t>
            </w:r>
          </w:p>
        </w:tc>
      </w:tr>
    </w:tbl>
    <w:p>
      <w:pPr>
        <w:pStyle w:val="TextBody"/>
        <w:spacing w:before="120" w:after="0"/>
        <w:jc w:val="left"/>
        <w:rPr>
          <w:rFonts w:ascii="arial" w:hAnsi="arial"/>
          <w:color w:val="B94831"/>
          <w:sz w:val="28"/>
        </w:rPr>
      </w:pPr>
      <w:r>
        <w:rPr>
          <w:rFonts w:ascii="arial" w:hAnsi="arial"/>
          <w:color w:val="B94831"/>
          <w:sz w:val="28"/>
        </w:rPr>
        <w:t xml:space="preserve">2022 Target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64"/>
        <w:gridCol w:w="189"/>
        <w:gridCol w:w="170"/>
        <w:gridCol w:w="2791"/>
        <w:gridCol w:w="238"/>
        <w:gridCol w:w="170"/>
        <w:gridCol w:w="256"/>
        <w:gridCol w:w="1626"/>
        <w:gridCol w:w="336"/>
        <w:gridCol w:w="188"/>
        <w:gridCol w:w="121"/>
        <w:gridCol w:w="529"/>
        <w:gridCol w:w="300"/>
        <w:gridCol w:w="189"/>
        <w:gridCol w:w="178"/>
        <w:gridCol w:w="773"/>
        <w:gridCol w:w="287"/>
      </w:tblGrid>
      <w:tr>
        <w:trPr/>
        <w:tc>
          <w:tcPr>
            <w:tcW w:w="186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864" w:type="dxa"/>
            <w:tcBorders/>
            <w:shd w:fill="auto" w:val="clear"/>
            <w:vAlign w:val="center"/>
          </w:tcPr>
          <w:p>
            <w:pPr>
              <w:pStyle w:val="TableContents"/>
              <w:spacing w:before="0" w:after="283"/>
              <w:rPr>
                <w:sz w:val="4"/>
                <w:szCs w:val="4"/>
              </w:rPr>
            </w:pPr>
            <w:r>
              <w:rPr>
                <w:sz w:val="4"/>
                <w:szCs w:val="4"/>
              </w:rPr>
            </w:r>
          </w:p>
        </w:tc>
        <w:tc>
          <w:tcPr>
            <w:tcW w:w="5776" w:type="dxa"/>
            <w:gridSpan w:val="8"/>
            <w:tcBorders>
              <w:top w:val="single" w:sz="2" w:space="0" w:color="B94831"/>
              <w:left w:val="single" w:sz="2" w:space="0" w:color="AFAFAF"/>
              <w:right w:val="single" w:sz="2" w:space="0" w:color="AFAFAF"/>
            </w:tcBorders>
            <w:shd w:fill="auto" w:val="clear"/>
            <w:tcMar>
              <w:top w:w="28" w:type="dxa"/>
              <w:left w:w="28" w:type="dxa"/>
              <w:right w:w="28" w:type="dxa"/>
            </w:tcMar>
            <w:vAlign w:val="center"/>
          </w:tcPr>
          <w:p>
            <w:pPr>
              <w:pStyle w:val="TableContents"/>
              <w:spacing w:before="0" w:after="283"/>
              <w:rPr/>
            </w:pPr>
            <w:r>
              <w:rPr/>
              <w:t> </w:t>
            </w:r>
          </w:p>
        </w:tc>
        <w:tc>
          <w:tcPr>
            <w:tcW w:w="1138" w:type="dxa"/>
            <w:gridSpan w:val="4"/>
            <w:tcBorders>
              <w:top w:val="single" w:sz="2" w:space="0" w:color="B94831"/>
            </w:tcBorders>
            <w:shd w:fill="BFBFBF" w:val="clear"/>
            <w:tcMar>
              <w:top w:w="28" w:type="dxa"/>
            </w:tcMar>
            <w:vAlign w:val="center"/>
          </w:tcPr>
          <w:p>
            <w:pPr>
              <w:pStyle w:val="TableContents"/>
              <w:spacing w:before="0" w:after="283"/>
              <w:rPr/>
            </w:pPr>
            <w:r>
              <w:rPr/>
              <w:t> </w:t>
            </w:r>
          </w:p>
        </w:tc>
        <w:tc>
          <w:tcPr>
            <w:tcW w:w="1427" w:type="dxa"/>
            <w:gridSpan w:val="4"/>
            <w:tcBorders>
              <w:top w:val="single" w:sz="2" w:space="0" w:color="B94831"/>
              <w:left w:val="single" w:sz="2" w:space="0" w:color="AFAFAF"/>
            </w:tcBorders>
            <w:shd w:fill="BFBFBF" w:val="clear"/>
            <w:tcMar>
              <w:top w:w="28" w:type="dxa"/>
              <w:left w:w="28" w:type="dxa"/>
            </w:tcMar>
            <w:vAlign w:val="center"/>
          </w:tcPr>
          <w:p>
            <w:pPr>
              <w:pStyle w:val="TableContents"/>
              <w:spacing w:before="0" w:after="283"/>
              <w:rPr/>
            </w:pPr>
            <w:r>
              <w:rPr/>
              <w:t> </w:t>
            </w:r>
          </w:p>
        </w:tc>
      </w:tr>
      <w:tr>
        <w:trPr/>
        <w:tc>
          <w:tcPr>
            <w:tcW w:w="1864" w:type="dxa"/>
            <w:tcBorders/>
            <w:shd w:fill="auto" w:val="clear"/>
            <w:vAlign w:val="bottom"/>
          </w:tcPr>
          <w:p>
            <w:pPr>
              <w:pStyle w:val="TableContents"/>
              <w:spacing w:before="0" w:after="283"/>
              <w:rPr/>
            </w:pPr>
            <w:r>
              <w:rPr/>
              <w:t> </w:t>
            </w:r>
          </w:p>
        </w:tc>
        <w:tc>
          <w:tcPr>
            <w:tcW w:w="189"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5251" w:type="dxa"/>
            <w:gridSpan w:val="6"/>
            <w:tcBorders>
              <w:bottom w:val="single" w:sz="2"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Target Total Direct Compensation (2022)</w:t>
            </w:r>
          </w:p>
        </w:tc>
        <w:tc>
          <w:tcPr>
            <w:tcW w:w="336" w:type="dxa"/>
            <w:tcBorders>
              <w:bottom w:val="single" w:sz="2"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88" w:type="dxa"/>
            <w:tcBorders>
              <w:bottom w:val="single" w:sz="2" w:space="0" w:color="B94831"/>
            </w:tcBorders>
            <w:shd w:fill="BFBFBF" w:val="clear"/>
            <w:tcMar>
              <w:bottom w:w="28" w:type="dxa"/>
            </w:tcMar>
            <w:vAlign w:val="bottom"/>
          </w:tcPr>
          <w:p>
            <w:pPr>
              <w:pStyle w:val="TableContents"/>
              <w:spacing w:before="0" w:after="283"/>
              <w:rPr/>
            </w:pPr>
            <w:r>
              <w:rPr/>
              <w:t>  </w:t>
            </w:r>
          </w:p>
        </w:tc>
        <w:tc>
          <w:tcPr>
            <w:tcW w:w="650"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Fixed</w:t>
            </w:r>
          </w:p>
        </w:tc>
        <w:tc>
          <w:tcPr>
            <w:tcW w:w="300" w:type="dxa"/>
            <w:tcBorders>
              <w:bottom w:val="single" w:sz="2" w:space="0" w:color="B94831"/>
            </w:tcBorders>
            <w:shd w:fill="BFBFBF" w:val="clear"/>
            <w:tcMar>
              <w:bottom w:w="28" w:type="dxa"/>
            </w:tcMar>
            <w:vAlign w:val="bottom"/>
          </w:tcPr>
          <w:p>
            <w:pPr>
              <w:pStyle w:val="TableContents"/>
              <w:spacing w:before="0" w:after="283"/>
              <w:rPr/>
            </w:pPr>
            <w:r>
              <w:rPr/>
              <w:t> </w:t>
            </w:r>
          </w:p>
        </w:tc>
        <w:tc>
          <w:tcPr>
            <w:tcW w:w="189" w:type="dxa"/>
            <w:tcBorders>
              <w:left w:val="single" w:sz="2" w:space="0" w:color="AFAFAF"/>
              <w:bottom w:val="single" w:sz="2" w:space="0" w:color="B94831"/>
            </w:tcBorders>
            <w:shd w:fill="BFBFBF" w:val="clear"/>
            <w:tcMar>
              <w:left w:w="28" w:type="dxa"/>
              <w:bottom w:w="28" w:type="dxa"/>
            </w:tcMar>
            <w:vAlign w:val="bottom"/>
          </w:tcPr>
          <w:p>
            <w:pPr>
              <w:pStyle w:val="TableContents"/>
              <w:spacing w:before="0" w:after="283"/>
              <w:rPr/>
            </w:pPr>
            <w:r>
              <w:rPr/>
              <w:t>  </w:t>
            </w:r>
          </w:p>
        </w:tc>
        <w:tc>
          <w:tcPr>
            <w:tcW w:w="951"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Variable</w:t>
            </w:r>
          </w:p>
        </w:tc>
        <w:tc>
          <w:tcPr>
            <w:tcW w:w="287" w:type="dxa"/>
            <w:tcBorders>
              <w:bottom w:val="single" w:sz="2" w:space="0" w:color="B94831"/>
            </w:tcBorders>
            <w:shd w:fill="BFBFBF" w:val="clear"/>
            <w:tcMar>
              <w:bottom w:w="28" w:type="dxa"/>
            </w:tcMar>
            <w:vAlign w:val="bottom"/>
          </w:tcPr>
          <w:p>
            <w:pPr>
              <w:pStyle w:val="TableContents"/>
              <w:spacing w:before="0" w:after="283"/>
              <w:rPr/>
            </w:pPr>
            <w:r>
              <w:rPr/>
              <w:t> </w:t>
            </w:r>
          </w:p>
        </w:tc>
      </w:tr>
      <w:tr>
        <w:trPr/>
        <w:tc>
          <w:tcPr>
            <w:tcW w:w="1864" w:type="dxa"/>
            <w:tcBorders>
              <w:bottom w:val="single" w:sz="8" w:space="0" w:color="B94831"/>
            </w:tcBorders>
            <w:shd w:fill="auto" w:val="clear"/>
            <w:tcMar>
              <w:bottom w:w="28" w:type="dxa"/>
            </w:tcMar>
            <w:vAlign w:val="bottom"/>
          </w:tcPr>
          <w:p>
            <w:pPr>
              <w:pStyle w:val="TableContents"/>
              <w:spacing w:before="0" w:after="283"/>
              <w:rPr/>
            </w:pPr>
            <w:r>
              <w:rPr/>
              <w:t>  </w:t>
            </w:r>
          </w:p>
        </w:tc>
        <w:tc>
          <w:tcPr>
            <w:tcW w:w="18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61"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US$</w:t>
            </w:r>
          </w:p>
        </w:tc>
        <w:tc>
          <w:tcPr>
            <w:tcW w:w="238"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82"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 of base salary</w:t>
            </w:r>
          </w:p>
        </w:tc>
        <w:tc>
          <w:tcPr>
            <w:tcW w:w="336"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88" w:type="dxa"/>
            <w:tcBorders>
              <w:bottom w:val="single" w:sz="8" w:space="0" w:color="B94831"/>
            </w:tcBorders>
            <w:shd w:fill="BFBFBF" w:val="clear"/>
            <w:tcMar>
              <w:bottom w:w="28" w:type="dxa"/>
            </w:tcMar>
            <w:vAlign w:val="bottom"/>
          </w:tcPr>
          <w:p>
            <w:pPr>
              <w:pStyle w:val="TableContents"/>
              <w:spacing w:before="0" w:after="283"/>
              <w:rPr/>
            </w:pPr>
            <w:r>
              <w:rPr/>
              <w:t>  </w:t>
            </w:r>
          </w:p>
        </w:tc>
        <w:tc>
          <w:tcPr>
            <w:tcW w:w="650"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30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89"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951"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87" w:type="dxa"/>
            <w:tcBorders>
              <w:bottom w:val="single" w:sz="8" w:space="0" w:color="B94831"/>
            </w:tcBorders>
            <w:shd w:fill="BFBFBF" w:val="clear"/>
            <w:tcMar>
              <w:bottom w:w="28" w:type="dxa"/>
            </w:tcMar>
            <w:vAlign w:val="bottom"/>
          </w:tcPr>
          <w:p>
            <w:pPr>
              <w:pStyle w:val="TableContents"/>
              <w:spacing w:before="0" w:after="283"/>
              <w:rPr/>
            </w:pPr>
            <w:r>
              <w:rPr/>
              <w:t> </w:t>
            </w:r>
          </w:p>
        </w:tc>
      </w:tr>
      <w:tr>
        <w:trPr/>
        <w:tc>
          <w:tcPr>
            <w:tcW w:w="1864"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Base salary</w:t>
            </w:r>
          </w:p>
        </w:tc>
        <w:tc>
          <w:tcPr>
            <w:tcW w:w="18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91" w:type="dxa"/>
            <w:tcBorders>
              <w:bottom w:val="single" w:sz="2" w:space="0" w:color="AFAFAF"/>
            </w:tcBorders>
            <w:shd w:fill="auto" w:val="clear"/>
            <w:tcMar>
              <w:bottom w:w="28" w:type="dxa"/>
            </w:tcMar>
            <w:vAlign w:val="bottom"/>
          </w:tcPr>
          <w:p>
            <w:pPr>
              <w:pStyle w:val="TableContents"/>
              <w:spacing w:before="0" w:after="283"/>
              <w:jc w:val="right"/>
              <w:rPr/>
            </w:pPr>
            <w:r>
              <w:rPr/>
              <w:t>750,000</w:t>
            </w:r>
          </w:p>
        </w:tc>
        <w:tc>
          <w:tcPr>
            <w:tcW w:w="238"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6"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336"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88"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29" w:type="dxa"/>
            <w:tcBorders>
              <w:bottom w:val="single" w:sz="2" w:space="0" w:color="AFAFAF"/>
            </w:tcBorders>
            <w:shd w:fill="BFBFBF" w:val="clear"/>
            <w:tcMar>
              <w:bottom w:w="28" w:type="dxa"/>
            </w:tcMar>
            <w:vAlign w:val="bottom"/>
          </w:tcPr>
          <w:p>
            <w:pPr>
              <w:pStyle w:val="TableContents"/>
              <w:spacing w:before="0" w:after="283"/>
              <w:jc w:val="right"/>
              <w:rPr/>
            </w:pPr>
            <w:r>
              <w:rPr/>
              <w:t>21</w:t>
            </w:r>
          </w:p>
        </w:tc>
        <w:tc>
          <w:tcPr>
            <w:tcW w:w="300" w:type="dxa"/>
            <w:tcBorders>
              <w:bottom w:val="single" w:sz="2" w:space="0" w:color="AFAFAF"/>
            </w:tcBorders>
            <w:shd w:fill="BFBFBF" w:val="clear"/>
            <w:tcMar>
              <w:bottom w:w="28" w:type="dxa"/>
            </w:tcMar>
            <w:vAlign w:val="bottom"/>
          </w:tcPr>
          <w:p>
            <w:pPr>
              <w:pStyle w:val="TableContents"/>
              <w:spacing w:before="0" w:after="283"/>
              <w:rPr/>
            </w:pPr>
            <w:r>
              <w:rPr/>
              <w:t>%</w:t>
            </w:r>
          </w:p>
        </w:tc>
        <w:tc>
          <w:tcPr>
            <w:tcW w:w="189"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3"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87" w:type="dxa"/>
            <w:tcBorders>
              <w:bottom w:val="single" w:sz="2" w:space="0" w:color="AFAFAF"/>
            </w:tcBorders>
            <w:shd w:fill="BFBFBF" w:val="clear"/>
            <w:tcMar>
              <w:bottom w:w="28" w:type="dxa"/>
            </w:tcMar>
            <w:vAlign w:val="bottom"/>
          </w:tcPr>
          <w:p>
            <w:pPr>
              <w:pStyle w:val="TableContents"/>
              <w:spacing w:before="0" w:after="283"/>
              <w:rPr/>
            </w:pPr>
            <w:r>
              <w:rPr/>
              <w:t> </w:t>
            </w:r>
          </w:p>
        </w:tc>
      </w:tr>
      <w:tr>
        <w:trPr/>
        <w:tc>
          <w:tcPr>
            <w:tcW w:w="1864"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Annual incentive award</w:t>
            </w:r>
          </w:p>
        </w:tc>
        <w:tc>
          <w:tcPr>
            <w:tcW w:w="18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91" w:type="dxa"/>
            <w:tcBorders>
              <w:bottom w:val="single" w:sz="2" w:space="0" w:color="AFAFAF"/>
            </w:tcBorders>
            <w:shd w:fill="auto" w:val="clear"/>
            <w:tcMar>
              <w:bottom w:w="28" w:type="dxa"/>
            </w:tcMar>
            <w:vAlign w:val="bottom"/>
          </w:tcPr>
          <w:p>
            <w:pPr>
              <w:pStyle w:val="TableContents"/>
              <w:spacing w:before="0" w:after="283"/>
              <w:jc w:val="right"/>
              <w:rPr/>
            </w:pPr>
            <w:r>
              <w:rPr/>
              <w:t>1,312,500</w:t>
            </w:r>
          </w:p>
        </w:tc>
        <w:tc>
          <w:tcPr>
            <w:tcW w:w="238"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6" w:type="dxa"/>
            <w:tcBorders>
              <w:bottom w:val="single" w:sz="2" w:space="0" w:color="AFAFAF"/>
            </w:tcBorders>
            <w:shd w:fill="auto" w:val="clear"/>
            <w:tcMar>
              <w:bottom w:w="28" w:type="dxa"/>
            </w:tcMar>
            <w:vAlign w:val="bottom"/>
          </w:tcPr>
          <w:p>
            <w:pPr>
              <w:pStyle w:val="TableContents"/>
              <w:spacing w:before="0" w:after="283"/>
              <w:jc w:val="right"/>
              <w:rPr/>
            </w:pPr>
            <w:r>
              <w:rPr/>
              <w:t>175</w:t>
            </w:r>
          </w:p>
        </w:tc>
        <w:tc>
          <w:tcPr>
            <w:tcW w:w="336"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188"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29"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30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89"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3" w:type="dxa"/>
            <w:tcBorders>
              <w:bottom w:val="single" w:sz="2" w:space="0" w:color="AFAFAF"/>
            </w:tcBorders>
            <w:shd w:fill="BFBFBF" w:val="clear"/>
            <w:tcMar>
              <w:bottom w:w="28" w:type="dxa"/>
            </w:tcMar>
            <w:vAlign w:val="bottom"/>
          </w:tcPr>
          <w:p>
            <w:pPr>
              <w:pStyle w:val="TableContents"/>
              <w:spacing w:before="0" w:after="283"/>
              <w:jc w:val="right"/>
              <w:rPr/>
            </w:pPr>
            <w:r>
              <w:rPr/>
              <w:t>37</w:t>
            </w:r>
          </w:p>
        </w:tc>
        <w:tc>
          <w:tcPr>
            <w:tcW w:w="287" w:type="dxa"/>
            <w:tcBorders>
              <w:bottom w:val="single" w:sz="2" w:space="0" w:color="AFAFAF"/>
            </w:tcBorders>
            <w:shd w:fill="BFBFBF" w:val="clear"/>
            <w:tcMar>
              <w:bottom w:w="28" w:type="dxa"/>
            </w:tcMar>
            <w:vAlign w:val="bottom"/>
          </w:tcPr>
          <w:p>
            <w:pPr>
              <w:pStyle w:val="TableContents"/>
              <w:spacing w:before="0" w:after="283"/>
              <w:rPr/>
            </w:pPr>
            <w:r>
              <w:rPr/>
              <w:t>%</w:t>
            </w:r>
          </w:p>
        </w:tc>
      </w:tr>
      <w:tr>
        <w:trPr/>
        <w:tc>
          <w:tcPr>
            <w:tcW w:w="1864"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Long-term incentive awards</w:t>
            </w:r>
          </w:p>
        </w:tc>
        <w:tc>
          <w:tcPr>
            <w:tcW w:w="18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91" w:type="dxa"/>
            <w:tcBorders>
              <w:bottom w:val="single" w:sz="8" w:space="0" w:color="B94831"/>
            </w:tcBorders>
            <w:shd w:fill="auto" w:val="clear"/>
            <w:tcMar>
              <w:bottom w:w="28" w:type="dxa"/>
            </w:tcMar>
            <w:vAlign w:val="bottom"/>
          </w:tcPr>
          <w:p>
            <w:pPr>
              <w:pStyle w:val="TableContents"/>
              <w:spacing w:before="0" w:after="283"/>
              <w:jc w:val="right"/>
              <w:rPr/>
            </w:pPr>
            <w:r>
              <w:rPr/>
              <w:t>1,500,000</w:t>
            </w:r>
          </w:p>
        </w:tc>
        <w:tc>
          <w:tcPr>
            <w:tcW w:w="238"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6" w:type="dxa"/>
            <w:tcBorders>
              <w:bottom w:val="single" w:sz="8" w:space="0" w:color="B94831"/>
            </w:tcBorders>
            <w:shd w:fill="auto" w:val="clear"/>
            <w:tcMar>
              <w:bottom w:w="28" w:type="dxa"/>
            </w:tcMar>
            <w:vAlign w:val="bottom"/>
          </w:tcPr>
          <w:p>
            <w:pPr>
              <w:pStyle w:val="TableContents"/>
              <w:spacing w:before="0" w:after="283"/>
              <w:jc w:val="right"/>
              <w:rPr/>
            </w:pPr>
            <w:r>
              <w:rPr/>
              <w:t>200</w:t>
            </w:r>
          </w:p>
        </w:tc>
        <w:tc>
          <w:tcPr>
            <w:tcW w:w="336"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188"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29" w:type="dxa"/>
            <w:tcBorders>
              <w:bottom w:val="single" w:sz="8" w:space="0" w:color="B94831"/>
            </w:tcBorders>
            <w:shd w:fill="BFBFBF" w:val="clear"/>
            <w:tcMar>
              <w:bottom w:w="28" w:type="dxa"/>
            </w:tcMar>
            <w:vAlign w:val="bottom"/>
          </w:tcPr>
          <w:p>
            <w:pPr>
              <w:pStyle w:val="TableContents"/>
              <w:spacing w:before="0" w:after="283"/>
              <w:jc w:val="right"/>
              <w:rPr/>
            </w:pPr>
            <w:r>
              <w:rPr/>
              <w:t></w:t>
            </w:r>
          </w:p>
        </w:tc>
        <w:tc>
          <w:tcPr>
            <w:tcW w:w="30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89"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3" w:type="dxa"/>
            <w:tcBorders>
              <w:bottom w:val="single" w:sz="8" w:space="0" w:color="B94831"/>
            </w:tcBorders>
            <w:shd w:fill="BFBFBF" w:val="clear"/>
            <w:tcMar>
              <w:bottom w:w="28" w:type="dxa"/>
            </w:tcMar>
            <w:vAlign w:val="bottom"/>
          </w:tcPr>
          <w:p>
            <w:pPr>
              <w:pStyle w:val="TableContents"/>
              <w:spacing w:before="0" w:after="283"/>
              <w:jc w:val="right"/>
              <w:rPr/>
            </w:pPr>
            <w:r>
              <w:rPr/>
              <w:t>42</w:t>
            </w:r>
          </w:p>
        </w:tc>
        <w:tc>
          <w:tcPr>
            <w:tcW w:w="287" w:type="dxa"/>
            <w:tcBorders>
              <w:bottom w:val="single" w:sz="8" w:space="0" w:color="B94831"/>
            </w:tcBorders>
            <w:shd w:fill="BFBFBF" w:val="clear"/>
            <w:tcMar>
              <w:bottom w:w="28" w:type="dxa"/>
            </w:tcMar>
            <w:vAlign w:val="bottom"/>
          </w:tcPr>
          <w:p>
            <w:pPr>
              <w:pStyle w:val="TableContents"/>
              <w:spacing w:before="0" w:after="283"/>
              <w:rPr/>
            </w:pPr>
            <w:r>
              <w:rPr/>
              <w:t>%</w:t>
            </w:r>
          </w:p>
        </w:tc>
      </w:tr>
      <w:tr>
        <w:trPr/>
        <w:tc>
          <w:tcPr>
            <w:tcW w:w="1864"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8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91" w:type="dxa"/>
            <w:tcBorders>
              <w:bottom w:val="single" w:sz="8" w:space="0" w:color="B94831"/>
            </w:tcBorders>
            <w:shd w:fill="auto" w:val="clear"/>
            <w:tcMar>
              <w:bottom w:w="28" w:type="dxa"/>
            </w:tcMar>
            <w:vAlign w:val="bottom"/>
          </w:tcPr>
          <w:p>
            <w:pPr>
              <w:pStyle w:val="TableContents"/>
              <w:spacing w:before="0" w:after="283"/>
              <w:jc w:val="right"/>
              <w:rPr/>
            </w:pPr>
            <w:r>
              <w:rPr/>
              <w:t>3,562,500</w:t>
            </w:r>
          </w:p>
        </w:tc>
        <w:tc>
          <w:tcPr>
            <w:tcW w:w="238"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6"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336"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88"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29" w:type="dxa"/>
            <w:tcBorders>
              <w:bottom w:val="single" w:sz="8" w:space="0" w:color="B94831"/>
            </w:tcBorders>
            <w:shd w:fill="BFBFBF" w:val="clear"/>
            <w:tcMar>
              <w:bottom w:w="28" w:type="dxa"/>
            </w:tcMar>
            <w:vAlign w:val="bottom"/>
          </w:tcPr>
          <w:p>
            <w:pPr>
              <w:pStyle w:val="TableContents"/>
              <w:spacing w:before="0" w:after="283"/>
              <w:jc w:val="right"/>
              <w:rPr/>
            </w:pPr>
            <w:r>
              <w:rPr/>
              <w:t>21</w:t>
            </w:r>
          </w:p>
        </w:tc>
        <w:tc>
          <w:tcPr>
            <w:tcW w:w="300" w:type="dxa"/>
            <w:tcBorders>
              <w:bottom w:val="single" w:sz="8" w:space="0" w:color="B94831"/>
            </w:tcBorders>
            <w:shd w:fill="BFBFBF" w:val="clear"/>
            <w:tcMar>
              <w:bottom w:w="28" w:type="dxa"/>
            </w:tcMar>
            <w:vAlign w:val="bottom"/>
          </w:tcPr>
          <w:p>
            <w:pPr>
              <w:pStyle w:val="TableContents"/>
              <w:spacing w:before="0" w:after="283"/>
              <w:rPr/>
            </w:pPr>
            <w:r>
              <w:rPr/>
              <w:t>%</w:t>
            </w:r>
          </w:p>
        </w:tc>
        <w:tc>
          <w:tcPr>
            <w:tcW w:w="189"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3" w:type="dxa"/>
            <w:tcBorders>
              <w:bottom w:val="single" w:sz="8" w:space="0" w:color="B94831"/>
            </w:tcBorders>
            <w:shd w:fill="BFBFBF" w:val="clear"/>
            <w:tcMar>
              <w:bottom w:w="28" w:type="dxa"/>
            </w:tcMar>
            <w:vAlign w:val="bottom"/>
          </w:tcPr>
          <w:p>
            <w:pPr>
              <w:pStyle w:val="TableContents"/>
              <w:spacing w:before="0" w:after="283"/>
              <w:jc w:val="right"/>
              <w:rPr/>
            </w:pPr>
            <w:r>
              <w:rPr/>
              <w:t>79</w:t>
            </w:r>
          </w:p>
        </w:tc>
        <w:tc>
          <w:tcPr>
            <w:tcW w:w="287" w:type="dxa"/>
            <w:tcBorders>
              <w:bottom w:val="single" w:sz="8" w:space="0" w:color="B94831"/>
            </w:tcBorders>
            <w:shd w:fill="BFBFBF" w:val="clear"/>
            <w:tcMar>
              <w:bottom w:w="28" w:type="dxa"/>
            </w:tcM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b/>
          <w:sz w:val="20"/>
        </w:rPr>
        <w:t>Base salary:</w:t>
      </w:r>
      <w:r>
        <w:rPr>
          <w:rFonts w:ascii="arial" w:hAnsi="arial"/>
          <w:sz w:val="20"/>
        </w:rPr>
        <w:t xml:space="preserve"> Brians base salary was unchanged in 2022. </w:t>
      </w:r>
    </w:p>
    <w:p>
      <w:pPr>
        <w:pStyle w:val="TextBody"/>
        <w:spacing w:before="120" w:after="0"/>
        <w:jc w:val="left"/>
        <w:rPr>
          <w:rFonts w:ascii="arial" w:hAnsi="arial"/>
          <w:sz w:val="20"/>
        </w:rPr>
      </w:pPr>
      <w:r>
        <w:rPr>
          <w:rFonts w:ascii="Arial" w:hAnsi="Arial"/>
          <w:b/>
          <w:sz w:val="20"/>
        </w:rPr>
        <w:t>Annual incentive award:</w:t>
      </w:r>
      <w:r>
        <w:rPr>
          <w:rFonts w:ascii="arial" w:hAnsi="arial"/>
          <w:sz w:val="20"/>
        </w:rPr>
        <w:t xml:space="preserve"> Brians 2022 annual incentive award had a payout of 120% of target based on financial and individual performance. </w:t>
      </w:r>
    </w:p>
    <w:p>
      <w:pPr>
        <w:pStyle w:val="TextBody"/>
        <w:spacing w:before="120" w:after="0"/>
        <w:jc w:val="left"/>
        <w:rPr>
          <w:rFonts w:ascii="arial" w:hAnsi="arial"/>
          <w:sz w:val="20"/>
        </w:rPr>
      </w:pPr>
      <w:r>
        <w:rPr>
          <w:rFonts w:ascii="Arial" w:hAnsi="Arial"/>
          <w:b/>
          <w:sz w:val="20"/>
        </w:rPr>
        <w:t>Long-term incentive awards:</w:t>
      </w:r>
      <w:r>
        <w:rPr>
          <w:rFonts w:ascii="arial" w:hAnsi="arial"/>
          <w:sz w:val="20"/>
        </w:rPr>
        <w:t xml:space="preserve"> Brians 2022 award grant (based on 2021 performance) was split between 50% PRSUs, 25% TRSUs and 25% stock options.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88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607"/>
        <w:gridCol w:w="121"/>
        <w:gridCol w:w="8477"/>
      </w:tblGrid>
      <w:tr>
        <w:trPr/>
        <w:tc>
          <w:tcPr>
            <w:tcW w:w="16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477" w:type="dxa"/>
            <w:tcBorders/>
            <w:shd w:fill="auto" w:val="clear"/>
            <w:vAlign w:val="center"/>
          </w:tcPr>
          <w:p>
            <w:pPr>
              <w:pStyle w:val="TableContents"/>
              <w:spacing w:before="0" w:after="283"/>
              <w:rPr>
                <w:sz w:val="4"/>
                <w:szCs w:val="4"/>
              </w:rPr>
            </w:pPr>
            <w:r>
              <w:rPr>
                <w:sz w:val="4"/>
                <w:szCs w:val="4"/>
              </w:rPr>
            </w:r>
          </w:p>
        </w:tc>
      </w:tr>
      <w:tr>
        <w:trPr/>
        <w:tc>
          <w:tcPr>
            <w:tcW w:w="1607" w:type="dxa"/>
            <w:tcBorders/>
            <w:shd w:fill="auto" w:val="clear"/>
          </w:tcPr>
          <w:p>
            <w:pPr>
              <w:pStyle w:val="TableContents"/>
              <w:spacing w:before="0" w:after="283"/>
              <w:jc w:val="center"/>
              <w:rPr/>
            </w:pPr>
            <w:r>
              <w:rPr/>
              <w:drawing>
                <wp:inline distT="0" distB="0" distL="0" distR="0">
                  <wp:extent cx="108585" cy="10858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08585" cy="108585"/>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8477" w:type="dxa"/>
            <w:tcBorders/>
            <w:shd w:fill="auto" w:val="clear"/>
          </w:tcPr>
          <w:p>
            <w:pPr>
              <w:pStyle w:val="TableContents"/>
              <w:spacing w:before="0" w:after="0"/>
              <w:rPr>
                <w:rFonts w:ascii="Arial" w:hAnsi="Arial"/>
                <w:b/>
                <w:color w:val="B94831"/>
                <w:sz w:val="28"/>
              </w:rPr>
            </w:pPr>
            <w:r>
              <w:rPr>
                <w:rFonts w:ascii="Arial" w:hAnsi="Arial"/>
                <w:b/>
                <w:color w:val="B94831"/>
                <w:sz w:val="28"/>
              </w:rPr>
              <w:t>Kirsty Roth</w:t>
            </w:r>
          </w:p>
          <w:p>
            <w:pPr>
              <w:pStyle w:val="TableContents"/>
              <w:spacing w:before="0" w:after="0"/>
              <w:rPr>
                <w:rFonts w:ascii="arial" w:hAnsi="arial"/>
                <w:color w:val="B94831"/>
                <w:sz w:val="28"/>
              </w:rPr>
            </w:pPr>
            <w:r>
              <w:rPr>
                <w:rFonts w:ascii="arial" w:hAnsi="arial"/>
                <w:color w:val="B94831"/>
                <w:sz w:val="28"/>
              </w:rPr>
              <w:t>Chief Operations and Technology Officer</w:t>
            </w:r>
          </w:p>
          <w:p>
            <w:pPr>
              <w:pStyle w:val="TableContents"/>
              <w:spacing w:before="0" w:after="0"/>
              <w:rPr/>
            </w:pPr>
            <w:r>
              <w:rPr/>
              <w:t> </w:t>
            </w:r>
          </w:p>
          <w:p>
            <w:pPr>
              <w:pStyle w:val="TableContents"/>
              <w:spacing w:before="0" w:after="20"/>
              <w:rPr>
                <w:rFonts w:ascii="arial" w:hAnsi="arial"/>
                <w:sz w:val="20"/>
              </w:rPr>
            </w:pPr>
            <w:r>
              <w:rPr>
                <w:rFonts w:ascii="arial" w:hAnsi="arial"/>
                <w:sz w:val="20"/>
              </w:rPr>
              <w:t>Kirsty Roth has been Chief Operations and Technology Officer since August 2020. Prior to joining Thomson Reuters, Kirsty was Global Head of Operations and a Group General Manager for HSBC from May 2016 to August 2020. Before that, Kirsty was Chief Operating Officer for Finance, Operations and IT at Credit Suisse from 2011 to 2016 and a Consulting Partner with Deloitte from 2001 to 2011. Kirsty received a bachelors degree in Chemistry from the University of Bristol.</w:t>
            </w:r>
          </w:p>
        </w:tc>
      </w:tr>
    </w:tbl>
    <w:p>
      <w:pPr>
        <w:pStyle w:val="TextBody"/>
        <w:spacing w:before="120" w:after="0"/>
        <w:jc w:val="left"/>
        <w:rPr>
          <w:rFonts w:ascii="arial" w:hAnsi="arial"/>
          <w:color w:val="B94831"/>
          <w:sz w:val="28"/>
        </w:rPr>
      </w:pPr>
      <w:r>
        <w:rPr>
          <w:rFonts w:ascii="arial" w:hAnsi="arial"/>
          <w:color w:val="B94831"/>
          <w:sz w:val="28"/>
        </w:rPr>
        <w:t xml:space="preserve">2022 Performance </w:t>
      </w:r>
    </w:p>
    <w:p>
      <w:pPr>
        <w:pStyle w:val="TextBody"/>
        <w:spacing w:before="40" w:after="0"/>
        <w:jc w:val="left"/>
        <w:rPr>
          <w:rFonts w:ascii="arial" w:hAnsi="arial"/>
          <w:sz w:val="20"/>
        </w:rPr>
      </w:pPr>
      <w:r>
        <w:rPr>
          <w:rFonts w:ascii="arial" w:hAnsi="arial"/>
          <w:sz w:val="20"/>
        </w:rPr>
        <w:t xml:space="preserve">Under Kirstys leadership in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0"/>
        <w:gridCol w:w="107"/>
        <w:gridCol w:w="9662"/>
      </w:tblGrid>
      <w:tr>
        <w:trPr/>
        <w:tc>
          <w:tcPr>
            <w:tcW w:w="206" w:type="dxa"/>
            <w:tcBorders/>
            <w:shd w:fill="auto" w:val="clear"/>
            <w:vAlign w:val="center"/>
          </w:tcPr>
          <w:p>
            <w:pPr>
              <w:pStyle w:val="TableContents"/>
              <w:spacing w:before="0" w:after="283"/>
              <w:rPr/>
            </w:pPr>
            <w:r>
              <w:rPr/>
              <w:t> </w:t>
            </w:r>
          </w:p>
        </w:tc>
        <w:tc>
          <w:tcPr>
            <w:tcW w:w="230" w:type="dxa"/>
            <w:tcBorders/>
            <w:shd w:fill="auto" w:val="clear"/>
          </w:tcPr>
          <w:p>
            <w:pPr>
              <w:pStyle w:val="TableContents"/>
              <w:spacing w:before="0" w:after="283"/>
              <w:jc w:val="left"/>
              <w:rPr/>
            </w:pPr>
            <w:r>
              <w:rPr/>
              <w:t>● </w:t>
            </w:r>
          </w:p>
        </w:tc>
        <w:tc>
          <w:tcPr>
            <w:tcW w:w="107" w:type="dxa"/>
            <w:tcBorders/>
            <w:shd w:fill="auto" w:val="clear"/>
          </w:tcPr>
          <w:p>
            <w:pPr>
              <w:pStyle w:val="TableContents"/>
              <w:spacing w:before="0" w:after="283"/>
              <w:rPr/>
            </w:pPr>
            <w:r>
              <w:rPr/>
              <w:t> </w:t>
            </w:r>
          </w:p>
        </w:tc>
        <w:tc>
          <w:tcPr>
            <w:tcW w:w="9662" w:type="dxa"/>
            <w:tcBorders/>
            <w:shd w:fill="auto" w:val="clear"/>
          </w:tcPr>
          <w:p>
            <w:pPr>
              <w:pStyle w:val="TableContents"/>
              <w:spacing w:before="0" w:after="0"/>
              <w:jc w:val="left"/>
              <w:rPr>
                <w:rFonts w:ascii="arial" w:hAnsi="arial"/>
                <w:sz w:val="20"/>
              </w:rPr>
            </w:pPr>
            <w:r>
              <w:rPr>
                <w:rFonts w:ascii="arial" w:hAnsi="arial"/>
                <w:sz w:val="20"/>
              </w:rPr>
              <w:t xml:space="preserve">We completed the Change Program, investing nearly $600 million in technology, organizational and market-related initiatives. As of December 31, 2022, we achieved $540 million of annualized run-rate operating expense savings. We increased our small and medium digital sales from 7% to 44% and increased our net promoter score by 35% as compared to our 2020 baseline.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41"/>
        <w:gridCol w:w="110"/>
        <w:gridCol w:w="9646"/>
      </w:tblGrid>
      <w:tr>
        <w:trPr/>
        <w:tc>
          <w:tcPr>
            <w:tcW w:w="208" w:type="dxa"/>
            <w:tcBorders/>
            <w:shd w:fill="auto" w:val="clear"/>
            <w:vAlign w:val="center"/>
          </w:tcPr>
          <w:p>
            <w:pPr>
              <w:pStyle w:val="TableContents"/>
              <w:spacing w:before="0" w:after="283"/>
              <w:rPr/>
            </w:pPr>
            <w:r>
              <w:rPr/>
              <w:t> </w:t>
            </w:r>
          </w:p>
        </w:tc>
        <w:tc>
          <w:tcPr>
            <w:tcW w:w="241"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6" w:type="dxa"/>
            <w:tcBorders/>
            <w:shd w:fill="auto" w:val="clear"/>
          </w:tcPr>
          <w:p>
            <w:pPr>
              <w:pStyle w:val="TableContents"/>
              <w:spacing w:before="0" w:after="0"/>
              <w:jc w:val="left"/>
              <w:rPr>
                <w:rFonts w:ascii="arial" w:hAnsi="arial"/>
                <w:sz w:val="20"/>
              </w:rPr>
            </w:pPr>
            <w:r>
              <w:rPr>
                <w:rFonts w:ascii="arial" w:hAnsi="arial"/>
                <w:sz w:val="20"/>
              </w:rPr>
              <w:t xml:space="preserve">Our focus on customers, means we offered more common services like single sign on across multiple products, offered more APIs, introduced a new call center system improving call answering times and offering a broader range of options to contact us including chat and improved our billing systems. In addition, we supported our sales teams with better tools, enabling better customer retention, further cross sales and released our products more often.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3"/>
        <w:gridCol w:w="108"/>
        <w:gridCol w:w="9657"/>
      </w:tblGrid>
      <w:tr>
        <w:trPr/>
        <w:tc>
          <w:tcPr>
            <w:tcW w:w="207" w:type="dxa"/>
            <w:tcBorders/>
            <w:shd w:fill="auto" w:val="clear"/>
            <w:vAlign w:val="center"/>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7" w:type="dxa"/>
            <w:tcBorders/>
            <w:shd w:fill="auto" w:val="clear"/>
          </w:tcPr>
          <w:p>
            <w:pPr>
              <w:pStyle w:val="TableContents"/>
              <w:spacing w:before="0" w:after="0"/>
              <w:jc w:val="left"/>
              <w:rPr>
                <w:rFonts w:ascii="arial" w:hAnsi="arial"/>
                <w:sz w:val="20"/>
              </w:rPr>
            </w:pPr>
            <w:r>
              <w:rPr>
                <w:rFonts w:ascii="arial" w:hAnsi="arial"/>
                <w:sz w:val="20"/>
              </w:rPr>
              <w:t xml:space="preserve">We created a more secure, modernized and simplified technology architecture and operations and moved 50% of our revenue into public cloud and continued to further our leading data, analytics and AI capabilities.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37"/>
        <w:gridCol w:w="109"/>
        <w:gridCol w:w="9651"/>
      </w:tblGrid>
      <w:tr>
        <w:trPr/>
        <w:tc>
          <w:tcPr>
            <w:tcW w:w="208"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1" w:type="dxa"/>
            <w:tcBorders/>
            <w:shd w:fill="auto" w:val="clear"/>
          </w:tcPr>
          <w:p>
            <w:pPr>
              <w:pStyle w:val="TableContents"/>
              <w:spacing w:before="0" w:after="0"/>
              <w:jc w:val="left"/>
              <w:rPr>
                <w:rFonts w:ascii="arial" w:hAnsi="arial"/>
                <w:sz w:val="20"/>
              </w:rPr>
            </w:pPr>
            <w:r>
              <w:rPr>
                <w:rFonts w:ascii="arial" w:hAnsi="arial"/>
                <w:sz w:val="20"/>
              </w:rPr>
              <w:t xml:space="preserve">We simplified our real estate portfolio, opened a new global center in Mexico City and reduced our reliance on third party vendors. </w:t>
            </w:r>
          </w:p>
        </w:tc>
      </w:tr>
    </w:tbl>
    <w:p>
      <w:pPr>
        <w:pStyle w:val="TextBody"/>
        <w:spacing w:before="120" w:after="0"/>
        <w:jc w:val="left"/>
        <w:rPr>
          <w:rFonts w:ascii="arial" w:hAnsi="arial"/>
          <w:color w:val="B94831"/>
          <w:sz w:val="28"/>
        </w:rPr>
      </w:pPr>
      <w:r>
        <w:rPr>
          <w:rFonts w:ascii="arial" w:hAnsi="arial"/>
          <w:color w:val="B94831"/>
          <w:sz w:val="28"/>
        </w:rPr>
        <w:t xml:space="preserve">2022 Target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49"/>
        <w:gridCol w:w="135"/>
        <w:gridCol w:w="60"/>
        <w:gridCol w:w="983"/>
        <w:gridCol w:w="72"/>
        <w:gridCol w:w="140"/>
        <w:gridCol w:w="170"/>
        <w:gridCol w:w="2783"/>
        <w:gridCol w:w="185"/>
        <w:gridCol w:w="170"/>
        <w:gridCol w:w="256"/>
        <w:gridCol w:w="1627"/>
        <w:gridCol w:w="238"/>
        <w:gridCol w:w="135"/>
        <w:gridCol w:w="121"/>
        <w:gridCol w:w="530"/>
        <w:gridCol w:w="230"/>
        <w:gridCol w:w="131"/>
        <w:gridCol w:w="178"/>
        <w:gridCol w:w="772"/>
        <w:gridCol w:w="240"/>
      </w:tblGrid>
      <w:tr>
        <w:trPr/>
        <w:tc>
          <w:tcPr>
            <w:tcW w:w="104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049"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5569" w:type="dxa"/>
            <w:gridSpan w:val="8"/>
            <w:tcBorders>
              <w:top w:val="single" w:sz="2" w:space="0" w:color="B94831"/>
              <w:left w:val="single" w:sz="2" w:space="0" w:color="AFAFAF"/>
              <w:right w:val="single" w:sz="2" w:space="0" w:color="AFAFAF"/>
            </w:tcBorders>
            <w:shd w:fill="auto" w:val="clear"/>
            <w:tcMar>
              <w:top w:w="28" w:type="dxa"/>
              <w:left w:w="28" w:type="dxa"/>
              <w:right w:w="28" w:type="dxa"/>
            </w:tcMar>
            <w:vAlign w:val="center"/>
          </w:tcPr>
          <w:p>
            <w:pPr>
              <w:pStyle w:val="TableContents"/>
              <w:spacing w:before="0" w:after="283"/>
              <w:rPr/>
            </w:pPr>
            <w:r>
              <w:rPr/>
              <w:t> </w:t>
            </w:r>
          </w:p>
        </w:tc>
        <w:tc>
          <w:tcPr>
            <w:tcW w:w="1016" w:type="dxa"/>
            <w:gridSpan w:val="4"/>
            <w:tcBorders>
              <w:top w:val="single" w:sz="2" w:space="0" w:color="B94831"/>
            </w:tcBorders>
            <w:shd w:fill="BFBFBF" w:val="clear"/>
            <w:tcMar>
              <w:top w:w="28" w:type="dxa"/>
            </w:tcMar>
            <w:vAlign w:val="center"/>
          </w:tcPr>
          <w:p>
            <w:pPr>
              <w:pStyle w:val="TableContents"/>
              <w:spacing w:before="0" w:after="283"/>
              <w:rPr/>
            </w:pPr>
            <w:r>
              <w:rPr/>
              <w:t> </w:t>
            </w:r>
          </w:p>
        </w:tc>
        <w:tc>
          <w:tcPr>
            <w:tcW w:w="1321" w:type="dxa"/>
            <w:gridSpan w:val="4"/>
            <w:tcBorders>
              <w:top w:val="single" w:sz="2" w:space="0" w:color="B94831"/>
              <w:left w:val="single" w:sz="2" w:space="0" w:color="AFAFAF"/>
            </w:tcBorders>
            <w:shd w:fill="BFBFBF" w:val="clear"/>
            <w:tcMar>
              <w:top w:w="28" w:type="dxa"/>
              <w:left w:w="28" w:type="dxa"/>
            </w:tcMar>
            <w:vAlign w:val="center"/>
          </w:tcPr>
          <w:p>
            <w:pPr>
              <w:pStyle w:val="TableContents"/>
              <w:spacing w:before="0" w:after="283"/>
              <w:rPr/>
            </w:pPr>
            <w:r>
              <w:rPr/>
              <w:t> </w:t>
            </w:r>
          </w:p>
        </w:tc>
      </w:tr>
      <w:tr>
        <w:trPr/>
        <w:tc>
          <w:tcPr>
            <w:tcW w:w="104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43" w:type="dxa"/>
            <w:gridSpan w:val="2"/>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5191" w:type="dxa"/>
            <w:gridSpan w:val="6"/>
            <w:tcBorders>
              <w:bottom w:val="single" w:sz="2"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Target Total Direct Compensation (2022)</w:t>
            </w:r>
          </w:p>
        </w:tc>
        <w:tc>
          <w:tcPr>
            <w:tcW w:w="238" w:type="dxa"/>
            <w:tcBorders>
              <w:bottom w:val="single" w:sz="2"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2"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Fixed</w:t>
            </w:r>
          </w:p>
        </w:tc>
        <w:tc>
          <w:tcPr>
            <w:tcW w:w="230" w:type="dxa"/>
            <w:tcBorders>
              <w:bottom w:val="single" w:sz="2"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Variable</w:t>
            </w:r>
          </w:p>
        </w:tc>
        <w:tc>
          <w:tcPr>
            <w:tcW w:w="240" w:type="dxa"/>
            <w:tcBorders>
              <w:bottom w:val="single" w:sz="2" w:space="0" w:color="B94831"/>
            </w:tcBorders>
            <w:shd w:fill="BFBFBF" w:val="clear"/>
            <w:tcMar>
              <w:bottom w:w="28" w:type="dxa"/>
            </w:tcMar>
            <w:vAlign w:val="bottom"/>
          </w:tcPr>
          <w:p>
            <w:pPr>
              <w:pStyle w:val="TableContents"/>
              <w:spacing w:before="0" w:after="283"/>
              <w:rPr/>
            </w:pPr>
            <w:r>
              <w:rPr/>
              <w:t> </w:t>
            </w:r>
          </w:p>
        </w:tc>
      </w:tr>
      <w:tr>
        <w:trPr/>
        <w:tc>
          <w:tcPr>
            <w:tcW w:w="1049" w:type="dxa"/>
            <w:tcBorders>
              <w:bottom w:val="single" w:sz="8" w:space="0" w:color="B94831"/>
            </w:tcBorders>
            <w:shd w:fill="auto" w:val="clear"/>
            <w:tcMar>
              <w:bottom w:w="28" w:type="dxa"/>
            </w:tcMar>
            <w:vAlign w:val="bottom"/>
          </w:tcPr>
          <w:p>
            <w:pPr>
              <w:pStyle w:val="TableContents"/>
              <w:spacing w:before="0" w:after="283"/>
              <w:rPr/>
            </w:pPr>
            <w:r>
              <w:rPr/>
              <w:t>  </w:t>
            </w:r>
          </w:p>
        </w:tc>
        <w:tc>
          <w:tcPr>
            <w:tcW w:w="135" w:type="dxa"/>
            <w:tcBorders>
              <w:bottom w:val="single" w:sz="8" w:space="0" w:color="B94831"/>
            </w:tcBorders>
            <w:shd w:fill="auto" w:val="clear"/>
            <w:tcMar>
              <w:bottom w:w="28" w:type="dxa"/>
            </w:tcMar>
            <w:vAlign w:val="bottom"/>
          </w:tcPr>
          <w:p>
            <w:pPr>
              <w:pStyle w:val="TableContents"/>
              <w:spacing w:before="0" w:after="283"/>
              <w:rPr/>
            </w:pPr>
            <w:r>
              <w:rPr/>
              <w:t>  </w:t>
            </w:r>
          </w:p>
        </w:tc>
        <w:tc>
          <w:tcPr>
            <w:tcW w:w="104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CHF</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5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US$</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8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 of base salary</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 </w:t>
            </w:r>
          </w:p>
        </w:tc>
      </w:tr>
      <w:tr>
        <w:trPr/>
        <w:tc>
          <w:tcPr>
            <w:tcW w:w="104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Base salary</w:t>
            </w:r>
          </w:p>
        </w:tc>
        <w:tc>
          <w:tcPr>
            <w:tcW w:w="13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685,000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3" w:type="dxa"/>
            <w:tcBorders>
              <w:bottom w:val="single" w:sz="2" w:space="0" w:color="AFAFAF"/>
            </w:tcBorders>
            <w:shd w:fill="auto" w:val="clear"/>
            <w:tcMar>
              <w:bottom w:w="28" w:type="dxa"/>
            </w:tcMar>
            <w:vAlign w:val="bottom"/>
          </w:tcPr>
          <w:p>
            <w:pPr>
              <w:pStyle w:val="TableContents"/>
              <w:spacing w:before="0" w:after="283"/>
              <w:jc w:val="right"/>
              <w:rPr/>
            </w:pPr>
            <w:r>
              <w:rPr/>
              <w:t>718,624</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21</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40" w:type="dxa"/>
            <w:tcBorders>
              <w:bottom w:val="single" w:sz="2" w:space="0" w:color="AFAFAF"/>
            </w:tcBorders>
            <w:shd w:fill="BFBFBF" w:val="clear"/>
            <w:tcMar>
              <w:bottom w:w="28" w:type="dxa"/>
            </w:tcMar>
            <w:vAlign w:val="bottom"/>
          </w:tcPr>
          <w:p>
            <w:pPr>
              <w:pStyle w:val="TableContents"/>
              <w:spacing w:before="0" w:after="283"/>
              <w:rPr/>
            </w:pPr>
            <w:r>
              <w:rPr/>
              <w:t> </w:t>
            </w:r>
          </w:p>
        </w:tc>
      </w:tr>
      <w:tr>
        <w:trPr/>
        <w:tc>
          <w:tcPr>
            <w:tcW w:w="104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Annual incentive award</w:t>
            </w:r>
          </w:p>
        </w:tc>
        <w:tc>
          <w:tcPr>
            <w:tcW w:w="135"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856,250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3" w:type="dxa"/>
            <w:tcBorders>
              <w:bottom w:val="single" w:sz="2" w:space="0" w:color="AFAFAF"/>
            </w:tcBorders>
            <w:shd w:fill="auto" w:val="clear"/>
            <w:tcMar>
              <w:bottom w:w="28" w:type="dxa"/>
            </w:tcMar>
            <w:vAlign w:val="bottom"/>
          </w:tcPr>
          <w:p>
            <w:pPr>
              <w:pStyle w:val="TableContents"/>
              <w:spacing w:before="0" w:after="283"/>
              <w:jc w:val="right"/>
              <w:rPr/>
            </w:pPr>
            <w:r>
              <w:rPr/>
              <w:t>898,280</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7" w:type="dxa"/>
            <w:tcBorders>
              <w:bottom w:val="single" w:sz="2" w:space="0" w:color="AFAFAF"/>
            </w:tcBorders>
            <w:shd w:fill="auto" w:val="clear"/>
            <w:tcMar>
              <w:bottom w:w="28" w:type="dxa"/>
            </w:tcMar>
            <w:vAlign w:val="bottom"/>
          </w:tcPr>
          <w:p>
            <w:pPr>
              <w:pStyle w:val="TableContents"/>
              <w:spacing w:before="0" w:after="283"/>
              <w:jc w:val="right"/>
              <w:rPr/>
            </w:pPr>
            <w:r>
              <w:rPr/>
              <w:t>125</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135"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26</w:t>
            </w:r>
          </w:p>
        </w:tc>
        <w:tc>
          <w:tcPr>
            <w:tcW w:w="240" w:type="dxa"/>
            <w:tcBorders>
              <w:bottom w:val="single" w:sz="2" w:space="0" w:color="AFAFAF"/>
            </w:tcBorders>
            <w:shd w:fill="BFBFBF" w:val="clear"/>
            <w:tcMar>
              <w:bottom w:w="28" w:type="dxa"/>
            </w:tcMar>
            <w:vAlign w:val="bottom"/>
          </w:tcPr>
          <w:p>
            <w:pPr>
              <w:pStyle w:val="TableContents"/>
              <w:spacing w:before="0" w:after="283"/>
              <w:rPr/>
            </w:pPr>
            <w:r>
              <w:rPr/>
              <w:t>%</w:t>
            </w:r>
          </w:p>
        </w:tc>
      </w:tr>
      <w:tr>
        <w:trPr/>
        <w:tc>
          <w:tcPr>
            <w:tcW w:w="104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Long-term incentive awards</w:t>
            </w:r>
          </w:p>
        </w:tc>
        <w:tc>
          <w:tcPr>
            <w:tcW w:w="13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1,712,500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3" w:type="dxa"/>
            <w:tcBorders>
              <w:bottom w:val="single" w:sz="8" w:space="0" w:color="B94831"/>
            </w:tcBorders>
            <w:shd w:fill="auto" w:val="clear"/>
            <w:tcMar>
              <w:bottom w:w="28" w:type="dxa"/>
            </w:tcMar>
            <w:vAlign w:val="bottom"/>
          </w:tcPr>
          <w:p>
            <w:pPr>
              <w:pStyle w:val="TableContents"/>
              <w:spacing w:before="0" w:after="283"/>
              <w:jc w:val="right"/>
              <w:rPr/>
            </w:pPr>
            <w:r>
              <w:rPr/>
              <w:t>1,796,561</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7" w:type="dxa"/>
            <w:tcBorders>
              <w:bottom w:val="single" w:sz="8" w:space="0" w:color="B94831"/>
            </w:tcBorders>
            <w:shd w:fill="auto" w:val="clear"/>
            <w:tcMar>
              <w:bottom w:w="28" w:type="dxa"/>
            </w:tcMar>
            <w:vAlign w:val="bottom"/>
          </w:tcPr>
          <w:p>
            <w:pPr>
              <w:pStyle w:val="TableContents"/>
              <w:spacing w:before="0" w:after="283"/>
              <w:jc w:val="right"/>
              <w:rPr/>
            </w:pPr>
            <w:r>
              <w:rPr/>
              <w:t>250</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53</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w:t>
            </w:r>
          </w:p>
        </w:tc>
      </w:tr>
      <w:tr>
        <w:trPr/>
        <w:tc>
          <w:tcPr>
            <w:tcW w:w="104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35"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3,253,750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3" w:type="dxa"/>
            <w:tcBorders>
              <w:bottom w:val="single" w:sz="8" w:space="0" w:color="B94831"/>
            </w:tcBorders>
            <w:shd w:fill="auto" w:val="clear"/>
            <w:tcMar>
              <w:bottom w:w="28" w:type="dxa"/>
            </w:tcMar>
            <w:vAlign w:val="bottom"/>
          </w:tcPr>
          <w:p>
            <w:pPr>
              <w:pStyle w:val="TableContents"/>
              <w:spacing w:before="0" w:after="283"/>
              <w:jc w:val="right"/>
              <w:rPr/>
            </w:pPr>
            <w:r>
              <w:rPr/>
              <w:t>3,413,466</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7"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5"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21</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79</w:t>
            </w:r>
          </w:p>
        </w:tc>
        <w:tc>
          <w:tcPr>
            <w:tcW w:w="240" w:type="dxa"/>
            <w:tcBorders>
              <w:bottom w:val="single" w:sz="8" w:space="0" w:color="B94831"/>
            </w:tcBorders>
            <w:shd w:fill="BFBFBF" w:val="clear"/>
            <w:tcMar>
              <w:bottom w:w="28" w:type="dxa"/>
            </w:tcM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b/>
          <w:sz w:val="20"/>
        </w:rPr>
        <w:t>Base salary:</w:t>
      </w:r>
      <w:r>
        <w:rPr>
          <w:rFonts w:ascii="arial" w:hAnsi="arial"/>
          <w:sz w:val="20"/>
        </w:rPr>
        <w:t xml:space="preserve"> Kirstys base salary was increased in 2022 to better align her pay with the market and reflect the impact of her role. </w:t>
      </w:r>
    </w:p>
    <w:p>
      <w:pPr>
        <w:pStyle w:val="TextBody"/>
        <w:spacing w:before="120" w:after="0"/>
        <w:jc w:val="left"/>
        <w:rPr>
          <w:rFonts w:ascii="arial" w:hAnsi="arial"/>
          <w:sz w:val="20"/>
        </w:rPr>
      </w:pPr>
      <w:r>
        <w:rPr>
          <w:rFonts w:ascii="Arial" w:hAnsi="Arial"/>
          <w:b/>
          <w:sz w:val="20"/>
        </w:rPr>
        <w:t>Annual incentive award:</w:t>
      </w:r>
      <w:r>
        <w:rPr>
          <w:rFonts w:ascii="arial" w:hAnsi="arial"/>
          <w:sz w:val="20"/>
        </w:rPr>
        <w:t xml:space="preserve"> Kirstys 2022 annual incentive award had a payout of 120% of target based on financial and individual performance. </w:t>
      </w:r>
    </w:p>
    <w:p>
      <w:pPr>
        <w:pStyle w:val="TextBody"/>
        <w:spacing w:before="120" w:after="0"/>
        <w:jc w:val="left"/>
        <w:rPr>
          <w:rFonts w:ascii="arial" w:hAnsi="arial"/>
          <w:sz w:val="20"/>
        </w:rPr>
      </w:pPr>
      <w:r>
        <w:rPr>
          <w:rFonts w:ascii="Arial" w:hAnsi="Arial"/>
          <w:b/>
          <w:sz w:val="20"/>
        </w:rPr>
        <w:t>Long-term incentive awards:</w:t>
      </w:r>
      <w:r>
        <w:rPr>
          <w:rFonts w:ascii="arial" w:hAnsi="arial"/>
          <w:sz w:val="20"/>
        </w:rPr>
        <w:t xml:space="preserve"> Kirstys long-term incentive award was increased from 225% to 250% of her base salary to better align her pay with the market and reflect the impact of her role. Kirstys 2022 award grant (based on 2021 performance) was split between 50% PRSUs, 25% TRSUs and 25% stock options.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617"/>
        <w:gridCol w:w="127"/>
        <w:gridCol w:w="8461"/>
      </w:tblGrid>
      <w:tr>
        <w:trPr/>
        <w:tc>
          <w:tcPr>
            <w:tcW w:w="161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461" w:type="dxa"/>
            <w:tcBorders/>
            <w:shd w:fill="auto" w:val="clear"/>
            <w:vAlign w:val="center"/>
          </w:tcPr>
          <w:p>
            <w:pPr>
              <w:pStyle w:val="TableContents"/>
              <w:spacing w:before="0" w:after="283"/>
              <w:rPr>
                <w:sz w:val="4"/>
                <w:szCs w:val="4"/>
              </w:rPr>
            </w:pPr>
            <w:r>
              <w:rPr>
                <w:sz w:val="4"/>
                <w:szCs w:val="4"/>
              </w:rPr>
            </w:r>
          </w:p>
        </w:tc>
      </w:tr>
      <w:tr>
        <w:trPr/>
        <w:tc>
          <w:tcPr>
            <w:tcW w:w="1617" w:type="dxa"/>
            <w:tcBorders/>
            <w:shd w:fill="auto" w:val="clear"/>
          </w:tcPr>
          <w:p>
            <w:pPr>
              <w:pStyle w:val="TableContents"/>
              <w:spacing w:before="0" w:after="283"/>
              <w:jc w:val="center"/>
              <w:rPr/>
            </w:pPr>
            <w:r>
              <w:rPr/>
              <w:drawing>
                <wp:inline distT="0" distB="0" distL="0" distR="0">
                  <wp:extent cx="108585" cy="10858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08585" cy="108585"/>
                          </a:xfrm>
                          <a:prstGeom prst="rect">
                            <a:avLst/>
                          </a:prstGeom>
                        </pic:spPr>
                      </pic:pic>
                    </a:graphicData>
                  </a:graphic>
                </wp:inline>
              </w:drawing>
            </w:r>
            <w:r>
              <w:rPr/>
              <w:t xml:space="preserve"> </w:t>
            </w:r>
          </w:p>
        </w:tc>
        <w:tc>
          <w:tcPr>
            <w:tcW w:w="127" w:type="dxa"/>
            <w:tcBorders/>
            <w:shd w:fill="auto" w:val="clear"/>
            <w:vAlign w:val="bottom"/>
          </w:tcPr>
          <w:p>
            <w:pPr>
              <w:pStyle w:val="TableContents"/>
              <w:spacing w:before="0" w:after="283"/>
              <w:rPr/>
            </w:pPr>
            <w:r>
              <w:rPr/>
              <w:t>  </w:t>
            </w:r>
          </w:p>
        </w:tc>
        <w:tc>
          <w:tcPr>
            <w:tcW w:w="8461" w:type="dxa"/>
            <w:tcBorders/>
            <w:shd w:fill="auto" w:val="clear"/>
          </w:tcPr>
          <w:p>
            <w:pPr>
              <w:pStyle w:val="TableContents"/>
              <w:spacing w:before="0" w:after="0"/>
              <w:rPr>
                <w:rFonts w:ascii="Arial" w:hAnsi="Arial"/>
                <w:b/>
                <w:color w:val="B94831"/>
                <w:sz w:val="28"/>
              </w:rPr>
            </w:pPr>
            <w:r>
              <w:rPr>
                <w:rFonts w:ascii="Arial" w:hAnsi="Arial"/>
                <w:b/>
                <w:color w:val="B94831"/>
                <w:sz w:val="28"/>
              </w:rPr>
              <w:t>David Wong</w:t>
            </w:r>
          </w:p>
          <w:p>
            <w:pPr>
              <w:pStyle w:val="TableContents"/>
              <w:spacing w:before="0" w:after="0"/>
              <w:rPr>
                <w:rFonts w:ascii="arial" w:hAnsi="arial"/>
                <w:color w:val="B94831"/>
                <w:sz w:val="28"/>
              </w:rPr>
            </w:pPr>
            <w:r>
              <w:rPr>
                <w:rFonts w:ascii="arial" w:hAnsi="arial"/>
                <w:color w:val="B94831"/>
                <w:sz w:val="28"/>
              </w:rPr>
              <w:t>Chief Product Officer</w:t>
            </w:r>
          </w:p>
          <w:p>
            <w:pPr>
              <w:pStyle w:val="TableContents"/>
              <w:spacing w:before="0" w:after="0"/>
              <w:rPr/>
            </w:pPr>
            <w:r>
              <w:rPr/>
              <w:t> </w:t>
            </w:r>
          </w:p>
          <w:p>
            <w:pPr>
              <w:pStyle w:val="TableContents"/>
              <w:spacing w:before="0" w:after="20"/>
              <w:rPr>
                <w:rFonts w:ascii="arial" w:hAnsi="arial"/>
                <w:sz w:val="20"/>
              </w:rPr>
            </w:pPr>
            <w:r>
              <w:rPr>
                <w:rFonts w:ascii="arial" w:hAnsi="arial"/>
                <w:sz w:val="20"/>
              </w:rPr>
              <w:t>David Wong has been Chief Product Officer since July 2020. Prior to joining Thomson Reuters, David worked at Facebook as Product Management Lead from January 2019 to June 2020 and Product Manager from February 2018 to January 2019. David served as SVP of Product Leadership of Nielsen Holdings PLC from November 2014 to February 2018 and prior to that, served as Nielsens VP of Product Leadership from May 2011 to November 2014. David was also a consultant at McKinsey &amp; Company from August 2006 to March 2011. He holds a degree in Engineering Science from the University of Toronto, where he specialized in applied physics and electrical engineering.</w:t>
            </w:r>
          </w:p>
        </w:tc>
      </w:tr>
    </w:tbl>
    <w:p>
      <w:pPr>
        <w:pStyle w:val="TextBody"/>
        <w:spacing w:before="120" w:after="0"/>
        <w:jc w:val="left"/>
        <w:rPr>
          <w:rFonts w:ascii="arial" w:hAnsi="arial"/>
          <w:color w:val="B94831"/>
          <w:sz w:val="28"/>
        </w:rPr>
      </w:pPr>
      <w:r>
        <w:rPr>
          <w:rFonts w:ascii="arial" w:hAnsi="arial"/>
          <w:color w:val="B94831"/>
          <w:sz w:val="28"/>
        </w:rPr>
        <w:t xml:space="preserve">2022 Performance </w:t>
      </w:r>
    </w:p>
    <w:p>
      <w:pPr>
        <w:pStyle w:val="TextBody"/>
        <w:spacing w:before="40" w:after="0"/>
        <w:jc w:val="left"/>
        <w:rPr>
          <w:rFonts w:ascii="arial" w:hAnsi="arial"/>
          <w:sz w:val="20"/>
        </w:rPr>
      </w:pPr>
      <w:r>
        <w:rPr>
          <w:rFonts w:ascii="arial" w:hAnsi="arial"/>
          <w:sz w:val="20"/>
        </w:rPr>
        <w:t xml:space="preserve">Under Davids leadership in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4"/>
        <w:gridCol w:w="108"/>
        <w:gridCol w:w="9656"/>
      </w:tblGrid>
      <w:tr>
        <w:trPr/>
        <w:tc>
          <w:tcPr>
            <w:tcW w:w="207"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6" w:type="dxa"/>
            <w:tcBorders/>
            <w:shd w:fill="auto" w:val="clear"/>
          </w:tcPr>
          <w:p>
            <w:pPr>
              <w:pStyle w:val="TableContents"/>
              <w:spacing w:before="0" w:after="0"/>
              <w:jc w:val="left"/>
              <w:rPr>
                <w:rFonts w:ascii="arial" w:hAnsi="arial"/>
                <w:sz w:val="20"/>
              </w:rPr>
            </w:pPr>
            <w:r>
              <w:rPr>
                <w:rFonts w:ascii="arial" w:hAnsi="arial"/>
                <w:sz w:val="20"/>
              </w:rPr>
              <w:t xml:space="preserve">We launched Westlaw Precision, a significant upgrade to our flagship legal research offering, delivering a more efficient and accurate way to conduct legal research and find on-point cases, including six new capabilities, foremost of which is Precision Research, as well as expanded KeyCite functionality and several other tools that deliver improved research speed and accuracy, and significant enhancements to workflows.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4"/>
        <w:gridCol w:w="108"/>
        <w:gridCol w:w="9656"/>
      </w:tblGrid>
      <w:tr>
        <w:trPr/>
        <w:tc>
          <w:tcPr>
            <w:tcW w:w="207"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6" w:type="dxa"/>
            <w:tcBorders/>
            <w:shd w:fill="auto" w:val="clear"/>
          </w:tcPr>
          <w:p>
            <w:pPr>
              <w:pStyle w:val="TableContents"/>
              <w:spacing w:before="0" w:after="0"/>
              <w:jc w:val="left"/>
              <w:rPr>
                <w:rFonts w:ascii="arial" w:hAnsi="arial"/>
                <w:sz w:val="20"/>
              </w:rPr>
            </w:pPr>
            <w:r>
              <w:rPr>
                <w:rFonts w:ascii="arial" w:hAnsi="arial"/>
                <w:sz w:val="20"/>
              </w:rPr>
              <w:t xml:space="preserve">We launched several new offerings and made key enhancements across our product portfolio, including expanded HighQ contract lifecycle management capabilities, a new Document Intelligence offering in our Legal Professionals portfolio, a new Free Trade Agreement Analyzer offering in ONESOURCE Global Trade, as well as a new Global Beneficial Ownership solution for CLEAR.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8"/>
        <w:gridCol w:w="109"/>
        <w:gridCol w:w="9652"/>
      </w:tblGrid>
      <w:tr>
        <w:trPr/>
        <w:tc>
          <w:tcPr>
            <w:tcW w:w="206" w:type="dxa"/>
            <w:tcBorders/>
            <w:shd w:fill="auto" w:val="clear"/>
            <w:vAlign w:val="center"/>
          </w:tcPr>
          <w:p>
            <w:pPr>
              <w:pStyle w:val="TableContents"/>
              <w:spacing w:before="0" w:after="283"/>
              <w:rPr/>
            </w:pPr>
            <w:r>
              <w:rPr/>
              <w:t> </w:t>
            </w:r>
          </w:p>
        </w:tc>
        <w:tc>
          <w:tcPr>
            <w:tcW w:w="238"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2" w:type="dxa"/>
            <w:tcBorders/>
            <w:shd w:fill="auto" w:val="clear"/>
          </w:tcPr>
          <w:p>
            <w:pPr>
              <w:pStyle w:val="TableContents"/>
              <w:spacing w:before="0" w:after="0"/>
              <w:jc w:val="left"/>
              <w:rPr>
                <w:rFonts w:ascii="arial" w:hAnsi="arial"/>
                <w:sz w:val="20"/>
              </w:rPr>
            </w:pPr>
            <w:r>
              <w:rPr>
                <w:rFonts w:ascii="arial" w:hAnsi="arial"/>
                <w:sz w:val="20"/>
              </w:rPr>
              <w:t xml:space="preserve">We expanded features and capabilities across several products in our Tax &amp; Accounting portfolio, such as UltraTax modernization, which includes the most extensive set of enhancements in recent years, integrating SurePrep into GoSystem Tax and UltraTax and new offerings such as UltraTax Business e-Signature, Checkpoint Engage  Single Audit and the first version of the next generation Confirmation product.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42"/>
        <w:gridCol w:w="110"/>
        <w:gridCol w:w="9645"/>
      </w:tblGrid>
      <w:tr>
        <w:trPr/>
        <w:tc>
          <w:tcPr>
            <w:tcW w:w="208"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5" w:type="dxa"/>
            <w:tcBorders/>
            <w:shd w:fill="auto" w:val="clear"/>
          </w:tcPr>
          <w:p>
            <w:pPr>
              <w:pStyle w:val="TableContents"/>
              <w:spacing w:before="0" w:after="0"/>
              <w:jc w:val="left"/>
              <w:rPr>
                <w:rFonts w:ascii="arial" w:hAnsi="arial"/>
                <w:sz w:val="20"/>
              </w:rPr>
            </w:pPr>
            <w:r>
              <w:rPr>
                <w:rFonts w:ascii="arial" w:hAnsi="arial"/>
                <w:sz w:val="20"/>
              </w:rPr>
              <w:t xml:space="preserve">We significantly modernized and simplified our product portfolio and product development groups. </w:t>
            </w:r>
          </w:p>
        </w:tc>
      </w:tr>
    </w:tbl>
    <w:p>
      <w:pPr>
        <w:pStyle w:val="TextBody"/>
        <w:spacing w:before="120" w:after="0"/>
        <w:jc w:val="left"/>
        <w:rPr>
          <w:rFonts w:ascii="arial" w:hAnsi="arial"/>
          <w:color w:val="B94831"/>
          <w:sz w:val="28"/>
        </w:rPr>
      </w:pPr>
      <w:r>
        <w:rPr>
          <w:rFonts w:ascii="arial" w:hAnsi="arial"/>
          <w:color w:val="B94831"/>
          <w:sz w:val="28"/>
        </w:rPr>
        <w:t xml:space="preserve">2022 Target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43"/>
        <w:gridCol w:w="136"/>
        <w:gridCol w:w="60"/>
        <w:gridCol w:w="983"/>
        <w:gridCol w:w="72"/>
        <w:gridCol w:w="140"/>
        <w:gridCol w:w="170"/>
        <w:gridCol w:w="2787"/>
        <w:gridCol w:w="185"/>
        <w:gridCol w:w="170"/>
        <w:gridCol w:w="256"/>
        <w:gridCol w:w="1628"/>
        <w:gridCol w:w="238"/>
        <w:gridCol w:w="136"/>
        <w:gridCol w:w="121"/>
        <w:gridCol w:w="530"/>
        <w:gridCol w:w="230"/>
        <w:gridCol w:w="131"/>
        <w:gridCol w:w="178"/>
        <w:gridCol w:w="772"/>
        <w:gridCol w:w="239"/>
      </w:tblGrid>
      <w:tr>
        <w:trPr/>
        <w:tc>
          <w:tcPr>
            <w:tcW w:w="104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043"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5574" w:type="dxa"/>
            <w:gridSpan w:val="8"/>
            <w:tcBorders>
              <w:top w:val="single" w:sz="2" w:space="0" w:color="B94831"/>
              <w:left w:val="single" w:sz="2" w:space="0" w:color="AFAFAF"/>
              <w:right w:val="single" w:sz="2" w:space="0" w:color="AFAFAF"/>
            </w:tcBorders>
            <w:shd w:fill="auto" w:val="clear"/>
            <w:tcMar>
              <w:top w:w="28" w:type="dxa"/>
              <w:left w:w="28" w:type="dxa"/>
              <w:right w:w="28" w:type="dxa"/>
            </w:tcMar>
            <w:vAlign w:val="center"/>
          </w:tcPr>
          <w:p>
            <w:pPr>
              <w:pStyle w:val="TableContents"/>
              <w:spacing w:before="0" w:after="283"/>
              <w:rPr/>
            </w:pPr>
            <w:r>
              <w:rPr/>
              <w:t> </w:t>
            </w:r>
          </w:p>
        </w:tc>
        <w:tc>
          <w:tcPr>
            <w:tcW w:w="1017" w:type="dxa"/>
            <w:gridSpan w:val="4"/>
            <w:tcBorders>
              <w:top w:val="single" w:sz="2" w:space="0" w:color="B94831"/>
            </w:tcBorders>
            <w:shd w:fill="BFBFBF" w:val="clear"/>
            <w:tcMar>
              <w:top w:w="28" w:type="dxa"/>
            </w:tcMar>
            <w:vAlign w:val="center"/>
          </w:tcPr>
          <w:p>
            <w:pPr>
              <w:pStyle w:val="TableContents"/>
              <w:spacing w:before="0" w:after="283"/>
              <w:rPr/>
            </w:pPr>
            <w:r>
              <w:rPr/>
              <w:t> </w:t>
            </w:r>
          </w:p>
        </w:tc>
        <w:tc>
          <w:tcPr>
            <w:tcW w:w="1320" w:type="dxa"/>
            <w:gridSpan w:val="4"/>
            <w:tcBorders>
              <w:top w:val="single" w:sz="2" w:space="0" w:color="B94831"/>
              <w:left w:val="single" w:sz="2" w:space="0" w:color="AFAFAF"/>
            </w:tcBorders>
            <w:shd w:fill="BFBFBF" w:val="clear"/>
            <w:tcMar>
              <w:top w:w="28" w:type="dxa"/>
              <w:left w:w="28" w:type="dxa"/>
            </w:tcMar>
            <w:vAlign w:val="center"/>
          </w:tcPr>
          <w:p>
            <w:pPr>
              <w:pStyle w:val="TableContents"/>
              <w:spacing w:before="0" w:after="283"/>
              <w:rPr/>
            </w:pPr>
            <w:r>
              <w:rPr/>
              <w:t> </w:t>
            </w:r>
          </w:p>
        </w:tc>
      </w:tr>
      <w:tr>
        <w:trPr/>
        <w:tc>
          <w:tcPr>
            <w:tcW w:w="104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43" w:type="dxa"/>
            <w:gridSpan w:val="2"/>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4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5196" w:type="dxa"/>
            <w:gridSpan w:val="6"/>
            <w:tcBorders>
              <w:bottom w:val="single" w:sz="2" w:space="0" w:color="B94831"/>
            </w:tcBorders>
            <w:shd w:fill="auto" w:val="clear"/>
            <w:tcMar>
              <w:bottom w:w="28" w:type="dxa"/>
            </w:tcMar>
            <w:vAlign w:val="bottom"/>
          </w:tcPr>
          <w:p>
            <w:pPr>
              <w:pStyle w:val="TableContents"/>
              <w:spacing w:before="0" w:after="283"/>
              <w:jc w:val="center"/>
              <w:rPr>
                <w:rFonts w:ascii="Arial" w:hAnsi="Arial"/>
                <w:b/>
              </w:rPr>
            </w:pPr>
            <w:r>
              <w:rPr>
                <w:rFonts w:ascii="Arial" w:hAnsi="Arial"/>
                <w:b/>
              </w:rPr>
              <w:t>Target Total Direct Compensation (2022)</w:t>
            </w:r>
          </w:p>
        </w:tc>
        <w:tc>
          <w:tcPr>
            <w:tcW w:w="238" w:type="dxa"/>
            <w:tcBorders>
              <w:bottom w:val="single" w:sz="2"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6" w:type="dxa"/>
            <w:tcBorders>
              <w:bottom w:val="single" w:sz="2"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Fixed</w:t>
            </w:r>
          </w:p>
        </w:tc>
        <w:tc>
          <w:tcPr>
            <w:tcW w:w="230" w:type="dxa"/>
            <w:tcBorders>
              <w:bottom w:val="single" w:sz="2"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2" w:space="0" w:color="B94831"/>
            </w:tcBorders>
            <w:shd w:fill="BFBFBF" w:val="clear"/>
            <w:tcMar>
              <w:bottom w:w="28" w:type="dxa"/>
            </w:tcMar>
            <w:vAlign w:val="bottom"/>
          </w:tcPr>
          <w:p>
            <w:pPr>
              <w:pStyle w:val="TableContents"/>
              <w:spacing w:before="0" w:after="283"/>
              <w:jc w:val="center"/>
              <w:rPr>
                <w:rFonts w:ascii="Arial" w:hAnsi="Arial"/>
                <w:b/>
              </w:rPr>
            </w:pPr>
            <w:r>
              <w:rPr>
                <w:rFonts w:ascii="Arial" w:hAnsi="Arial"/>
                <w:b/>
              </w:rPr>
              <w:t>Variable</w:t>
            </w:r>
          </w:p>
        </w:tc>
        <w:tc>
          <w:tcPr>
            <w:tcW w:w="239" w:type="dxa"/>
            <w:tcBorders>
              <w:bottom w:val="single" w:sz="2" w:space="0" w:color="B94831"/>
            </w:tcBorders>
            <w:shd w:fill="BFBFBF" w:val="clear"/>
            <w:tcMar>
              <w:bottom w:w="28" w:type="dxa"/>
            </w:tcMar>
            <w:vAlign w:val="bottom"/>
          </w:tcPr>
          <w:p>
            <w:pPr>
              <w:pStyle w:val="TableContents"/>
              <w:spacing w:before="0" w:after="283"/>
              <w:rPr/>
            </w:pPr>
            <w:r>
              <w:rPr/>
              <w:t> </w:t>
            </w:r>
          </w:p>
        </w:tc>
      </w:tr>
      <w:tr>
        <w:trPr/>
        <w:tc>
          <w:tcPr>
            <w:tcW w:w="1043" w:type="dxa"/>
            <w:tcBorders>
              <w:bottom w:val="single" w:sz="8" w:space="0" w:color="B94831"/>
            </w:tcBorders>
            <w:shd w:fill="auto" w:val="clear"/>
            <w:tcMar>
              <w:bottom w:w="28" w:type="dxa"/>
            </w:tcMar>
            <w:vAlign w:val="bottom"/>
          </w:tcPr>
          <w:p>
            <w:pPr>
              <w:pStyle w:val="TableContents"/>
              <w:spacing w:before="0" w:after="283"/>
              <w:rPr/>
            </w:pPr>
            <w:r>
              <w:rPr/>
              <w:t>  </w:t>
            </w:r>
          </w:p>
        </w:tc>
        <w:tc>
          <w:tcPr>
            <w:tcW w:w="136" w:type="dxa"/>
            <w:tcBorders>
              <w:bottom w:val="single" w:sz="8" w:space="0" w:color="B94831"/>
            </w:tcBorders>
            <w:shd w:fill="auto" w:val="clear"/>
            <w:tcMar>
              <w:bottom w:w="28" w:type="dxa"/>
            </w:tcMar>
            <w:vAlign w:val="bottom"/>
          </w:tcPr>
          <w:p>
            <w:pPr>
              <w:pStyle w:val="TableContents"/>
              <w:spacing w:before="0" w:after="283"/>
              <w:rPr/>
            </w:pPr>
            <w:r>
              <w:rPr/>
              <w:t>  </w:t>
            </w:r>
          </w:p>
        </w:tc>
        <w:tc>
          <w:tcPr>
            <w:tcW w:w="1043"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C$</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57"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US$</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84" w:type="dxa"/>
            <w:gridSpan w:val="2"/>
            <w:tcBorders>
              <w:bottom w:val="single" w:sz="8" w:space="0" w:color="B94831"/>
            </w:tcBorders>
            <w:shd w:fill="auto" w:val="clear"/>
            <w:tcMar>
              <w:bottom w:w="28" w:type="dxa"/>
            </w:tcMar>
            <w:vAlign w:val="bottom"/>
          </w:tcPr>
          <w:p>
            <w:pPr>
              <w:pStyle w:val="TableContents"/>
              <w:spacing w:before="0" w:after="283"/>
              <w:jc w:val="right"/>
              <w:rPr>
                <w:rFonts w:ascii="Arial" w:hAnsi="Arial"/>
                <w:b/>
              </w:rPr>
            </w:pPr>
            <w:r>
              <w:rPr>
                <w:rFonts w:ascii="Arial" w:hAnsi="Arial"/>
                <w:b/>
              </w:rPr>
              <w:t>% of base salary</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6" w:type="dxa"/>
            <w:tcBorders>
              <w:bottom w:val="single" w:sz="8" w:space="0" w:color="B94831"/>
            </w:tcBorders>
            <w:shd w:fill="BFBFBF" w:val="clear"/>
            <w:tcMar>
              <w:bottom w:w="28" w:type="dxa"/>
            </w:tcMar>
            <w:vAlign w:val="bottom"/>
          </w:tcPr>
          <w:p>
            <w:pPr>
              <w:pStyle w:val="TableContents"/>
              <w:spacing w:before="0" w:after="283"/>
              <w:rPr/>
            </w:pPr>
            <w:r>
              <w:rPr/>
              <w:t>  </w:t>
            </w:r>
          </w:p>
        </w:tc>
        <w:tc>
          <w:tcPr>
            <w:tcW w:w="651"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950" w:type="dxa"/>
            <w:gridSpan w:val="2"/>
            <w:tcBorders>
              <w:bottom w:val="single" w:sz="8" w:space="0" w:color="B94831"/>
            </w:tcBorders>
            <w:shd w:fill="BFBFBF" w:val="clear"/>
            <w:tcMar>
              <w:bottom w:w="28" w:type="dxa"/>
            </w:tcMar>
            <w:vAlign w:val="bottom"/>
          </w:tcPr>
          <w:p>
            <w:pPr>
              <w:pStyle w:val="TableContents"/>
              <w:spacing w:before="0" w:after="283"/>
              <w:rPr/>
            </w:pPr>
            <w:r>
              <w:rPr/>
              <w:t>  </w:t>
            </w:r>
          </w:p>
        </w:tc>
        <w:tc>
          <w:tcPr>
            <w:tcW w:w="239" w:type="dxa"/>
            <w:tcBorders>
              <w:bottom w:val="single" w:sz="8" w:space="0" w:color="B94831"/>
            </w:tcBorders>
            <w:shd w:fill="BFBFBF" w:val="clear"/>
            <w:tcMar>
              <w:bottom w:w="28" w:type="dxa"/>
            </w:tcMar>
            <w:vAlign w:val="bottom"/>
          </w:tcPr>
          <w:p>
            <w:pPr>
              <w:pStyle w:val="TableContents"/>
              <w:spacing w:before="0" w:after="283"/>
              <w:rPr/>
            </w:pPr>
            <w:r>
              <w:rPr/>
              <w:t> </w:t>
            </w:r>
          </w:p>
        </w:tc>
      </w:tr>
      <w:tr>
        <w:trPr/>
        <w:tc>
          <w:tcPr>
            <w:tcW w:w="104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Base salary</w:t>
            </w:r>
          </w:p>
        </w:tc>
        <w:tc>
          <w:tcPr>
            <w:tcW w:w="1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792,000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7" w:type="dxa"/>
            <w:tcBorders>
              <w:bottom w:val="single" w:sz="2" w:space="0" w:color="AFAFAF"/>
            </w:tcBorders>
            <w:shd w:fill="auto" w:val="clear"/>
            <w:tcMar>
              <w:bottom w:w="28" w:type="dxa"/>
            </w:tcMar>
            <w:vAlign w:val="bottom"/>
          </w:tcPr>
          <w:p>
            <w:pPr>
              <w:pStyle w:val="TableContents"/>
              <w:spacing w:before="0" w:after="283"/>
              <w:jc w:val="right"/>
              <w:rPr/>
            </w:pPr>
            <w:r>
              <w:rPr/>
              <w:t>607,475</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8"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36"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22</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39" w:type="dxa"/>
            <w:tcBorders>
              <w:bottom w:val="single" w:sz="2" w:space="0" w:color="AFAFAF"/>
            </w:tcBorders>
            <w:shd w:fill="BFBFBF" w:val="clear"/>
            <w:tcMar>
              <w:bottom w:w="28" w:type="dxa"/>
            </w:tcMar>
            <w:vAlign w:val="bottom"/>
          </w:tcPr>
          <w:p>
            <w:pPr>
              <w:pStyle w:val="TableContents"/>
              <w:spacing w:before="0" w:after="283"/>
              <w:rPr/>
            </w:pPr>
            <w:r>
              <w:rPr/>
              <w:t> </w:t>
            </w:r>
          </w:p>
        </w:tc>
      </w:tr>
      <w:tr>
        <w:trPr/>
        <w:tc>
          <w:tcPr>
            <w:tcW w:w="104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Annual incentive award</w:t>
            </w:r>
          </w:p>
        </w:tc>
        <w:tc>
          <w:tcPr>
            <w:tcW w:w="136"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983" w:type="dxa"/>
            <w:tcBorders>
              <w:bottom w:val="single" w:sz="2" w:space="0" w:color="AFAFAF"/>
            </w:tcBorders>
            <w:shd w:fill="auto" w:val="clear"/>
            <w:tcMar>
              <w:bottom w:w="28" w:type="dxa"/>
            </w:tcMar>
            <w:vAlign w:val="bottom"/>
          </w:tcPr>
          <w:p>
            <w:pPr>
              <w:pStyle w:val="TableContents"/>
              <w:spacing w:before="0" w:after="283"/>
              <w:jc w:val="right"/>
              <w:rPr/>
            </w:pPr>
            <w:r>
              <w:rPr/>
              <w:t>990,000</w:t>
            </w:r>
          </w:p>
        </w:tc>
        <w:tc>
          <w:tcPr>
            <w:tcW w:w="72"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0" w:type="dxa"/>
            <w:tcBorders>
              <w:bottom w:val="single" w:sz="2" w:space="0" w:color="AFAFAF"/>
            </w:tcBorders>
            <w:shd w:fill="auto" w:val="clear"/>
            <w:tcMar>
              <w:bottom w:w="28" w:type="dxa"/>
            </w:tcMar>
            <w:vAlign w:val="bottom"/>
          </w:tcPr>
          <w:p>
            <w:pPr>
              <w:pStyle w:val="TableContents"/>
              <w:spacing w:before="0" w:after="283"/>
              <w:rPr/>
            </w:pPr>
            <w:r>
              <w:rPr/>
              <w:t> </w:t>
            </w:r>
          </w:p>
        </w:tc>
        <w:tc>
          <w:tcPr>
            <w:tcW w:w="2787" w:type="dxa"/>
            <w:tcBorders>
              <w:bottom w:val="single" w:sz="2" w:space="0" w:color="AFAFAF"/>
            </w:tcBorders>
            <w:shd w:fill="auto" w:val="clear"/>
            <w:tcMar>
              <w:bottom w:w="28" w:type="dxa"/>
            </w:tcMar>
            <w:vAlign w:val="bottom"/>
          </w:tcPr>
          <w:p>
            <w:pPr>
              <w:pStyle w:val="TableContents"/>
              <w:spacing w:before="0" w:after="283"/>
              <w:jc w:val="right"/>
              <w:rPr/>
            </w:pPr>
            <w:r>
              <w:rPr/>
              <w:t>759,343</w:t>
            </w:r>
          </w:p>
        </w:tc>
        <w:tc>
          <w:tcPr>
            <w:tcW w:w="185" w:type="dxa"/>
            <w:tcBorders>
              <w:bottom w:val="single" w:sz="2" w:space="0" w:color="AFAFAF"/>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56" w:type="dxa"/>
            <w:tcBorders>
              <w:bottom w:val="single" w:sz="2" w:space="0" w:color="AFAFAF"/>
            </w:tcBorders>
            <w:shd w:fill="auto" w:val="clear"/>
            <w:tcMar>
              <w:bottom w:w="28" w:type="dxa"/>
            </w:tcMar>
            <w:vAlign w:val="bottom"/>
          </w:tcPr>
          <w:p>
            <w:pPr>
              <w:pStyle w:val="TableContents"/>
              <w:spacing w:before="0" w:after="283"/>
              <w:rPr/>
            </w:pPr>
            <w:r>
              <w:rPr/>
              <w:t> </w:t>
            </w:r>
          </w:p>
        </w:tc>
        <w:tc>
          <w:tcPr>
            <w:tcW w:w="1628" w:type="dxa"/>
            <w:tcBorders>
              <w:bottom w:val="single" w:sz="2" w:space="0" w:color="AFAFAF"/>
            </w:tcBorders>
            <w:shd w:fill="auto" w:val="clear"/>
            <w:tcMar>
              <w:bottom w:w="28" w:type="dxa"/>
            </w:tcMar>
            <w:vAlign w:val="bottom"/>
          </w:tcPr>
          <w:p>
            <w:pPr>
              <w:pStyle w:val="TableContents"/>
              <w:spacing w:before="0" w:after="283"/>
              <w:jc w:val="right"/>
              <w:rPr/>
            </w:pPr>
            <w:r>
              <w:rPr/>
              <w:t>125</w:t>
            </w:r>
          </w:p>
        </w:tc>
        <w:tc>
          <w:tcPr>
            <w:tcW w:w="23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136" w:type="dxa"/>
            <w:tcBorders>
              <w:bottom w:val="single" w:sz="2" w:space="0" w:color="AFAFAF"/>
            </w:tcBorders>
            <w:shd w:fill="BFBFBF" w:val="clear"/>
            <w:tcMar>
              <w:bottom w:w="28" w:type="dxa"/>
            </w:tcMar>
            <w:vAlign w:val="bottom"/>
          </w:tcPr>
          <w:p>
            <w:pPr>
              <w:pStyle w:val="TableContents"/>
              <w:spacing w:before="0" w:after="283"/>
              <w:rPr/>
            </w:pPr>
            <w:r>
              <w:rPr/>
              <w:t>  </w:t>
            </w:r>
          </w:p>
        </w:tc>
        <w:tc>
          <w:tcPr>
            <w:tcW w:w="121" w:type="dxa"/>
            <w:tcBorders>
              <w:bottom w:val="single" w:sz="2" w:space="0" w:color="AFAFAF"/>
            </w:tcBorders>
            <w:shd w:fill="BFBFBF" w:val="clear"/>
            <w:tcMar>
              <w:bottom w:w="28" w:type="dxa"/>
            </w:tcMar>
            <w:vAlign w:val="bottom"/>
          </w:tcPr>
          <w:p>
            <w:pPr>
              <w:pStyle w:val="TableContents"/>
              <w:spacing w:before="0" w:after="283"/>
              <w:rPr/>
            </w:pPr>
            <w:r>
              <w:rPr/>
              <w:t> </w:t>
            </w:r>
          </w:p>
        </w:tc>
        <w:tc>
          <w:tcPr>
            <w:tcW w:w="530" w:type="dxa"/>
            <w:tcBorders>
              <w:bottom w:val="single" w:sz="2" w:space="0" w:color="AFAFAF"/>
            </w:tcBorders>
            <w:shd w:fill="BFBFBF" w:val="clear"/>
            <w:tcMar>
              <w:bottom w:w="28" w:type="dxa"/>
            </w:tcMar>
            <w:vAlign w:val="bottom"/>
          </w:tcPr>
          <w:p>
            <w:pPr>
              <w:pStyle w:val="TableContents"/>
              <w:spacing w:before="0" w:after="283"/>
              <w:jc w:val="right"/>
              <w:rPr/>
            </w:pPr>
            <w:r>
              <w:rPr/>
              <w:t></w:t>
            </w:r>
          </w:p>
        </w:tc>
        <w:tc>
          <w:tcPr>
            <w:tcW w:w="230" w:type="dxa"/>
            <w:tcBorders>
              <w:bottom w:val="single" w:sz="2" w:space="0" w:color="AFAFAF"/>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2" w:space="0" w:color="AFAFAF"/>
            </w:tcBorders>
            <w:shd w:fill="BFBFBF" w:val="clear"/>
            <w:tcMar>
              <w:left w:w="28" w:type="dxa"/>
              <w:bottom w:w="28" w:type="dxa"/>
            </w:tcMar>
            <w:vAlign w:val="bottom"/>
          </w:tcPr>
          <w:p>
            <w:pPr>
              <w:pStyle w:val="TableContents"/>
              <w:spacing w:before="0" w:after="283"/>
              <w:rPr/>
            </w:pPr>
            <w:r>
              <w:rPr/>
              <w:t>  </w:t>
            </w:r>
          </w:p>
        </w:tc>
        <w:tc>
          <w:tcPr>
            <w:tcW w:w="178" w:type="dxa"/>
            <w:tcBorders>
              <w:bottom w:val="single" w:sz="2" w:space="0" w:color="AFAFAF"/>
            </w:tcBorders>
            <w:shd w:fill="BFBFBF" w:val="clear"/>
            <w:tcMar>
              <w:bottom w:w="28" w:type="dxa"/>
            </w:tcMar>
            <w:vAlign w:val="bottom"/>
          </w:tcPr>
          <w:p>
            <w:pPr>
              <w:pStyle w:val="TableContents"/>
              <w:spacing w:before="0" w:after="283"/>
              <w:rPr/>
            </w:pPr>
            <w:r>
              <w:rPr/>
              <w:t> </w:t>
            </w:r>
          </w:p>
        </w:tc>
        <w:tc>
          <w:tcPr>
            <w:tcW w:w="772" w:type="dxa"/>
            <w:tcBorders>
              <w:bottom w:val="single" w:sz="2" w:space="0" w:color="AFAFAF"/>
            </w:tcBorders>
            <w:shd w:fill="BFBFBF" w:val="clear"/>
            <w:tcMar>
              <w:bottom w:w="28" w:type="dxa"/>
            </w:tcMar>
            <w:vAlign w:val="bottom"/>
          </w:tcPr>
          <w:p>
            <w:pPr>
              <w:pStyle w:val="TableContents"/>
              <w:spacing w:before="0" w:after="283"/>
              <w:jc w:val="right"/>
              <w:rPr/>
            </w:pPr>
            <w:r>
              <w:rPr/>
              <w:t>28</w:t>
            </w:r>
          </w:p>
        </w:tc>
        <w:tc>
          <w:tcPr>
            <w:tcW w:w="239" w:type="dxa"/>
            <w:tcBorders>
              <w:bottom w:val="single" w:sz="2" w:space="0" w:color="AFAFAF"/>
            </w:tcBorders>
            <w:shd w:fill="BFBFBF" w:val="clear"/>
            <w:tcMar>
              <w:bottom w:w="28" w:type="dxa"/>
            </w:tcMar>
            <w:vAlign w:val="bottom"/>
          </w:tcPr>
          <w:p>
            <w:pPr>
              <w:pStyle w:val="TableContents"/>
              <w:spacing w:before="0" w:after="283"/>
              <w:rPr/>
            </w:pPr>
            <w:r>
              <w:rPr/>
              <w:t>%</w:t>
            </w:r>
          </w:p>
        </w:tc>
      </w:tr>
      <w:tr>
        <w:trPr/>
        <w:tc>
          <w:tcPr>
            <w:tcW w:w="104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Long-term incentive awards</w:t>
            </w:r>
          </w:p>
        </w:tc>
        <w:tc>
          <w:tcPr>
            <w:tcW w:w="136"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1,782,000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7" w:type="dxa"/>
            <w:tcBorders>
              <w:bottom w:val="single" w:sz="8" w:space="0" w:color="B94831"/>
            </w:tcBorders>
            <w:shd w:fill="auto" w:val="clear"/>
            <w:tcMar>
              <w:bottom w:w="28" w:type="dxa"/>
            </w:tcMar>
            <w:vAlign w:val="bottom"/>
          </w:tcPr>
          <w:p>
            <w:pPr>
              <w:pStyle w:val="TableContents"/>
              <w:spacing w:before="0" w:after="283"/>
              <w:jc w:val="right"/>
              <w:rPr/>
            </w:pPr>
            <w:r>
              <w:rPr/>
              <w:t>1,366,818</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8" w:type="dxa"/>
            <w:tcBorders>
              <w:bottom w:val="single" w:sz="8" w:space="0" w:color="B94831"/>
            </w:tcBorders>
            <w:shd w:fill="auto" w:val="clear"/>
            <w:tcMar>
              <w:bottom w:w="28" w:type="dxa"/>
            </w:tcMar>
            <w:vAlign w:val="bottom"/>
          </w:tcPr>
          <w:p>
            <w:pPr>
              <w:pStyle w:val="TableContents"/>
              <w:spacing w:before="0" w:after="283"/>
              <w:jc w:val="right"/>
              <w:rPr/>
            </w:pPr>
            <w:r>
              <w:rPr/>
              <w:t>225</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136"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50</w:t>
            </w:r>
          </w:p>
        </w:tc>
        <w:tc>
          <w:tcPr>
            <w:tcW w:w="239" w:type="dxa"/>
            <w:tcBorders>
              <w:bottom w:val="single" w:sz="8" w:space="0" w:color="B94831"/>
            </w:tcBorders>
            <w:shd w:fill="BFBFBF" w:val="clear"/>
            <w:tcMar>
              <w:bottom w:w="28" w:type="dxa"/>
            </w:tcMar>
            <w:vAlign w:val="bottom"/>
          </w:tcPr>
          <w:p>
            <w:pPr>
              <w:pStyle w:val="TableContents"/>
              <w:spacing w:before="0" w:after="283"/>
              <w:rPr/>
            </w:pPr>
            <w:r>
              <w:rPr/>
              <w:t>%</w:t>
            </w:r>
          </w:p>
        </w:tc>
      </w:tr>
      <w:tr>
        <w:trPr/>
        <w:tc>
          <w:tcPr>
            <w:tcW w:w="104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136"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983" w:type="dxa"/>
            <w:tcBorders>
              <w:bottom w:val="single" w:sz="8" w:space="0" w:color="B94831"/>
            </w:tcBorders>
            <w:shd w:fill="auto" w:val="clear"/>
            <w:tcMar>
              <w:bottom w:w="28" w:type="dxa"/>
            </w:tcMar>
            <w:vAlign w:val="bottom"/>
          </w:tcPr>
          <w:p>
            <w:pPr>
              <w:pStyle w:val="TableContents"/>
              <w:spacing w:before="0" w:after="283"/>
              <w:jc w:val="right"/>
              <w:rPr/>
            </w:pPr>
            <w:r>
              <w:rPr/>
              <w:t>3,564,000</w:t>
            </w:r>
          </w:p>
        </w:tc>
        <w:tc>
          <w:tcPr>
            <w:tcW w:w="72"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4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0" w:type="dxa"/>
            <w:tcBorders>
              <w:bottom w:val="single" w:sz="8" w:space="0" w:color="B94831"/>
            </w:tcBorders>
            <w:shd w:fill="auto" w:val="clear"/>
            <w:tcMar>
              <w:bottom w:w="28" w:type="dxa"/>
            </w:tcMar>
            <w:vAlign w:val="bottom"/>
          </w:tcPr>
          <w:p>
            <w:pPr>
              <w:pStyle w:val="TableContents"/>
              <w:spacing w:before="0" w:after="283"/>
              <w:rPr/>
            </w:pPr>
            <w:r>
              <w:rPr/>
              <w:t> </w:t>
            </w:r>
          </w:p>
        </w:tc>
        <w:tc>
          <w:tcPr>
            <w:tcW w:w="2787" w:type="dxa"/>
            <w:tcBorders>
              <w:bottom w:val="single" w:sz="8" w:space="0" w:color="B94831"/>
            </w:tcBorders>
            <w:shd w:fill="auto" w:val="clear"/>
            <w:tcMar>
              <w:bottom w:w="28" w:type="dxa"/>
            </w:tcMar>
            <w:vAlign w:val="bottom"/>
          </w:tcPr>
          <w:p>
            <w:pPr>
              <w:pStyle w:val="TableContents"/>
              <w:spacing w:before="0" w:after="283"/>
              <w:jc w:val="right"/>
              <w:rPr/>
            </w:pPr>
            <w:r>
              <w:rPr/>
              <w:t>2,733,636</w:t>
            </w:r>
          </w:p>
        </w:tc>
        <w:tc>
          <w:tcPr>
            <w:tcW w:w="185" w:type="dxa"/>
            <w:tcBorders>
              <w:bottom w:val="single" w:sz="8" w:space="0" w:color="B94831"/>
            </w:tcBorders>
            <w:shd w:fill="auto" w:val="clear"/>
            <w:tcMar>
              <w:bottom w:w="28" w:type="dxa"/>
            </w:tcMar>
            <w:vAlign w:val="bottom"/>
          </w:tcPr>
          <w:p>
            <w:pPr>
              <w:pStyle w:val="TableContents"/>
              <w:spacing w:before="0" w:after="283"/>
              <w:rPr/>
            </w:pPr>
            <w:r>
              <w:rPr/>
              <w:t> </w:t>
            </w:r>
          </w:p>
        </w:tc>
        <w:tc>
          <w:tcPr>
            <w:tcW w:w="17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56" w:type="dxa"/>
            <w:tcBorders>
              <w:bottom w:val="single" w:sz="8" w:space="0" w:color="B94831"/>
            </w:tcBorders>
            <w:shd w:fill="auto" w:val="clear"/>
            <w:tcMar>
              <w:bottom w:w="28" w:type="dxa"/>
            </w:tcMar>
            <w:vAlign w:val="bottom"/>
          </w:tcPr>
          <w:p>
            <w:pPr>
              <w:pStyle w:val="TableContents"/>
              <w:spacing w:before="0" w:after="283"/>
              <w:rPr/>
            </w:pPr>
            <w:r>
              <w:rPr/>
              <w:t> </w:t>
            </w:r>
          </w:p>
        </w:tc>
        <w:tc>
          <w:tcPr>
            <w:tcW w:w="1628"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3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 </w:t>
            </w:r>
          </w:p>
        </w:tc>
        <w:tc>
          <w:tcPr>
            <w:tcW w:w="136" w:type="dxa"/>
            <w:tcBorders>
              <w:bottom w:val="single" w:sz="8" w:space="0" w:color="B94831"/>
            </w:tcBorders>
            <w:shd w:fill="BFBFBF" w:val="clear"/>
            <w:tcMar>
              <w:bottom w:w="28" w:type="dxa"/>
            </w:tcMar>
            <w:vAlign w:val="bottom"/>
          </w:tcPr>
          <w:p>
            <w:pPr>
              <w:pStyle w:val="TableContents"/>
              <w:spacing w:before="0" w:after="283"/>
              <w:rPr/>
            </w:pPr>
            <w:r>
              <w:rPr/>
              <w:t>  </w:t>
            </w:r>
          </w:p>
        </w:tc>
        <w:tc>
          <w:tcPr>
            <w:tcW w:w="121" w:type="dxa"/>
            <w:tcBorders>
              <w:bottom w:val="single" w:sz="8" w:space="0" w:color="B94831"/>
            </w:tcBorders>
            <w:shd w:fill="BFBFBF" w:val="clear"/>
            <w:tcMar>
              <w:bottom w:w="28" w:type="dxa"/>
            </w:tcMar>
            <w:vAlign w:val="bottom"/>
          </w:tcPr>
          <w:p>
            <w:pPr>
              <w:pStyle w:val="TableContents"/>
              <w:spacing w:before="0" w:after="283"/>
              <w:rPr/>
            </w:pPr>
            <w:r>
              <w:rPr/>
              <w:t> </w:t>
            </w:r>
          </w:p>
        </w:tc>
        <w:tc>
          <w:tcPr>
            <w:tcW w:w="530" w:type="dxa"/>
            <w:tcBorders>
              <w:bottom w:val="single" w:sz="8" w:space="0" w:color="B94831"/>
            </w:tcBorders>
            <w:shd w:fill="BFBFBF" w:val="clear"/>
            <w:tcMar>
              <w:bottom w:w="28" w:type="dxa"/>
            </w:tcMar>
            <w:vAlign w:val="bottom"/>
          </w:tcPr>
          <w:p>
            <w:pPr>
              <w:pStyle w:val="TableContents"/>
              <w:spacing w:before="0" w:after="283"/>
              <w:jc w:val="right"/>
              <w:rPr/>
            </w:pPr>
            <w:r>
              <w:rPr/>
              <w:t>22</w:t>
            </w:r>
          </w:p>
        </w:tc>
        <w:tc>
          <w:tcPr>
            <w:tcW w:w="230" w:type="dxa"/>
            <w:tcBorders>
              <w:bottom w:val="single" w:sz="8" w:space="0" w:color="B94831"/>
            </w:tcBorders>
            <w:shd w:fill="BFBFBF" w:val="clear"/>
            <w:tcMar>
              <w:bottom w:w="28" w:type="dxa"/>
            </w:tcMar>
            <w:vAlign w:val="bottom"/>
          </w:tcPr>
          <w:p>
            <w:pPr>
              <w:pStyle w:val="TableContents"/>
              <w:spacing w:before="0" w:after="283"/>
              <w:rPr/>
            </w:pPr>
            <w:r>
              <w:rPr/>
              <w:t>%</w:t>
            </w:r>
          </w:p>
        </w:tc>
        <w:tc>
          <w:tcPr>
            <w:tcW w:w="131" w:type="dxa"/>
            <w:tcBorders>
              <w:left w:val="single" w:sz="2" w:space="0" w:color="AFAFA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78" w:type="dxa"/>
            <w:tcBorders>
              <w:bottom w:val="single" w:sz="8" w:space="0" w:color="B94831"/>
            </w:tcBorders>
            <w:shd w:fill="BFBFBF" w:val="clear"/>
            <w:tcMar>
              <w:bottom w:w="28" w:type="dxa"/>
            </w:tcMar>
            <w:vAlign w:val="bottom"/>
          </w:tcPr>
          <w:p>
            <w:pPr>
              <w:pStyle w:val="TableContents"/>
              <w:spacing w:before="0" w:after="283"/>
              <w:rPr/>
            </w:pPr>
            <w:r>
              <w:rPr/>
              <w:t> </w:t>
            </w:r>
          </w:p>
        </w:tc>
        <w:tc>
          <w:tcPr>
            <w:tcW w:w="772" w:type="dxa"/>
            <w:tcBorders>
              <w:bottom w:val="single" w:sz="8" w:space="0" w:color="B94831"/>
            </w:tcBorders>
            <w:shd w:fill="BFBFBF" w:val="clear"/>
            <w:tcMar>
              <w:bottom w:w="28" w:type="dxa"/>
            </w:tcMar>
            <w:vAlign w:val="bottom"/>
          </w:tcPr>
          <w:p>
            <w:pPr>
              <w:pStyle w:val="TableContents"/>
              <w:spacing w:before="0" w:after="283"/>
              <w:jc w:val="right"/>
              <w:rPr/>
            </w:pPr>
            <w:r>
              <w:rPr/>
              <w:t>78</w:t>
            </w:r>
          </w:p>
        </w:tc>
        <w:tc>
          <w:tcPr>
            <w:tcW w:w="239" w:type="dxa"/>
            <w:tcBorders>
              <w:bottom w:val="single" w:sz="8" w:space="0" w:color="B94831"/>
            </w:tcBorders>
            <w:shd w:fill="BFBFBF" w:val="clear"/>
            <w:tcMar>
              <w:bottom w:w="28" w:type="dxa"/>
            </w:tcMar>
            <w:vAlign w:val="bottom"/>
          </w:tcPr>
          <w:p>
            <w:pPr>
              <w:pStyle w:val="TableContents"/>
              <w:spacing w:before="0" w:after="283"/>
              <w:rPr/>
            </w:pPr>
            <w:r>
              <w:rPr/>
              <w:t>%</w:t>
            </w:r>
          </w:p>
        </w:tc>
      </w:tr>
    </w:tbl>
    <w:p>
      <w:pPr>
        <w:pStyle w:val="TextBody"/>
        <w:spacing w:before="120" w:after="0"/>
        <w:jc w:val="left"/>
        <w:rPr>
          <w:rFonts w:ascii="arial" w:hAnsi="arial"/>
          <w:sz w:val="20"/>
        </w:rPr>
      </w:pPr>
      <w:r>
        <w:rPr>
          <w:rFonts w:ascii="Arial" w:hAnsi="Arial"/>
          <w:b/>
          <w:sz w:val="20"/>
        </w:rPr>
        <w:t>Base salary:</w:t>
      </w:r>
      <w:r>
        <w:rPr>
          <w:rFonts w:ascii="arial" w:hAnsi="arial"/>
          <w:sz w:val="20"/>
        </w:rPr>
        <w:t xml:space="preserve"> Davids base salary was unchanged in 2022. </w:t>
      </w:r>
    </w:p>
    <w:p>
      <w:pPr>
        <w:pStyle w:val="TextBody"/>
        <w:spacing w:before="120" w:after="0"/>
        <w:jc w:val="left"/>
        <w:rPr>
          <w:rFonts w:ascii="arial" w:hAnsi="arial"/>
          <w:sz w:val="20"/>
        </w:rPr>
      </w:pPr>
      <w:r>
        <w:rPr>
          <w:rFonts w:ascii="Arial" w:hAnsi="Arial"/>
          <w:b/>
          <w:sz w:val="20"/>
        </w:rPr>
        <w:t xml:space="preserve">Annual incentive award: </w:t>
      </w:r>
      <w:r>
        <w:rPr>
          <w:rFonts w:ascii="arial" w:hAnsi="arial"/>
          <w:sz w:val="20"/>
        </w:rPr>
        <w:t xml:space="preserve">David s 2022 annual incentive award had a payout of 120% of target based on financial and individual performance. </w:t>
      </w:r>
    </w:p>
    <w:p>
      <w:pPr>
        <w:pStyle w:val="TextBody"/>
        <w:spacing w:before="120" w:after="0"/>
        <w:jc w:val="left"/>
        <w:rPr>
          <w:rFonts w:ascii="arial" w:hAnsi="arial"/>
          <w:sz w:val="20"/>
        </w:rPr>
      </w:pPr>
      <w:r>
        <w:rPr>
          <w:rFonts w:ascii="Arial" w:hAnsi="Arial"/>
          <w:b/>
          <w:sz w:val="20"/>
        </w:rPr>
        <w:t>Long-term incentive awards:</w:t>
      </w:r>
      <w:r>
        <w:rPr>
          <w:rFonts w:ascii="arial" w:hAnsi="arial"/>
          <w:sz w:val="20"/>
        </w:rPr>
        <w:t xml:space="preserve"> Davids 2022 award grant (based on 2021 performance) was split between 50% PRSUs, 25% TRSUs and 25% stock options.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90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57" w:name="tx494196_cd16"/>
      <w:bookmarkEnd w:id="57"/>
      <w:r>
        <w:rPr>
          <w:rFonts w:ascii="Arial" w:hAnsi="Arial"/>
          <w:b/>
          <w:sz w:val="28"/>
        </w:rPr>
        <w:t xml:space="preserve">Additional Information </w:t>
      </w:r>
    </w:p>
    <w:p>
      <w:pPr>
        <w:pStyle w:val="TextBody"/>
        <w:spacing w:before="120" w:after="0"/>
        <w:jc w:val="left"/>
        <w:rPr>
          <w:rFonts w:ascii="arial" w:hAnsi="arial"/>
          <w:color w:val="B94831"/>
          <w:sz w:val="28"/>
        </w:rPr>
      </w:pPr>
      <w:bookmarkStart w:id="58" w:name="tx494196_cd17"/>
      <w:bookmarkEnd w:id="58"/>
      <w:r>
        <w:rPr>
          <w:rFonts w:ascii="arial" w:hAnsi="arial"/>
          <w:color w:val="B94831"/>
          <w:sz w:val="28"/>
        </w:rPr>
        <w:t xml:space="preserve">Retirement and Other Benefits </w:t>
      </w:r>
    </w:p>
    <w:p>
      <w:pPr>
        <w:pStyle w:val="TextBody"/>
        <w:spacing w:before="40" w:after="0"/>
        <w:jc w:val="left"/>
        <w:rPr>
          <w:rFonts w:ascii="arial" w:hAnsi="arial"/>
          <w:sz w:val="20"/>
        </w:rPr>
      </w:pPr>
      <w:r>
        <w:rPr>
          <w:rFonts w:ascii="arial" w:hAnsi="arial"/>
          <w:sz w:val="20"/>
        </w:rPr>
        <w:t xml:space="preserve">Our retirement and other benefits are designed to provide a competitive level of post-retirement income and strong incentive for executives to remain with Thomson Reuters throughout their careers. For more information about retirement and other pension benefits provided to each named executive officer, please see the Pension and Other Retirement Benefits subsection of the Executive Compensation section of this circular. </w:t>
      </w:r>
    </w:p>
    <w:p>
      <w:pPr>
        <w:pStyle w:val="TextBody"/>
        <w:spacing w:before="120" w:after="0"/>
        <w:jc w:val="left"/>
        <w:rPr>
          <w:rFonts w:ascii="arial" w:hAnsi="arial"/>
          <w:color w:val="B94831"/>
          <w:sz w:val="28"/>
        </w:rPr>
      </w:pPr>
      <w:bookmarkStart w:id="59" w:name="tx494196_cd18"/>
      <w:bookmarkEnd w:id="59"/>
      <w:r>
        <w:rPr>
          <w:rFonts w:ascii="arial" w:hAnsi="arial"/>
          <w:color w:val="B94831"/>
          <w:sz w:val="28"/>
        </w:rPr>
        <w:t xml:space="preserve">Perquisites and Other Personal Benefits </w:t>
      </w:r>
    </w:p>
    <w:p>
      <w:pPr>
        <w:pStyle w:val="TextBody"/>
        <w:spacing w:before="40" w:after="0"/>
        <w:jc w:val="left"/>
        <w:rPr>
          <w:rFonts w:ascii="arial" w:hAnsi="arial"/>
          <w:sz w:val="20"/>
        </w:rPr>
      </w:pPr>
      <w:r>
        <w:rPr>
          <w:rFonts w:ascii="arial" w:hAnsi="arial"/>
          <w:sz w:val="20"/>
        </w:rPr>
        <w:t xml:space="preserve">The HR Committee periodically reviews the perquisites and other personal benefits provided to our executive officers. Over the past few years, we have reduced and eliminated various perquisites and other personal benefits provided to our named executive officers (and other members of senior management) in order to simplify our compensation program, better align with emerging trends and focus on performance-based variable incentives. Only those perquisites which the HR Committee believes provide a significant benefit to our company on a cost-effective basis have been retained. </w:t>
      </w:r>
    </w:p>
    <w:p>
      <w:pPr>
        <w:pStyle w:val="TextBody"/>
        <w:spacing w:before="120" w:after="0"/>
        <w:jc w:val="left"/>
        <w:rPr>
          <w:rFonts w:ascii="arial" w:hAnsi="arial"/>
          <w:sz w:val="20"/>
        </w:rPr>
      </w:pPr>
      <w:r>
        <w:rPr>
          <w:rFonts w:ascii="arial" w:hAnsi="arial"/>
          <w:sz w:val="20"/>
        </w:rPr>
        <w:t xml:space="preserve">For our named executive officers, perquisites provided in 2022 consisted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5"/>
        <w:gridCol w:w="108"/>
        <w:gridCol w:w="9655"/>
      </w:tblGrid>
      <w:tr>
        <w:trPr/>
        <w:tc>
          <w:tcPr>
            <w:tcW w:w="207"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5" w:type="dxa"/>
            <w:tcBorders/>
            <w:shd w:fill="auto" w:val="clear"/>
          </w:tcPr>
          <w:p>
            <w:pPr>
              <w:pStyle w:val="TableContents"/>
              <w:spacing w:before="0" w:after="0"/>
              <w:jc w:val="left"/>
              <w:rPr>
                <w:rFonts w:ascii="arial" w:hAnsi="arial"/>
                <w:sz w:val="20"/>
              </w:rPr>
            </w:pPr>
            <w:r>
              <w:rPr>
                <w:rFonts w:ascii="Arial" w:hAnsi="Arial"/>
                <w:b/>
                <w:sz w:val="20"/>
              </w:rPr>
              <w:t>Executive physicals</w:t>
            </w:r>
            <w:r>
              <w:rPr>
                <w:rFonts w:ascii="arial" w:hAnsi="arial"/>
                <w:sz w:val="20"/>
              </w:rPr>
              <w:t xml:space="preserve">  this benefit can be provided by our company on a coordinated basis at a reasonable price to our organization and reduces the risk that we will lose an executive to an unforeseen medical or health issue, while minimizing the amount of time an executive needs to spend away from the office.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3"/>
        <w:gridCol w:w="108"/>
        <w:gridCol w:w="9657"/>
      </w:tblGrid>
      <w:tr>
        <w:trPr/>
        <w:tc>
          <w:tcPr>
            <w:tcW w:w="207" w:type="dxa"/>
            <w:tcBorders/>
            <w:shd w:fill="auto" w:val="clear"/>
            <w:vAlign w:val="center"/>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7" w:type="dxa"/>
            <w:tcBorders/>
            <w:shd w:fill="auto" w:val="clear"/>
          </w:tcPr>
          <w:p>
            <w:pPr>
              <w:pStyle w:val="TableContents"/>
              <w:spacing w:before="0" w:after="0"/>
              <w:jc w:val="left"/>
              <w:rPr>
                <w:rFonts w:ascii="arial" w:hAnsi="arial"/>
                <w:sz w:val="20"/>
              </w:rPr>
            </w:pPr>
            <w:r>
              <w:rPr>
                <w:rFonts w:ascii="Arial" w:hAnsi="Arial"/>
                <w:b/>
                <w:sz w:val="20"/>
              </w:rPr>
              <w:t xml:space="preserve">Use of company automobiles or car allowances </w:t>
            </w:r>
            <w:r>
              <w:rPr>
                <w:rFonts w:ascii="arial" w:hAnsi="arial"/>
                <w:sz w:val="20"/>
              </w:rPr>
              <w:t xml:space="preserve"> Steve Hasker is entitled to use a car and driver, which allows him to devote additional time to Thomson Reuters business. Kirsty Roth receives an annual company car allowance as part of our standard program in Switzerland.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40"/>
        <w:gridCol w:w="109"/>
        <w:gridCol w:w="9649"/>
      </w:tblGrid>
      <w:tr>
        <w:trPr/>
        <w:tc>
          <w:tcPr>
            <w:tcW w:w="207"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49" w:type="dxa"/>
            <w:tcBorders/>
            <w:shd w:fill="auto" w:val="clear"/>
          </w:tcPr>
          <w:p>
            <w:pPr>
              <w:pStyle w:val="TableContents"/>
              <w:spacing w:before="0" w:after="0"/>
              <w:jc w:val="left"/>
              <w:rPr>
                <w:rFonts w:ascii="arial" w:hAnsi="arial"/>
                <w:sz w:val="20"/>
              </w:rPr>
            </w:pPr>
            <w:r>
              <w:rPr>
                <w:rFonts w:ascii="Arial" w:hAnsi="Arial"/>
                <w:b/>
                <w:sz w:val="20"/>
              </w:rPr>
              <w:t>Tax and financial planning assistance</w:t>
            </w:r>
            <w:r>
              <w:rPr>
                <w:rFonts w:ascii="arial" w:hAnsi="arial"/>
                <w:sz w:val="20"/>
              </w:rPr>
              <w:t xml:space="preserve">  this benefit allows our named executive officers to utilize the services of a professional advisor who is familiar with our compensation structure and benefit programs. Thomson Reuters benefits from being able to work with one advisor. </w:t>
            </w:r>
          </w:p>
        </w:tc>
      </w:tr>
    </w:tbl>
    <w:p>
      <w:pPr>
        <w:pStyle w:val="TextBody"/>
        <w:spacing w:before="120" w:after="0"/>
        <w:jc w:val="left"/>
        <w:rPr>
          <w:rFonts w:ascii="arial" w:hAnsi="arial"/>
          <w:sz w:val="20"/>
        </w:rPr>
      </w:pPr>
      <w:r>
        <w:rPr>
          <w:rFonts w:ascii="arial" w:hAnsi="arial"/>
          <w:sz w:val="20"/>
        </w:rPr>
        <w:t xml:space="preserve">We offer a package of expatriate benefits to all employees on a company-initiated long-term assignment to a foreign location. These benefits are typically provided in our industry when companies ask their executives to work outside of their home country. Standard benefits for our executives include a housing allowance (if home sale assistance is not provided), a cost of living allowance for relocations between certain countries, health and welfare benefits, shipping and storage costs, tax equalization, tax preparation services and an annual home leave. None of our named executive officers are expatriates. </w:t>
      </w:r>
    </w:p>
    <w:p>
      <w:pPr>
        <w:pStyle w:val="TextBody"/>
        <w:spacing w:before="120" w:after="0"/>
        <w:jc w:val="left"/>
        <w:rPr>
          <w:rFonts w:ascii="arial" w:hAnsi="arial"/>
          <w:color w:val="B94831"/>
          <w:sz w:val="28"/>
        </w:rPr>
      </w:pPr>
      <w:bookmarkStart w:id="60" w:name="tx494196_cd19"/>
      <w:bookmarkEnd w:id="60"/>
      <w:r>
        <w:rPr>
          <w:rFonts w:ascii="arial" w:hAnsi="arial"/>
          <w:color w:val="B94831"/>
          <w:sz w:val="28"/>
        </w:rPr>
        <w:t xml:space="preserve">Insurance Policies </w:t>
      </w:r>
    </w:p>
    <w:p>
      <w:pPr>
        <w:pStyle w:val="TextBody"/>
        <w:spacing w:before="40" w:after="0"/>
        <w:jc w:val="left"/>
        <w:rPr>
          <w:rFonts w:ascii="arial" w:hAnsi="arial"/>
          <w:sz w:val="20"/>
        </w:rPr>
      </w:pPr>
      <w:r>
        <w:rPr>
          <w:rFonts w:ascii="arial" w:hAnsi="arial"/>
          <w:sz w:val="20"/>
        </w:rPr>
        <w:t xml:space="preserve">Our company provides life insurance to certain employees. </w:t>
      </w:r>
    </w:p>
    <w:p>
      <w:pPr>
        <w:pStyle w:val="TextBody"/>
        <w:spacing w:before="120" w:after="0"/>
        <w:jc w:val="left"/>
        <w:rPr>
          <w:rFonts w:ascii="arial" w:hAnsi="arial"/>
          <w:sz w:val="20"/>
        </w:rPr>
      </w:pPr>
      <w:r>
        <w:rPr>
          <w:rFonts w:ascii="arial" w:hAnsi="arial"/>
          <w:sz w:val="20"/>
        </w:rPr>
        <w:t xml:space="preserve">Our Canadian employees are provided with life insurance coverage equal to 1.5 times their base salary up to C$1,000,000. Employees may increase this coverage at their expense. Steve Hasker, Mike Eastwood and David Wong are eligible for this benefit. </w:t>
      </w:r>
    </w:p>
    <w:p>
      <w:pPr>
        <w:pStyle w:val="TextBody"/>
        <w:spacing w:before="120" w:after="0"/>
        <w:jc w:val="left"/>
        <w:rPr>
          <w:rFonts w:ascii="arial" w:hAnsi="arial"/>
          <w:sz w:val="20"/>
        </w:rPr>
      </w:pPr>
      <w:r>
        <w:rPr>
          <w:rFonts w:ascii="arial" w:hAnsi="arial"/>
          <w:sz w:val="20"/>
        </w:rPr>
        <w:t xml:space="preserve">Our U.S. employees are provided with group life insurance in the amount of their annual salary up to a maximum of $400,000. Employees may increase this coverage at their expense. Brian Peccarelli was eligible for this benefit while employed at Thomson Reuters. </w:t>
      </w:r>
    </w:p>
    <w:p>
      <w:pPr>
        <w:pStyle w:val="TextBody"/>
        <w:spacing w:before="120" w:after="0"/>
        <w:jc w:val="left"/>
        <w:rPr>
          <w:rFonts w:ascii="arial" w:hAnsi="arial"/>
          <w:color w:val="B94831"/>
          <w:sz w:val="28"/>
        </w:rPr>
      </w:pPr>
      <w:bookmarkStart w:id="61" w:name="tx494196_cd20"/>
      <w:bookmarkEnd w:id="61"/>
      <w:r>
        <w:rPr>
          <w:rFonts w:ascii="arial" w:hAnsi="arial"/>
          <w:color w:val="B94831"/>
          <w:sz w:val="28"/>
        </w:rPr>
        <w:t xml:space="preserve">Termination Benefits </w:t>
      </w:r>
    </w:p>
    <w:p>
      <w:pPr>
        <w:pStyle w:val="TextBody"/>
        <w:spacing w:before="40" w:after="0"/>
        <w:jc w:val="left"/>
        <w:rPr>
          <w:rFonts w:ascii="arial" w:hAnsi="arial"/>
          <w:sz w:val="20"/>
        </w:rPr>
      </w:pPr>
      <w:r>
        <w:rPr>
          <w:rFonts w:ascii="arial" w:hAnsi="arial"/>
          <w:sz w:val="20"/>
        </w:rPr>
        <w:t xml:space="preserve">Each of our named executive officers may be eligible to receive certain payments and benefits if their employment is terminated under certain circumstances. Additional information is provided in the Termination Benefits subsection of this circular. The HR Committee believes that potential termination benefits enhance our ability to attract and retain our executive officers. These benefits do not enhance an executives income while employed at our company and are independent of direct compensation decisions made annually. </w:t>
      </w:r>
    </w:p>
    <w:p>
      <w:pPr>
        <w:pStyle w:val="TextBody"/>
        <w:spacing w:before="120" w:after="0"/>
        <w:jc w:val="left"/>
        <w:rPr>
          <w:rFonts w:ascii="arial" w:hAnsi="arial"/>
          <w:color w:val="B94831"/>
          <w:sz w:val="28"/>
        </w:rPr>
      </w:pPr>
      <w:bookmarkStart w:id="62" w:name="tx494196_cd21"/>
      <w:bookmarkEnd w:id="62"/>
      <w:r>
        <w:rPr>
          <w:rFonts w:ascii="arial" w:hAnsi="arial"/>
          <w:color w:val="B94831"/>
          <w:sz w:val="28"/>
        </w:rPr>
        <w:t xml:space="preserve">Equity Grant Policy </w:t>
      </w:r>
    </w:p>
    <w:p>
      <w:pPr>
        <w:pStyle w:val="TextBody"/>
        <w:spacing w:before="40" w:after="0"/>
        <w:jc w:val="left"/>
        <w:rPr>
          <w:rFonts w:ascii="arial" w:hAnsi="arial"/>
          <w:sz w:val="20"/>
        </w:rPr>
      </w:pPr>
      <w:r>
        <w:rPr>
          <w:rFonts w:ascii="arial" w:hAnsi="arial"/>
          <w:sz w:val="20"/>
        </w:rPr>
        <w:t xml:space="preserve">We have an equity grant policy which sets forth approval requirements for annual and off-cycle awards. The following describes our current policy. </w:t>
      </w:r>
    </w:p>
    <w:p>
      <w:pPr>
        <w:pStyle w:val="TextBody"/>
        <w:spacing w:before="120" w:after="0"/>
        <w:jc w:val="left"/>
        <w:rPr>
          <w:rFonts w:ascii="arial" w:hAnsi="arial"/>
          <w:sz w:val="20"/>
        </w:rPr>
      </w:pPr>
      <w:r>
        <w:rPr>
          <w:rFonts w:ascii="arial" w:hAnsi="arial"/>
          <w:sz w:val="20"/>
        </w:rPr>
        <w:t xml:space="preserve">Annual grants of long-term incentive awards are typically approved at the Boards meeting in March of each year. In certain years, grants have occurred later in the year.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Under the equity grant policy, the CEO is authorized to approve certain off-cycle awards, depending on the size of the grant and the identity of the particular grantee. Awards that exceed the CEOs approval authority are submitted to the HR Committee. In addition, under the policy, unless we are in a designated closed period or are in possession of material nonpublic information, off-cycle awards are granted on the 10th day of each month. </w:t>
      </w:r>
    </w:p>
    <w:p>
      <w:pPr>
        <w:pStyle w:val="TextBody"/>
        <w:spacing w:before="120" w:after="0"/>
        <w:jc w:val="left"/>
        <w:rPr>
          <w:rFonts w:ascii="arial" w:hAnsi="arial"/>
          <w:sz w:val="20"/>
        </w:rPr>
      </w:pPr>
      <w:r>
        <w:rPr>
          <w:rFonts w:ascii="arial" w:hAnsi="arial"/>
          <w:sz w:val="20"/>
        </w:rPr>
        <w:t xml:space="preserve">New hire awards are made on the 10th day of the month following the month in which the grantee commenced employment with Thomson Reuters. </w:t>
      </w:r>
    </w:p>
    <w:p>
      <w:pPr>
        <w:pStyle w:val="TextBody"/>
        <w:spacing w:before="120" w:after="0"/>
        <w:jc w:val="left"/>
        <w:rPr>
          <w:rFonts w:ascii="arial" w:hAnsi="arial"/>
          <w:sz w:val="20"/>
        </w:rPr>
      </w:pPr>
      <w:r>
        <w:rPr>
          <w:rFonts w:ascii="arial" w:hAnsi="arial"/>
          <w:sz w:val="20"/>
        </w:rPr>
        <w:t xml:space="preserve">If we are in a designated closed period or otherwise are in possession of material nonpublic information on the date that a grant would typically be made, then the grant is not made until the 10th day of the month following the month when the closed period ended, or when we are no longer in possession of material nonpublic information. </w:t>
      </w:r>
    </w:p>
    <w:p>
      <w:pPr>
        <w:pStyle w:val="TextBody"/>
        <w:spacing w:before="120" w:after="0"/>
        <w:jc w:val="left"/>
        <w:rPr>
          <w:rFonts w:ascii="arial" w:hAnsi="arial"/>
          <w:sz w:val="20"/>
        </w:rPr>
      </w:pPr>
      <w:r>
        <w:rPr>
          <w:rFonts w:ascii="arial" w:hAnsi="arial"/>
          <w:sz w:val="20"/>
        </w:rPr>
        <w:t xml:space="preserve">If the 10th day of the month is not a business day, then the applicable award is made on the next business day that follows the 10th. </w:t>
      </w:r>
    </w:p>
    <w:p>
      <w:pPr>
        <w:pStyle w:val="TextBody"/>
        <w:spacing w:before="120" w:after="0"/>
        <w:jc w:val="left"/>
        <w:rPr>
          <w:rFonts w:ascii="arial" w:hAnsi="arial"/>
          <w:sz w:val="20"/>
        </w:rPr>
      </w:pPr>
      <w:r>
        <w:rPr>
          <w:rFonts w:ascii="arial" w:hAnsi="arial"/>
          <w:sz w:val="20"/>
        </w:rPr>
        <w:t xml:space="preserve">We do not backdate or spring-load stock option grants. </w:t>
      </w:r>
    </w:p>
    <w:p>
      <w:pPr>
        <w:pStyle w:val="TextBody"/>
        <w:spacing w:before="120" w:after="0"/>
        <w:jc w:val="left"/>
        <w:rPr>
          <w:rFonts w:ascii="arial" w:hAnsi="arial"/>
          <w:color w:val="B94831"/>
          <w:sz w:val="28"/>
        </w:rPr>
      </w:pPr>
      <w:bookmarkStart w:id="63" w:name="tx494196_cd22"/>
      <w:bookmarkEnd w:id="63"/>
      <w:r>
        <w:rPr>
          <w:rFonts w:ascii="arial" w:hAnsi="arial"/>
          <w:color w:val="B94831"/>
          <w:sz w:val="28"/>
        </w:rPr>
        <w:t xml:space="preserve">Clawback Policy </w:t>
      </w:r>
    </w:p>
    <w:p>
      <w:pPr>
        <w:pStyle w:val="TextBody"/>
        <w:spacing w:before="40" w:after="0"/>
        <w:jc w:val="left"/>
        <w:rPr>
          <w:rFonts w:ascii="arial" w:hAnsi="arial"/>
          <w:sz w:val="20"/>
        </w:rPr>
      </w:pPr>
      <w:r>
        <w:rPr>
          <w:rFonts w:ascii="arial" w:hAnsi="arial"/>
          <w:sz w:val="20"/>
        </w:rPr>
        <w:t xml:space="preserve">Our clawback policy provides that the Board, at the recommendation of the HR Committee, has the right to seek reimbursement of part of the annual or long-term incentive compensation awarded to an executive officer if in the Boards view, the amount of the compensation was calculated based on the achievement or performance of financial results that were subject to a material restatement (other than a restatement due to, or to comply with, changes in applicable accounting principles or related to an acquisition or disposition). Reimbursement could be sought for any excess amount of compensation that relates to such a material restatement that occurred within 24 months of payment of the compensation, and the executive officer from whom reimbursement is sought would need to have engaged in fraud that caused the material restatement. Given the SECs adoption of final clawback rules in October 2022, our clawback policy is expected to be revised within the required timeframe to comply with final stock exchange listing standards. </w:t>
      </w:r>
    </w:p>
    <w:p>
      <w:pPr>
        <w:pStyle w:val="TextBody"/>
        <w:spacing w:before="120" w:after="0"/>
        <w:jc w:val="left"/>
        <w:rPr>
          <w:rFonts w:ascii="arial" w:hAnsi="arial"/>
          <w:color w:val="B94831"/>
          <w:sz w:val="28"/>
        </w:rPr>
      </w:pPr>
      <w:bookmarkStart w:id="64" w:name="tx494196_cd23"/>
      <w:bookmarkEnd w:id="64"/>
      <w:r>
        <w:rPr>
          <w:rFonts w:ascii="arial" w:hAnsi="arial"/>
          <w:color w:val="B94831"/>
          <w:sz w:val="28"/>
        </w:rPr>
        <w:t xml:space="preserve">Insider Trading Policy/Pledging and Hedging Restrictions </w:t>
      </w:r>
    </w:p>
    <w:p>
      <w:pPr>
        <w:pStyle w:val="TextBody"/>
        <w:spacing w:before="40" w:after="0"/>
        <w:jc w:val="left"/>
        <w:rPr>
          <w:rFonts w:ascii="arial" w:hAnsi="arial"/>
          <w:sz w:val="20"/>
        </w:rPr>
      </w:pPr>
      <w:r>
        <w:rPr>
          <w:rFonts w:ascii="arial" w:hAnsi="arial"/>
          <w:sz w:val="20"/>
        </w:rPr>
        <w:t xml:space="preserve">Our directors and executive officers are required to obtain pre-clearance prior to trading in Thomson Reuters securities. Directors and executive officers may only trade in securities of our company during designated open periods when they do not possess material nonpublic information. Our open periods begin on the business day after we release quarterly or annual earnings and end on the last business day of the quarter or year. Directors and executive officers report their transactions in our securities through the System for Electronic Disclosure by Insiders (SEDI) in Canada, which can be accessed at </w:t>
      </w:r>
      <w:r>
        <w:rPr>
          <w:rFonts w:ascii="Arial" w:hAnsi="Arial"/>
          <w:b/>
          <w:color w:val="335367"/>
          <w:sz w:val="20"/>
        </w:rPr>
        <w:t>www.sedi.ca</w:t>
      </w:r>
      <w:r>
        <w:rPr>
          <w:rFonts w:ascii="arial" w:hAnsi="arial"/>
          <w:sz w:val="20"/>
        </w:rPr>
        <w:t xml:space="preserve">. Our directors and executive officers are exempt from reporting their transactions with the SEC as our company is a foreign private issuer for SEC purposes. </w:t>
      </w:r>
    </w:p>
    <w:p>
      <w:pPr>
        <w:pStyle w:val="TextBody"/>
        <w:spacing w:before="120" w:after="0"/>
        <w:jc w:val="left"/>
        <w:rPr>
          <w:rFonts w:ascii="arial" w:hAnsi="arial"/>
          <w:sz w:val="20"/>
        </w:rPr>
      </w:pPr>
      <w:r>
        <w:rPr>
          <w:rFonts w:ascii="arial" w:hAnsi="arial"/>
          <w:sz w:val="20"/>
        </w:rPr>
        <w:t xml:space="preserve">Our directors and executive officers are prohibited from pledging Thomson Reuters securities or holding them in margin accounts. </w:t>
      </w:r>
    </w:p>
    <w:p>
      <w:pPr>
        <w:pStyle w:val="TextBody"/>
        <w:spacing w:before="120" w:after="0"/>
        <w:jc w:val="left"/>
        <w:rPr>
          <w:rFonts w:ascii="arial" w:hAnsi="arial"/>
          <w:sz w:val="20"/>
        </w:rPr>
      </w:pPr>
      <w:r>
        <w:rPr>
          <w:rFonts w:ascii="arial" w:hAnsi="arial"/>
          <w:sz w:val="20"/>
        </w:rPr>
        <w:t xml:space="preserve">Our directors, officers and employees are restricted from purchasing financial instruments or otherwise engaging in transactions that are designed to, or have the effect of, hedging or offsetting any decrease in the market value of Thomson Reuters securities. Prohibited transactions of this type include, but not are limited to, trading in puts and calls in Thomson Reuters securities, short sales of Thomson Reuters securities and other types of hedging transactions, such as prepaid variable forward sale contracts, equity swaps and collars. </w:t>
      </w:r>
    </w:p>
    <w:p>
      <w:pPr>
        <w:pStyle w:val="TextBody"/>
        <w:spacing w:before="120" w:after="0"/>
        <w:jc w:val="left"/>
        <w:rPr>
          <w:rFonts w:ascii="arial" w:hAnsi="arial"/>
          <w:color w:val="B94831"/>
          <w:sz w:val="28"/>
        </w:rPr>
      </w:pPr>
      <w:bookmarkStart w:id="65" w:name="tx494196_cd24"/>
      <w:bookmarkStart w:id="66" w:name="tx494196_44"/>
      <w:bookmarkEnd w:id="65"/>
      <w:bookmarkEnd w:id="66"/>
      <w:r>
        <w:rPr>
          <w:rFonts w:ascii="arial" w:hAnsi="arial"/>
          <w:color w:val="B94831"/>
          <w:sz w:val="28"/>
        </w:rPr>
        <w:t xml:space="preserve">Performance Graphs </w:t>
      </w:r>
    </w:p>
    <w:p>
      <w:pPr>
        <w:pStyle w:val="TextBody"/>
        <w:spacing w:before="40" w:after="0"/>
        <w:jc w:val="left"/>
        <w:rPr>
          <w:rFonts w:ascii="arial" w:hAnsi="arial"/>
          <w:sz w:val="20"/>
        </w:rPr>
      </w:pPr>
      <w:r>
        <w:rPr>
          <w:rFonts w:ascii="arial" w:hAnsi="arial"/>
          <w:sz w:val="20"/>
        </w:rPr>
        <w:t xml:space="preserve">The following graphs compare our cumulative total shareholder return, assuming reinvestment of dividends, of C$100 and US$100 invested in our common shares for the periods presented. Our common shares are listed on the TSX in Canadian dollars and on the NYSE in U.S. dollars under the symbol TRI.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92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Cumulative Value of a C$100 Investment </w:t>
      </w:r>
    </w:p>
    <w:p>
      <w:pPr>
        <w:pStyle w:val="TextBody"/>
        <w:spacing w:before="40" w:after="0"/>
        <w:jc w:val="left"/>
        <w:rPr>
          <w:rFonts w:ascii="arial" w:hAnsi="arial"/>
          <w:sz w:val="20"/>
        </w:rPr>
      </w:pPr>
      <w:r>
        <w:rPr>
          <w:rFonts w:ascii="arial" w:hAnsi="arial"/>
          <w:sz w:val="20"/>
        </w:rPr>
        <w:t xml:space="preserve">A significant portion of our revenues is generated in U.S. dollars and our financial statements are expressed in U.S. dollars. As such, the appreciation of the U.S. dollar relative to the Canadian dollar can have a favorable effect on the value of our Canadian dollar-denominated common shares. Our common shares are included in the S&amp;P/TSX Composite Index.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71195" cy="1714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671195" cy="171450"/>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Cumulative Value of a US$100 Investment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71195" cy="17272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671195" cy="172720"/>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bookmarkStart w:id="67" w:name="tx494196_cd25"/>
      <w:bookmarkStart w:id="68" w:name="tx494196_45"/>
      <w:bookmarkEnd w:id="67"/>
      <w:bookmarkEnd w:id="68"/>
      <w:r>
        <w:rPr>
          <w:rFonts w:ascii="arial" w:hAnsi="arial"/>
          <w:color w:val="B94831"/>
          <w:sz w:val="28"/>
        </w:rPr>
        <w:t xml:space="preserve">Historic Named Executive Officer Compensation </w:t>
      </w:r>
    </w:p>
    <w:p>
      <w:pPr>
        <w:pStyle w:val="TextBody"/>
        <w:spacing w:before="40" w:after="0"/>
        <w:jc w:val="left"/>
        <w:rPr>
          <w:rFonts w:ascii="arial" w:hAnsi="arial"/>
          <w:sz w:val="20"/>
        </w:rPr>
      </w:pPr>
      <w:r>
        <w:rPr>
          <w:rFonts w:ascii="arial" w:hAnsi="arial"/>
          <w:sz w:val="20"/>
        </w:rPr>
        <w:t xml:space="preserve">Over the past five years (from January 1, 2018 to December 31, 2022), the total shareholder return of our U.S. and Canadian dollar denominated common shares was approximately 191% and 217%, respectively. During this same period, the total shareholder return for our U.S. dollar-denominated shares was higher than the S&amp;P 500 Composite Index and the total return for our Canadian dollar-denominated shares was higher than the S&amp;P/TSX Composite Index. </w:t>
      </w:r>
    </w:p>
    <w:p>
      <w:pPr>
        <w:pStyle w:val="TextBody"/>
        <w:spacing w:before="120" w:after="0"/>
        <w:jc w:val="left"/>
        <w:rPr>
          <w:rFonts w:ascii="arial" w:hAnsi="arial"/>
          <w:sz w:val="20"/>
        </w:rPr>
      </w:pPr>
      <w:r>
        <w:rPr>
          <w:rFonts w:ascii="arial" w:hAnsi="arial"/>
          <w:sz w:val="20"/>
        </w:rPr>
        <w:t xml:space="preserve">The graph below reflects named executive officer compensation based on amounts reflected in the Summary Compensation Table in this years circular and in prior year circulars. In the graph below, values for 2018 for our named executive officers were higher than other years as they included special TRSU grants related to executive promotions and hirings. These TRSU grants are not part of an executives regular annual compensation. The graph below excludes our former CEO and CFO for 2020 in order to provide a comparison of compensation earned by five named executive officers for each year. Two of our five named executive officers for 2020 (excluding our former CEO and CFO) joined Thomson Reuters during the year and one named executive officer was new to his role during that year.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believe that the five-year trend set forth below reflects thoughtful and balanced compensation decision-making related to our CEO and our named executive officers.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09270" cy="17970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509270" cy="179705"/>
                    </a:xfrm>
                    <a:prstGeom prst="rect">
                      <a:avLst/>
                    </a:prstGeom>
                  </pic:spPr>
                </pic:pic>
              </a:graphicData>
            </a:graphic>
          </wp:inline>
        </w:drawing>
      </w:r>
      <w:r>
        <w:rPr/>
        <w:t xml:space="preserve"> </w:t>
      </w:r>
    </w:p>
    <w:p>
      <w:pPr>
        <w:pStyle w:val="TextBody"/>
        <w:spacing w:before="120" w:after="0"/>
        <w:jc w:val="left"/>
        <w:rPr>
          <w:rFonts w:ascii="arial" w:hAnsi="arial"/>
          <w:color w:val="B94831"/>
          <w:sz w:val="28"/>
        </w:rPr>
      </w:pPr>
      <w:r>
        <w:rPr>
          <w:rFonts w:ascii="arial" w:hAnsi="arial"/>
          <w:color w:val="B94831"/>
          <w:sz w:val="28"/>
        </w:rPr>
        <w:t xml:space="preserve">CEO Compensation Lookback </w:t>
      </w:r>
    </w:p>
    <w:p>
      <w:pPr>
        <w:pStyle w:val="TextBody"/>
        <w:spacing w:before="40" w:after="0"/>
        <w:jc w:val="left"/>
        <w:rPr>
          <w:rFonts w:ascii="arial" w:hAnsi="arial"/>
          <w:sz w:val="20"/>
        </w:rPr>
      </w:pPr>
      <w:r>
        <w:rPr>
          <w:rFonts w:ascii="arial" w:hAnsi="arial"/>
          <w:sz w:val="20"/>
        </w:rPr>
        <w:t xml:space="preserve">The table below compares compensation awarded to Steve Hasker in 2020 (when he joined Thomson Reuters), 2021 and 2022 with the actual value of that compensation as of December 31, 2022. The actual value of realized and realizable compensation for each year includes base salary, the annual incentive award paid for the year, the vested value of RSUs granted in the year (or current value of any RSUs that are outstanding), the value of any exercised stock options and the in-the-money value of outstanding stock options that were granted in the year. The table also shows the actual value to the CEO for each $100 of compensation awarded each year, then the cumulative shareholder return per $100 invested in our common shares and in the S&amp;P 500 Composite Index over the same period. These values are indexed at $100 to provide a more meaningful comparison. The table shows that the actual value of CEO compensation is closely aligned with shareholders. </w:t>
      </w:r>
    </w:p>
    <w:p>
      <w:pPr>
        <w:pStyle w:val="TextBody"/>
        <w:spacing w:before="0" w:after="0"/>
        <w:jc w:val="left"/>
        <w:rPr/>
      </w:pPr>
      <w:r>
        <w:rPr/>
        <w:t> </w:t>
      </w:r>
    </w:p>
    <w:tbl>
      <w:tblPr>
        <w:tblW w:w="11400" w:type="dxa"/>
        <w:jc w:val="center"/>
        <w:tblInd w:w="0" w:type="dxa"/>
        <w:tblCellMar>
          <w:top w:w="0" w:type="dxa"/>
          <w:left w:w="0" w:type="dxa"/>
          <w:bottom w:w="0" w:type="dxa"/>
          <w:right w:w="0" w:type="dxa"/>
        </w:tblCellMar>
      </w:tblPr>
      <w:tblGrid>
        <w:gridCol w:w="725"/>
        <w:gridCol w:w="60"/>
        <w:gridCol w:w="860"/>
        <w:gridCol w:w="60"/>
        <w:gridCol w:w="2015"/>
        <w:gridCol w:w="60"/>
        <w:gridCol w:w="1925"/>
        <w:gridCol w:w="60"/>
        <w:gridCol w:w="1655"/>
        <w:gridCol w:w="60"/>
        <w:gridCol w:w="2392"/>
        <w:gridCol w:w="69"/>
        <w:gridCol w:w="1459"/>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725" w:type="dxa"/>
            <w:tcBorders/>
            <w:shd w:fill="262626" w:val="clear"/>
            <w:vAlign w:val="center"/>
          </w:tcPr>
          <w:p>
            <w:pPr>
              <w:pStyle w:val="TableContents"/>
              <w:spacing w:before="0" w:after="283"/>
              <w:rPr>
                <w:sz w:val="4"/>
                <w:szCs w:val="4"/>
              </w:rPr>
            </w:pPr>
            <w:r>
              <w:rPr>
                <w:sz w:val="4"/>
                <w:szCs w:val="4"/>
              </w:rPr>
            </w:r>
          </w:p>
        </w:tc>
        <w:tc>
          <w:tcPr>
            <w:tcW w:w="920" w:type="dxa"/>
            <w:gridSpan w:val="2"/>
            <w:tcBorders/>
            <w:shd w:fill="262626" w:val="clear"/>
            <w:vAlign w:val="center"/>
          </w:tcPr>
          <w:p>
            <w:pPr>
              <w:pStyle w:val="TableContents"/>
              <w:spacing w:before="0" w:after="283"/>
              <w:rPr>
                <w:sz w:val="4"/>
                <w:szCs w:val="4"/>
              </w:rPr>
            </w:pPr>
            <w:r>
              <w:rPr>
                <w:sz w:val="4"/>
                <w:szCs w:val="4"/>
              </w:rPr>
            </w:r>
          </w:p>
        </w:tc>
        <w:tc>
          <w:tcPr>
            <w:tcW w:w="2075" w:type="dxa"/>
            <w:gridSpan w:val="2"/>
            <w:tcBorders/>
            <w:shd w:fill="262626" w:val="clear"/>
            <w:vAlign w:val="center"/>
          </w:tcPr>
          <w:p>
            <w:pPr>
              <w:pStyle w:val="TableContents"/>
              <w:spacing w:before="0" w:after="283"/>
              <w:rPr>
                <w:sz w:val="4"/>
                <w:szCs w:val="4"/>
              </w:rPr>
            </w:pPr>
            <w:r>
              <w:rPr>
                <w:sz w:val="4"/>
                <w:szCs w:val="4"/>
              </w:rPr>
            </w:r>
          </w:p>
        </w:tc>
        <w:tc>
          <w:tcPr>
            <w:tcW w:w="1985" w:type="dxa"/>
            <w:gridSpan w:val="2"/>
            <w:tcBorders/>
            <w:shd w:fill="262626" w:val="clear"/>
            <w:vAlign w:val="center"/>
          </w:tcPr>
          <w:p>
            <w:pPr>
              <w:pStyle w:val="TableContents"/>
              <w:spacing w:before="0" w:after="283"/>
              <w:rPr>
                <w:sz w:val="4"/>
                <w:szCs w:val="4"/>
              </w:rPr>
            </w:pPr>
            <w:r>
              <w:rPr>
                <w:sz w:val="4"/>
                <w:szCs w:val="4"/>
              </w:rPr>
            </w:r>
          </w:p>
        </w:tc>
        <w:tc>
          <w:tcPr>
            <w:tcW w:w="1715" w:type="dxa"/>
            <w:gridSpan w:val="2"/>
            <w:tcBorders/>
            <w:shd w:fill="262626" w:val="clear"/>
            <w:vAlign w:val="center"/>
          </w:tcPr>
          <w:p>
            <w:pPr>
              <w:pStyle w:val="TableContents"/>
              <w:spacing w:before="0" w:after="283"/>
              <w:rPr>
                <w:sz w:val="4"/>
                <w:szCs w:val="4"/>
              </w:rPr>
            </w:pPr>
            <w:r>
              <w:rPr>
                <w:sz w:val="4"/>
                <w:szCs w:val="4"/>
              </w:rPr>
            </w:r>
          </w:p>
        </w:tc>
        <w:tc>
          <w:tcPr>
            <w:tcW w:w="3980" w:type="dxa"/>
            <w:gridSpan w:val="4"/>
            <w:tcBorders/>
            <w:shd w:fill="262626" w:val="clear"/>
            <w:vAlign w:val="center"/>
          </w:tcPr>
          <w:p>
            <w:pPr>
              <w:pStyle w:val="TableContents"/>
              <w:spacing w:before="0" w:after="283"/>
              <w:rPr>
                <w:sz w:val="4"/>
                <w:szCs w:val="4"/>
              </w:rPr>
            </w:pPr>
            <w:r>
              <w:rPr>
                <w:sz w:val="4"/>
                <w:szCs w:val="4"/>
              </w:rPr>
            </w:r>
          </w:p>
        </w:tc>
      </w:tr>
      <w:tr>
        <w:trPr/>
        <w:tc>
          <w:tcPr>
            <w:tcW w:w="725" w:type="dxa"/>
            <w:tcBorders/>
            <w:shd w:fill="262626" w:val="clear"/>
            <w:vAlign w:val="bottom"/>
          </w:tcPr>
          <w:p>
            <w:pPr>
              <w:pStyle w:val="TableContents"/>
              <w:spacing w:before="0" w:after="0"/>
              <w:rPr/>
            </w:pPr>
            <w:r>
              <w:rPr/>
              <w:t> </w:t>
            </w:r>
          </w:p>
        </w:tc>
        <w:tc>
          <w:tcPr>
            <w:tcW w:w="60" w:type="dxa"/>
            <w:tcBorders/>
            <w:shd w:fill="262626" w:val="clear"/>
            <w:vAlign w:val="bottom"/>
          </w:tcPr>
          <w:p>
            <w:pPr>
              <w:pStyle w:val="TableContents"/>
              <w:spacing w:before="0" w:after="283"/>
              <w:rPr/>
            </w:pPr>
            <w:r>
              <w:rPr/>
              <w:t> </w:t>
            </w:r>
          </w:p>
        </w:tc>
        <w:tc>
          <w:tcPr>
            <w:tcW w:w="860" w:type="dxa"/>
            <w:tcBorders/>
            <w:shd w:fill="262626" w:val="clear"/>
            <w:vAlign w:val="bottom"/>
          </w:tcPr>
          <w:p>
            <w:pPr>
              <w:pStyle w:val="TableContents"/>
              <w:spacing w:before="0" w:after="0"/>
              <w:rPr/>
            </w:pPr>
            <w:r>
              <w:rPr/>
              <w:t> </w:t>
            </w:r>
          </w:p>
        </w:tc>
        <w:tc>
          <w:tcPr>
            <w:tcW w:w="60" w:type="dxa"/>
            <w:tcBorders/>
            <w:shd w:fill="262626" w:val="clear"/>
            <w:vAlign w:val="bottom"/>
          </w:tcPr>
          <w:p>
            <w:pPr>
              <w:pStyle w:val="TableContents"/>
              <w:spacing w:before="0" w:after="283"/>
              <w:rPr/>
            </w:pPr>
            <w:r>
              <w:rPr/>
              <w:t> </w:t>
            </w:r>
          </w:p>
        </w:tc>
        <w:tc>
          <w:tcPr>
            <w:tcW w:w="2015" w:type="dxa"/>
            <w:tcBorders/>
            <w:shd w:fill="262626" w:val="clear"/>
            <w:vAlign w:val="bottom"/>
          </w:tcPr>
          <w:p>
            <w:pPr>
              <w:pStyle w:val="TableContents"/>
              <w:spacing w:before="0" w:after="0"/>
              <w:rPr/>
            </w:pPr>
            <w:r>
              <w:rPr/>
              <w:t> </w:t>
            </w:r>
          </w:p>
        </w:tc>
        <w:tc>
          <w:tcPr>
            <w:tcW w:w="60" w:type="dxa"/>
            <w:tcBorders/>
            <w:shd w:fill="262626" w:val="clear"/>
            <w:vAlign w:val="bottom"/>
          </w:tcPr>
          <w:p>
            <w:pPr>
              <w:pStyle w:val="TableContents"/>
              <w:spacing w:before="0" w:after="283"/>
              <w:rPr/>
            </w:pPr>
            <w:r>
              <w:rPr/>
              <w:t> </w:t>
            </w:r>
          </w:p>
        </w:tc>
        <w:tc>
          <w:tcPr>
            <w:tcW w:w="1925" w:type="dxa"/>
            <w:tcBorders/>
            <w:shd w:fill="262626" w:val="clear"/>
            <w:vAlign w:val="bottom"/>
          </w:tcPr>
          <w:p>
            <w:pPr>
              <w:pStyle w:val="TableContents"/>
              <w:spacing w:before="0" w:after="0"/>
              <w:rPr/>
            </w:pPr>
            <w:r>
              <w:rPr/>
              <w:t> </w:t>
            </w:r>
          </w:p>
        </w:tc>
        <w:tc>
          <w:tcPr>
            <w:tcW w:w="60" w:type="dxa"/>
            <w:tcBorders/>
            <w:shd w:fill="262626" w:val="clear"/>
            <w:vAlign w:val="bottom"/>
          </w:tcPr>
          <w:p>
            <w:pPr>
              <w:pStyle w:val="TableContents"/>
              <w:spacing w:before="0" w:after="283"/>
              <w:rPr/>
            </w:pPr>
            <w:r>
              <w:rPr/>
              <w:t> </w:t>
            </w:r>
          </w:p>
        </w:tc>
        <w:tc>
          <w:tcPr>
            <w:tcW w:w="1655" w:type="dxa"/>
            <w:tcBorders/>
            <w:shd w:fill="262626" w:val="clear"/>
            <w:vAlign w:val="bottom"/>
          </w:tcPr>
          <w:p>
            <w:pPr>
              <w:pStyle w:val="TableContents"/>
              <w:spacing w:before="0" w:after="0"/>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3920" w:type="dxa"/>
            <w:gridSpan w:val="3"/>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Value of $100 (as of December 31,  2022)</w:t>
            </w:r>
          </w:p>
        </w:tc>
      </w:tr>
      <w:tr>
        <w:trPr>
          <w:trHeight w:val="30" w:hRule="atLeast"/>
        </w:trPr>
        <w:tc>
          <w:tcPr>
            <w:tcW w:w="725" w:type="dxa"/>
            <w:tcBorders/>
            <w:shd w:fill="262626" w:val="clear"/>
            <w:vAlign w:val="center"/>
          </w:tcPr>
          <w:p>
            <w:pPr>
              <w:pStyle w:val="TableContents"/>
              <w:spacing w:before="0" w:after="283"/>
              <w:rPr>
                <w:sz w:val="4"/>
                <w:szCs w:val="4"/>
              </w:rPr>
            </w:pPr>
            <w:r>
              <w:rPr>
                <w:sz w:val="4"/>
                <w:szCs w:val="4"/>
              </w:rPr>
            </w:r>
          </w:p>
        </w:tc>
        <w:tc>
          <w:tcPr>
            <w:tcW w:w="920" w:type="dxa"/>
            <w:gridSpan w:val="2"/>
            <w:tcBorders/>
            <w:shd w:fill="262626" w:val="clear"/>
            <w:vAlign w:val="center"/>
          </w:tcPr>
          <w:p>
            <w:pPr>
              <w:pStyle w:val="TableContents"/>
              <w:spacing w:before="0" w:after="283"/>
              <w:rPr>
                <w:sz w:val="4"/>
                <w:szCs w:val="4"/>
              </w:rPr>
            </w:pPr>
            <w:r>
              <w:rPr>
                <w:sz w:val="4"/>
                <w:szCs w:val="4"/>
              </w:rPr>
            </w:r>
          </w:p>
        </w:tc>
        <w:tc>
          <w:tcPr>
            <w:tcW w:w="2075" w:type="dxa"/>
            <w:gridSpan w:val="2"/>
            <w:tcBorders/>
            <w:shd w:fill="262626" w:val="clear"/>
            <w:vAlign w:val="center"/>
          </w:tcPr>
          <w:p>
            <w:pPr>
              <w:pStyle w:val="TableContents"/>
              <w:spacing w:before="0" w:after="283"/>
              <w:rPr>
                <w:sz w:val="4"/>
                <w:szCs w:val="4"/>
              </w:rPr>
            </w:pPr>
            <w:r>
              <w:rPr>
                <w:sz w:val="4"/>
                <w:szCs w:val="4"/>
              </w:rPr>
            </w:r>
          </w:p>
        </w:tc>
        <w:tc>
          <w:tcPr>
            <w:tcW w:w="1985" w:type="dxa"/>
            <w:gridSpan w:val="2"/>
            <w:tcBorders/>
            <w:shd w:fill="262626" w:val="clear"/>
            <w:vAlign w:val="center"/>
          </w:tcPr>
          <w:p>
            <w:pPr>
              <w:pStyle w:val="TableContents"/>
              <w:spacing w:before="0" w:after="283"/>
              <w:rPr>
                <w:sz w:val="4"/>
                <w:szCs w:val="4"/>
              </w:rPr>
            </w:pPr>
            <w:r>
              <w:rPr>
                <w:sz w:val="4"/>
                <w:szCs w:val="4"/>
              </w:rPr>
            </w:r>
          </w:p>
        </w:tc>
        <w:tc>
          <w:tcPr>
            <w:tcW w:w="1715" w:type="dxa"/>
            <w:gridSpan w:val="2"/>
            <w:tcBorders/>
            <w:shd w:fill="262626" w:val="clear"/>
            <w:vAlign w:val="center"/>
          </w:tcPr>
          <w:p>
            <w:pPr>
              <w:pStyle w:val="TableContents"/>
              <w:spacing w:before="0" w:after="283"/>
              <w:rPr>
                <w:sz w:val="4"/>
                <w:szCs w:val="4"/>
              </w:rPr>
            </w:pPr>
            <w:r>
              <w:rPr>
                <w:sz w:val="4"/>
                <w:szCs w:val="4"/>
              </w:rPr>
            </w:r>
          </w:p>
        </w:tc>
        <w:tc>
          <w:tcPr>
            <w:tcW w:w="2452" w:type="dxa"/>
            <w:gridSpan w:val="2"/>
            <w:tcBorders/>
            <w:shd w:fill="262626" w:val="clear"/>
            <w:vAlign w:val="center"/>
          </w:tcPr>
          <w:p>
            <w:pPr>
              <w:pStyle w:val="TableContents"/>
              <w:spacing w:before="0" w:after="283"/>
              <w:rPr>
                <w:sz w:val="4"/>
                <w:szCs w:val="4"/>
              </w:rPr>
            </w:pPr>
            <w:r>
              <w:rPr>
                <w:sz w:val="4"/>
                <w:szCs w:val="4"/>
              </w:rPr>
            </w:r>
          </w:p>
        </w:tc>
        <w:tc>
          <w:tcPr>
            <w:tcW w:w="1528" w:type="dxa"/>
            <w:gridSpan w:val="2"/>
            <w:tcBorders/>
            <w:shd w:fill="262626" w:val="clear"/>
            <w:vAlign w:val="center"/>
          </w:tcPr>
          <w:p>
            <w:pPr>
              <w:pStyle w:val="TableContents"/>
              <w:spacing w:before="0" w:after="283"/>
              <w:rPr>
                <w:sz w:val="4"/>
                <w:szCs w:val="4"/>
              </w:rPr>
            </w:pPr>
            <w:r>
              <w:rPr>
                <w:sz w:val="4"/>
                <w:szCs w:val="4"/>
              </w:rPr>
            </w:r>
          </w:p>
        </w:tc>
      </w:tr>
      <w:tr>
        <w:trPr/>
        <w:tc>
          <w:tcPr>
            <w:tcW w:w="725"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Year</w:t>
            </w:r>
          </w:p>
          <w:p>
            <w:pPr>
              <w:pStyle w:val="TableContents"/>
              <w:spacing w:before="0" w:after="20"/>
              <w:rPr>
                <w:rFonts w:ascii="Arial" w:hAnsi="Arial"/>
                <w:b/>
                <w:color w:val="FFFFFF"/>
                <w:sz w:val="17"/>
              </w:rPr>
            </w:pPr>
            <w:r>
              <w:rPr>
                <w:rFonts w:ascii="Arial" w:hAnsi="Arial"/>
                <w:b/>
                <w:color w:val="FFFFFF"/>
                <w:sz w:val="17"/>
              </w:rPr>
              <w:t>Awarded</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860"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Period</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2015"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Target total direct</w:t>
              <w:br/>
              <w:t>compensation</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1925" w:type="dxa"/>
            <w:tcBorders>
              <w:bottom w:val="single" w:sz="2" w:space="0" w:color="B94831"/>
            </w:tcBorders>
            <w:shd w:fill="262626" w:val="clear"/>
            <w:tcMar>
              <w:bottom w:w="40" w:type="dxa"/>
            </w:tcMar>
            <w:vAlign w:val="bottom"/>
          </w:tcPr>
          <w:p>
            <w:pPr>
              <w:pStyle w:val="TableContents"/>
              <w:jc w:val="center"/>
              <w:rPr>
                <w:rFonts w:ascii="Arial" w:hAnsi="Arial"/>
                <w:b/>
                <w:color w:val="FFFFFF"/>
              </w:rPr>
            </w:pPr>
            <w:r>
              <w:rPr>
                <w:rFonts w:ascii="Arial" w:hAnsi="Arial"/>
                <w:b/>
                <w:color w:val="FFFFFF"/>
              </w:rPr>
              <w:t>Actual value</w:t>
            </w:r>
          </w:p>
          <w:p>
            <w:pPr>
              <w:pStyle w:val="TableContents"/>
              <w:spacing w:before="0" w:after="0"/>
              <w:jc w:val="center"/>
              <w:rPr>
                <w:rFonts w:ascii="Arial" w:hAnsi="Arial"/>
                <w:b/>
                <w:color w:val="FFFFFF"/>
                <w:sz w:val="17"/>
              </w:rPr>
            </w:pPr>
            <w:r>
              <w:rPr>
                <w:rFonts w:ascii="Arial" w:hAnsi="Arial"/>
                <w:b/>
                <w:color w:val="FFFFFF"/>
                <w:sz w:val="17"/>
              </w:rPr>
              <w:t>(realized and realizable)</w:t>
            </w:r>
          </w:p>
          <w:p>
            <w:pPr>
              <w:pStyle w:val="TableContents"/>
              <w:spacing w:before="0" w:after="20"/>
              <w:jc w:val="center"/>
              <w:rPr>
                <w:rFonts w:ascii="Arial" w:hAnsi="Arial"/>
                <w:b/>
                <w:color w:val="FFFFFF"/>
                <w:sz w:val="17"/>
              </w:rPr>
            </w:pPr>
            <w:r>
              <w:rPr>
                <w:rFonts w:ascii="Arial" w:hAnsi="Arial"/>
                <w:b/>
                <w:color w:val="FFFFFF"/>
                <w:sz w:val="17"/>
              </w:rPr>
              <w:t>as of December 31, 2022</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1655"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Ratio of actual</w:t>
              <w:br/>
              <w:t>value as of</w:t>
              <w:br/>
              <w:t>December 31,</w:t>
              <w:br/>
              <w:t>2022 to target</w:t>
              <w:br/>
              <w:t>total direct</w:t>
              <w:br/>
              <w:t>compensation</w:t>
              <w:br/>
              <w:t>(multiplied by</w:t>
              <w:br/>
              <w:t>$100)</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2392"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Thomson Reuters</w:t>
              <w:br/>
              <w:t>shareholders</w:t>
            </w:r>
          </w:p>
        </w:tc>
        <w:tc>
          <w:tcPr>
            <w:tcW w:w="69" w:type="dxa"/>
            <w:tcBorders>
              <w:bottom w:val="single" w:sz="2" w:space="0" w:color="B94831"/>
            </w:tcBorders>
            <w:shd w:fill="262626" w:val="clear"/>
            <w:tcMar>
              <w:bottom w:w="28" w:type="dxa"/>
            </w:tcMar>
            <w:vAlign w:val="bottom"/>
          </w:tcPr>
          <w:p>
            <w:pPr>
              <w:pStyle w:val="TableContents"/>
              <w:spacing w:before="0" w:after="283"/>
              <w:rPr/>
            </w:pPr>
            <w:r>
              <w:rPr/>
              <w:t> </w:t>
            </w:r>
          </w:p>
        </w:tc>
        <w:tc>
          <w:tcPr>
            <w:tcW w:w="1459"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S&amp;P 500</w:t>
              <w:br/>
              <w:t>Composite</w:t>
            </w:r>
          </w:p>
        </w:tc>
      </w:tr>
      <w:tr>
        <w:trPr>
          <w:trHeight w:val="60" w:hRule="atLeast"/>
        </w:trPr>
        <w:tc>
          <w:tcPr>
            <w:tcW w:w="725" w:type="dxa"/>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c>
          <w:tcPr>
            <w:tcW w:w="2452" w:type="dxa"/>
            <w:gridSpan w:val="2"/>
            <w:tcBorders/>
            <w:shd w:fill="auto" w:val="clear"/>
            <w:vAlign w:val="center"/>
          </w:tcPr>
          <w:p>
            <w:pPr>
              <w:pStyle w:val="TableContents"/>
              <w:spacing w:before="0" w:after="283"/>
              <w:rPr>
                <w:sz w:val="4"/>
                <w:szCs w:val="4"/>
              </w:rPr>
            </w:pPr>
            <w:r>
              <w:rPr>
                <w:sz w:val="4"/>
                <w:szCs w:val="4"/>
              </w:rPr>
            </w:r>
          </w:p>
        </w:tc>
        <w:tc>
          <w:tcPr>
            <w:tcW w:w="1528"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2020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860" w:type="dxa"/>
            <w:tcBorders>
              <w:bottom w:val="single" w:sz="2" w:space="0" w:color="AFAFAF"/>
            </w:tcBorders>
            <w:shd w:fill="auto" w:val="clear"/>
            <w:tcMar>
              <w:bottom w:w="40" w:type="dxa"/>
            </w:tcMar>
            <w:vAlign w:val="bottom"/>
          </w:tcPr>
          <w:p>
            <w:pPr>
              <w:pStyle w:val="TableContents"/>
              <w:spacing w:before="0" w:after="283"/>
              <w:rPr/>
            </w:pPr>
            <w:r>
              <w:rPr/>
              <w:t>3/15/20 to 12/31/20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15" w:type="dxa"/>
            <w:tcBorders>
              <w:bottom w:val="single" w:sz="2" w:space="0" w:color="AFAFAF"/>
            </w:tcBorders>
            <w:shd w:fill="auto" w:val="clear"/>
            <w:tcMar>
              <w:bottom w:w="40" w:type="dxa"/>
            </w:tcMar>
            <w:vAlign w:val="bottom"/>
          </w:tcPr>
          <w:p>
            <w:pPr>
              <w:pStyle w:val="TableContents"/>
              <w:spacing w:before="0" w:after="283"/>
              <w:jc w:val="center"/>
              <w:rPr/>
            </w:pPr>
            <w:r>
              <w:rPr/>
              <w:t>$9,502,741</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40" w:type="dxa"/>
            </w:tcMar>
            <w:vAlign w:val="bottom"/>
          </w:tcPr>
          <w:p>
            <w:pPr>
              <w:pStyle w:val="TableContents"/>
              <w:spacing w:before="0" w:after="283"/>
              <w:jc w:val="center"/>
              <w:rPr/>
            </w:pPr>
            <w:r>
              <w:rPr/>
              <w:t>$19,106,317</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5" w:type="dxa"/>
            <w:tcBorders>
              <w:bottom w:val="single" w:sz="2" w:space="0" w:color="AFAFAF"/>
            </w:tcBorders>
            <w:shd w:fill="auto" w:val="clear"/>
            <w:tcMar>
              <w:bottom w:w="40" w:type="dxa"/>
            </w:tcMar>
            <w:vAlign w:val="bottom"/>
          </w:tcPr>
          <w:p>
            <w:pPr>
              <w:pStyle w:val="TableContents"/>
              <w:spacing w:before="0" w:after="283"/>
              <w:jc w:val="center"/>
              <w:rPr/>
            </w:pPr>
            <w:r>
              <w:rPr/>
              <w:t>$201</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392" w:type="dxa"/>
            <w:tcBorders>
              <w:bottom w:val="single" w:sz="2" w:space="0" w:color="AFAFAF"/>
            </w:tcBorders>
            <w:shd w:fill="auto" w:val="clear"/>
            <w:tcMar>
              <w:bottom w:w="40" w:type="dxa"/>
            </w:tcMar>
            <w:vAlign w:val="bottom"/>
          </w:tcPr>
          <w:p>
            <w:pPr>
              <w:pStyle w:val="TableContents"/>
              <w:spacing w:before="0" w:after="283"/>
              <w:jc w:val="center"/>
              <w:rPr/>
            </w:pPr>
            <w:r>
              <w:rPr/>
              <w:t>$185</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459" w:type="dxa"/>
            <w:tcBorders>
              <w:bottom w:val="single" w:sz="2" w:space="0" w:color="AFAFAF"/>
            </w:tcBorders>
            <w:shd w:fill="auto" w:val="clear"/>
            <w:tcMar>
              <w:bottom w:w="40" w:type="dxa"/>
            </w:tcMar>
            <w:vAlign w:val="bottom"/>
          </w:tcPr>
          <w:p>
            <w:pPr>
              <w:pStyle w:val="TableContents"/>
              <w:spacing w:before="0" w:after="283"/>
              <w:jc w:val="center"/>
              <w:rPr/>
            </w:pPr>
            <w:r>
              <w:rPr/>
              <w:t>$149</w:t>
            </w:r>
          </w:p>
        </w:tc>
      </w:tr>
      <w:tr>
        <w:trPr>
          <w:trHeight w:val="60" w:hRule="atLeast"/>
        </w:trPr>
        <w:tc>
          <w:tcPr>
            <w:tcW w:w="725" w:type="dxa"/>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c>
          <w:tcPr>
            <w:tcW w:w="2452" w:type="dxa"/>
            <w:gridSpan w:val="2"/>
            <w:tcBorders/>
            <w:shd w:fill="auto" w:val="clear"/>
            <w:vAlign w:val="center"/>
          </w:tcPr>
          <w:p>
            <w:pPr>
              <w:pStyle w:val="TableContents"/>
              <w:spacing w:before="0" w:after="283"/>
              <w:rPr>
                <w:sz w:val="4"/>
                <w:szCs w:val="4"/>
              </w:rPr>
            </w:pPr>
            <w:r>
              <w:rPr>
                <w:sz w:val="4"/>
                <w:szCs w:val="4"/>
              </w:rPr>
            </w:r>
          </w:p>
        </w:tc>
        <w:tc>
          <w:tcPr>
            <w:tcW w:w="1528"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2021</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860" w:type="dxa"/>
            <w:tcBorders>
              <w:bottom w:val="single" w:sz="2" w:space="0" w:color="AFAFAF"/>
            </w:tcBorders>
            <w:shd w:fill="auto" w:val="clear"/>
            <w:tcMar>
              <w:bottom w:w="40" w:type="dxa"/>
            </w:tcMar>
            <w:vAlign w:val="bottom"/>
          </w:tcPr>
          <w:p>
            <w:pPr>
              <w:pStyle w:val="TableContents"/>
              <w:spacing w:before="0" w:after="283"/>
              <w:rPr/>
            </w:pPr>
            <w:r>
              <w:rPr/>
              <w:t>1/1/21 to 12/31/21</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15" w:type="dxa"/>
            <w:tcBorders>
              <w:bottom w:val="single" w:sz="2" w:space="0" w:color="AFAFAF"/>
            </w:tcBorders>
            <w:shd w:fill="auto" w:val="clear"/>
            <w:tcMar>
              <w:bottom w:w="40" w:type="dxa"/>
            </w:tcMar>
            <w:vAlign w:val="bottom"/>
          </w:tcPr>
          <w:p>
            <w:pPr>
              <w:pStyle w:val="TableContents"/>
              <w:spacing w:before="0" w:after="283"/>
              <w:jc w:val="center"/>
              <w:rPr/>
            </w:pPr>
            <w:r>
              <w:rPr/>
              <w:t>$10,033,225</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25" w:type="dxa"/>
            <w:tcBorders>
              <w:bottom w:val="single" w:sz="2" w:space="0" w:color="AFAFAF"/>
            </w:tcBorders>
            <w:shd w:fill="auto" w:val="clear"/>
            <w:tcMar>
              <w:bottom w:w="40" w:type="dxa"/>
            </w:tcMar>
            <w:vAlign w:val="bottom"/>
          </w:tcPr>
          <w:p>
            <w:pPr>
              <w:pStyle w:val="TableContents"/>
              <w:spacing w:before="0" w:after="283"/>
              <w:jc w:val="center"/>
              <w:rPr/>
            </w:pPr>
            <w:r>
              <w:rPr/>
              <w:t>$15,170,510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655" w:type="dxa"/>
            <w:tcBorders>
              <w:bottom w:val="single" w:sz="2" w:space="0" w:color="AFAFAF"/>
            </w:tcBorders>
            <w:shd w:fill="auto" w:val="clear"/>
            <w:tcMar>
              <w:bottom w:w="40" w:type="dxa"/>
            </w:tcMar>
            <w:vAlign w:val="bottom"/>
          </w:tcPr>
          <w:p>
            <w:pPr>
              <w:pStyle w:val="TableContents"/>
              <w:spacing w:before="0" w:after="283"/>
              <w:jc w:val="center"/>
              <w:rPr/>
            </w:pPr>
            <w:r>
              <w:rPr/>
              <w:t>$151</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392" w:type="dxa"/>
            <w:tcBorders>
              <w:bottom w:val="single" w:sz="2" w:space="0" w:color="AFAFAF"/>
            </w:tcBorders>
            <w:shd w:fill="auto" w:val="clear"/>
            <w:tcMar>
              <w:bottom w:w="40" w:type="dxa"/>
            </w:tcMar>
            <w:vAlign w:val="bottom"/>
          </w:tcPr>
          <w:p>
            <w:pPr>
              <w:pStyle w:val="TableContents"/>
              <w:spacing w:before="0" w:after="283"/>
              <w:jc w:val="center"/>
              <w:rPr/>
            </w:pPr>
            <w:r>
              <w:rPr/>
              <w:t>$144</w:t>
            </w:r>
          </w:p>
        </w:tc>
        <w:tc>
          <w:tcPr>
            <w:tcW w:w="69" w:type="dxa"/>
            <w:tcBorders>
              <w:bottom w:val="single" w:sz="2" w:space="0" w:color="AFAFAF"/>
            </w:tcBorders>
            <w:shd w:fill="auto" w:val="clear"/>
            <w:tcMar>
              <w:bottom w:w="28" w:type="dxa"/>
            </w:tcMar>
            <w:vAlign w:val="bottom"/>
          </w:tcPr>
          <w:p>
            <w:pPr>
              <w:pStyle w:val="TableContents"/>
              <w:spacing w:before="0" w:after="283"/>
              <w:rPr/>
            </w:pPr>
            <w:r>
              <w:rPr/>
              <w:t> </w:t>
            </w:r>
          </w:p>
        </w:tc>
        <w:tc>
          <w:tcPr>
            <w:tcW w:w="1459" w:type="dxa"/>
            <w:tcBorders>
              <w:bottom w:val="single" w:sz="2" w:space="0" w:color="AFAFAF"/>
            </w:tcBorders>
            <w:shd w:fill="auto" w:val="clear"/>
            <w:tcMar>
              <w:bottom w:w="40" w:type="dxa"/>
            </w:tcMar>
            <w:vAlign w:val="bottom"/>
          </w:tcPr>
          <w:p>
            <w:pPr>
              <w:pStyle w:val="TableContents"/>
              <w:spacing w:before="0" w:after="283"/>
              <w:jc w:val="center"/>
              <w:rPr/>
            </w:pPr>
            <w:r>
              <w:rPr/>
              <w:t>$106</w:t>
            </w:r>
          </w:p>
        </w:tc>
      </w:tr>
      <w:tr>
        <w:trPr>
          <w:trHeight w:val="60" w:hRule="atLeast"/>
        </w:trPr>
        <w:tc>
          <w:tcPr>
            <w:tcW w:w="725" w:type="dxa"/>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c>
          <w:tcPr>
            <w:tcW w:w="1985" w:type="dxa"/>
            <w:gridSpan w:val="2"/>
            <w:tcBorders/>
            <w:shd w:fill="auto" w:val="clear"/>
            <w:vAlign w:val="center"/>
          </w:tcPr>
          <w:p>
            <w:pPr>
              <w:pStyle w:val="TableContents"/>
              <w:spacing w:before="0" w:after="283"/>
              <w:rPr>
                <w:sz w:val="4"/>
                <w:szCs w:val="4"/>
              </w:rPr>
            </w:pPr>
            <w:r>
              <w:rPr>
                <w:sz w:val="4"/>
                <w:szCs w:val="4"/>
              </w:rPr>
            </w:r>
          </w:p>
        </w:tc>
        <w:tc>
          <w:tcPr>
            <w:tcW w:w="1715" w:type="dxa"/>
            <w:gridSpan w:val="2"/>
            <w:tcBorders/>
            <w:shd w:fill="auto" w:val="clear"/>
            <w:vAlign w:val="center"/>
          </w:tcPr>
          <w:p>
            <w:pPr>
              <w:pStyle w:val="TableContents"/>
              <w:spacing w:before="0" w:after="283"/>
              <w:rPr>
                <w:sz w:val="4"/>
                <w:szCs w:val="4"/>
              </w:rPr>
            </w:pPr>
            <w:r>
              <w:rPr>
                <w:sz w:val="4"/>
                <w:szCs w:val="4"/>
              </w:rPr>
            </w:r>
          </w:p>
        </w:tc>
        <w:tc>
          <w:tcPr>
            <w:tcW w:w="2452" w:type="dxa"/>
            <w:gridSpan w:val="2"/>
            <w:tcBorders/>
            <w:shd w:fill="auto" w:val="clear"/>
            <w:vAlign w:val="center"/>
          </w:tcPr>
          <w:p>
            <w:pPr>
              <w:pStyle w:val="TableContents"/>
              <w:spacing w:before="0" w:after="283"/>
              <w:rPr>
                <w:sz w:val="4"/>
                <w:szCs w:val="4"/>
              </w:rPr>
            </w:pPr>
            <w:r>
              <w:rPr>
                <w:sz w:val="4"/>
                <w:szCs w:val="4"/>
              </w:rPr>
            </w:r>
          </w:p>
        </w:tc>
        <w:tc>
          <w:tcPr>
            <w:tcW w:w="1528"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bottom w:val="single" w:sz="8" w:space="0" w:color="B94831"/>
            </w:tcBorders>
            <w:shd w:fill="auto" w:val="clear"/>
            <w:tcMar>
              <w:bottom w:w="40" w:type="dxa"/>
            </w:tcMar>
          </w:tcPr>
          <w:p>
            <w:pPr>
              <w:pStyle w:val="TableContents"/>
              <w:spacing w:before="0" w:after="0"/>
              <w:rPr>
                <w:rFonts w:ascii="Arial" w:hAnsi="Arial"/>
                <w:b/>
                <w:sz w:val="16"/>
              </w:rPr>
            </w:pPr>
            <w:r>
              <w:rPr>
                <w:rFonts w:ascii="Arial" w:hAnsi="Arial"/>
                <w:b/>
                <w:sz w:val="16"/>
              </w:rPr>
              <w:t>2022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860" w:type="dxa"/>
            <w:tcBorders>
              <w:bottom w:val="single" w:sz="8" w:space="0" w:color="B94831"/>
            </w:tcBorders>
            <w:shd w:fill="auto" w:val="clear"/>
            <w:tcMar>
              <w:bottom w:w="40" w:type="dxa"/>
            </w:tcMar>
            <w:vAlign w:val="bottom"/>
          </w:tcPr>
          <w:p>
            <w:pPr>
              <w:pStyle w:val="TableContents"/>
              <w:spacing w:before="0" w:after="283"/>
              <w:rPr/>
            </w:pPr>
            <w:r>
              <w:rPr/>
              <w:t>1/1/22 to 12/31/22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015" w:type="dxa"/>
            <w:tcBorders>
              <w:bottom w:val="single" w:sz="8" w:space="0" w:color="B94831"/>
            </w:tcBorders>
            <w:shd w:fill="auto" w:val="clear"/>
            <w:tcMar>
              <w:bottom w:w="40" w:type="dxa"/>
            </w:tcMar>
            <w:vAlign w:val="bottom"/>
          </w:tcPr>
          <w:p>
            <w:pPr>
              <w:pStyle w:val="TableContents"/>
              <w:spacing w:before="0" w:after="283"/>
              <w:jc w:val="center"/>
              <w:rPr/>
            </w:pPr>
            <w:r>
              <w:rPr/>
              <w:t>$9,949,668</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925" w:type="dxa"/>
            <w:tcBorders>
              <w:bottom w:val="single" w:sz="8" w:space="0" w:color="B94831"/>
            </w:tcBorders>
            <w:shd w:fill="auto" w:val="clear"/>
            <w:tcMar>
              <w:bottom w:w="40" w:type="dxa"/>
            </w:tcMar>
            <w:vAlign w:val="bottom"/>
          </w:tcPr>
          <w:p>
            <w:pPr>
              <w:pStyle w:val="TableContents"/>
              <w:spacing w:before="0" w:after="283"/>
              <w:jc w:val="center"/>
              <w:rPr/>
            </w:pPr>
            <w:r>
              <w:rPr/>
              <w:t>$10,678,702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655" w:type="dxa"/>
            <w:tcBorders>
              <w:bottom w:val="single" w:sz="8" w:space="0" w:color="B94831"/>
            </w:tcBorders>
            <w:shd w:fill="auto" w:val="clear"/>
            <w:tcMar>
              <w:bottom w:w="40" w:type="dxa"/>
            </w:tcMar>
            <w:vAlign w:val="bottom"/>
          </w:tcPr>
          <w:p>
            <w:pPr>
              <w:pStyle w:val="TableContents"/>
              <w:spacing w:before="0" w:after="283"/>
              <w:jc w:val="center"/>
              <w:rPr/>
            </w:pPr>
            <w:r>
              <w:rPr/>
              <w:t>$107</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392" w:type="dxa"/>
            <w:tcBorders>
              <w:bottom w:val="single" w:sz="8" w:space="0" w:color="B94831"/>
            </w:tcBorders>
            <w:shd w:fill="auto" w:val="clear"/>
            <w:tcMar>
              <w:bottom w:w="40" w:type="dxa"/>
            </w:tcMar>
            <w:vAlign w:val="bottom"/>
          </w:tcPr>
          <w:p>
            <w:pPr>
              <w:pStyle w:val="TableContents"/>
              <w:spacing w:before="0" w:after="283"/>
              <w:jc w:val="center"/>
              <w:rPr/>
            </w:pPr>
            <w:r>
              <w:rPr/>
              <w:t>$97</w:t>
            </w:r>
          </w:p>
        </w:tc>
        <w:tc>
          <w:tcPr>
            <w:tcW w:w="69" w:type="dxa"/>
            <w:tcBorders>
              <w:bottom w:val="single" w:sz="8" w:space="0" w:color="B94831"/>
            </w:tcBorders>
            <w:shd w:fill="auto" w:val="clear"/>
            <w:tcMar>
              <w:bottom w:w="28" w:type="dxa"/>
            </w:tcMar>
            <w:vAlign w:val="bottom"/>
          </w:tcPr>
          <w:p>
            <w:pPr>
              <w:pStyle w:val="TableContents"/>
              <w:spacing w:before="0" w:after="283"/>
              <w:rPr/>
            </w:pPr>
            <w:r>
              <w:rPr/>
              <w:t> </w:t>
            </w:r>
          </w:p>
        </w:tc>
        <w:tc>
          <w:tcPr>
            <w:tcW w:w="1459" w:type="dxa"/>
            <w:tcBorders>
              <w:bottom w:val="single" w:sz="8" w:space="0" w:color="B94831"/>
            </w:tcBorders>
            <w:shd w:fill="auto" w:val="clear"/>
            <w:tcMar>
              <w:bottom w:w="40" w:type="dxa"/>
            </w:tcMar>
            <w:vAlign w:val="bottom"/>
          </w:tcPr>
          <w:p>
            <w:pPr>
              <w:pStyle w:val="TableContents"/>
              <w:spacing w:before="0" w:after="283"/>
              <w:jc w:val="center"/>
              <w:rPr/>
            </w:pPr>
            <w:r>
              <w:rPr/>
              <w:t>$82</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94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Cost of Management Ratio </w:t>
      </w:r>
    </w:p>
    <w:p>
      <w:pPr>
        <w:pStyle w:val="TextBody"/>
        <w:spacing w:before="40" w:after="0"/>
        <w:jc w:val="left"/>
        <w:rPr>
          <w:rFonts w:ascii="arial" w:hAnsi="arial"/>
          <w:sz w:val="20"/>
        </w:rPr>
      </w:pPr>
      <w:r>
        <w:rPr>
          <w:rFonts w:ascii="arial" w:hAnsi="arial"/>
          <w:sz w:val="20"/>
        </w:rPr>
        <w:t xml:space="preserve">The table below shows the cost of management ratio, which is reflected as total compensation reported for our top five most highly compensated named executive officers in the Summary Compensation Table for the last five years as a percentage of adjusted EBITDA. It excludes our former CEO and CFO for 2020 in order to provide a comparison of the cost of management ratio related to five named executive officers for each year. The cost of management ratio is affected by foreign exchange rates, the named executive officers each year and our adjusted EBITDA performance. As reflected in the table below, this ratio was slightly lower in 2022 compared to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12"/>
        <w:gridCol w:w="60"/>
        <w:gridCol w:w="1523"/>
        <w:gridCol w:w="79"/>
        <w:gridCol w:w="1523"/>
        <w:gridCol w:w="79"/>
        <w:gridCol w:w="1523"/>
        <w:gridCol w:w="79"/>
        <w:gridCol w:w="1523"/>
        <w:gridCol w:w="79"/>
        <w:gridCol w:w="1525"/>
      </w:tblGrid>
      <w:tr>
        <w:trPr/>
        <w:tc>
          <w:tcPr>
            <w:tcW w:w="22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212" w:type="dxa"/>
            <w:tcBorders/>
            <w:shd w:fill="262626" w:val="clear"/>
            <w:vAlign w:val="center"/>
          </w:tcPr>
          <w:p>
            <w:pPr>
              <w:pStyle w:val="TableContents"/>
              <w:spacing w:before="0" w:after="283"/>
              <w:rPr>
                <w:sz w:val="4"/>
                <w:szCs w:val="4"/>
              </w:rPr>
            </w:pPr>
            <w:r>
              <w:rPr>
                <w:sz w:val="4"/>
                <w:szCs w:val="4"/>
              </w:rPr>
            </w:r>
          </w:p>
        </w:tc>
        <w:tc>
          <w:tcPr>
            <w:tcW w:w="1583" w:type="dxa"/>
            <w:gridSpan w:val="2"/>
            <w:tcBorders/>
            <w:shd w:fill="262626" w:val="clear"/>
            <w:vAlign w:val="center"/>
          </w:tcPr>
          <w:p>
            <w:pPr>
              <w:pStyle w:val="TableContents"/>
              <w:spacing w:before="0" w:after="283"/>
              <w:rPr>
                <w:sz w:val="4"/>
                <w:szCs w:val="4"/>
              </w:rPr>
            </w:pPr>
            <w:r>
              <w:rPr>
                <w:sz w:val="4"/>
                <w:szCs w:val="4"/>
              </w:rPr>
            </w:r>
          </w:p>
        </w:tc>
        <w:tc>
          <w:tcPr>
            <w:tcW w:w="1602" w:type="dxa"/>
            <w:gridSpan w:val="2"/>
            <w:tcBorders/>
            <w:shd w:fill="262626" w:val="clear"/>
            <w:vAlign w:val="center"/>
          </w:tcPr>
          <w:p>
            <w:pPr>
              <w:pStyle w:val="TableContents"/>
              <w:spacing w:before="0" w:after="283"/>
              <w:rPr>
                <w:sz w:val="4"/>
                <w:szCs w:val="4"/>
              </w:rPr>
            </w:pPr>
            <w:r>
              <w:rPr>
                <w:sz w:val="4"/>
                <w:szCs w:val="4"/>
              </w:rPr>
            </w:r>
          </w:p>
        </w:tc>
        <w:tc>
          <w:tcPr>
            <w:tcW w:w="1602" w:type="dxa"/>
            <w:gridSpan w:val="2"/>
            <w:tcBorders/>
            <w:shd w:fill="262626" w:val="clear"/>
            <w:vAlign w:val="center"/>
          </w:tcPr>
          <w:p>
            <w:pPr>
              <w:pStyle w:val="TableContents"/>
              <w:spacing w:before="0" w:after="283"/>
              <w:rPr>
                <w:sz w:val="4"/>
                <w:szCs w:val="4"/>
              </w:rPr>
            </w:pPr>
            <w:r>
              <w:rPr>
                <w:sz w:val="4"/>
                <w:szCs w:val="4"/>
              </w:rPr>
            </w:r>
          </w:p>
        </w:tc>
        <w:tc>
          <w:tcPr>
            <w:tcW w:w="1602" w:type="dxa"/>
            <w:gridSpan w:val="2"/>
            <w:tcBorders/>
            <w:shd w:fill="262626" w:val="clear"/>
            <w:vAlign w:val="center"/>
          </w:tcPr>
          <w:p>
            <w:pPr>
              <w:pStyle w:val="TableContents"/>
              <w:spacing w:before="0" w:after="283"/>
              <w:rPr>
                <w:sz w:val="4"/>
                <w:szCs w:val="4"/>
              </w:rPr>
            </w:pPr>
            <w:r>
              <w:rPr>
                <w:sz w:val="4"/>
                <w:szCs w:val="4"/>
              </w:rPr>
            </w:r>
          </w:p>
        </w:tc>
        <w:tc>
          <w:tcPr>
            <w:tcW w:w="1604" w:type="dxa"/>
            <w:gridSpan w:val="2"/>
            <w:tcBorders/>
            <w:shd w:fill="262626" w:val="clear"/>
            <w:vAlign w:val="center"/>
          </w:tcPr>
          <w:p>
            <w:pPr>
              <w:pStyle w:val="TableContents"/>
              <w:spacing w:before="0" w:after="283"/>
              <w:rPr>
                <w:sz w:val="4"/>
                <w:szCs w:val="4"/>
              </w:rPr>
            </w:pPr>
            <w:r>
              <w:rPr>
                <w:sz w:val="4"/>
                <w:szCs w:val="4"/>
              </w:rPr>
            </w:r>
          </w:p>
        </w:tc>
      </w:tr>
      <w:tr>
        <w:trPr/>
        <w:tc>
          <w:tcPr>
            <w:tcW w:w="2212" w:type="dxa"/>
            <w:tcBorders>
              <w:bottom w:val="single" w:sz="2" w:space="0" w:color="B94831"/>
            </w:tcBorders>
            <w:shd w:fill="262626"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1523"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2018</w:t>
            </w:r>
          </w:p>
        </w:tc>
        <w:tc>
          <w:tcPr>
            <w:tcW w:w="79" w:type="dxa"/>
            <w:tcBorders>
              <w:bottom w:val="single" w:sz="2" w:space="0" w:color="B94831"/>
            </w:tcBorders>
            <w:shd w:fill="262626" w:val="clear"/>
            <w:tcMar>
              <w:bottom w:w="28" w:type="dxa"/>
            </w:tcMar>
            <w:vAlign w:val="bottom"/>
          </w:tcPr>
          <w:p>
            <w:pPr>
              <w:pStyle w:val="TableContents"/>
              <w:spacing w:before="0" w:after="283"/>
              <w:rPr/>
            </w:pPr>
            <w:r>
              <w:rPr/>
              <w:t> </w:t>
            </w:r>
          </w:p>
        </w:tc>
        <w:tc>
          <w:tcPr>
            <w:tcW w:w="1523"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2019</w:t>
            </w:r>
          </w:p>
        </w:tc>
        <w:tc>
          <w:tcPr>
            <w:tcW w:w="79" w:type="dxa"/>
            <w:tcBorders>
              <w:bottom w:val="single" w:sz="2" w:space="0" w:color="B94831"/>
            </w:tcBorders>
            <w:shd w:fill="262626" w:val="clear"/>
            <w:tcMar>
              <w:bottom w:w="28" w:type="dxa"/>
            </w:tcMar>
            <w:vAlign w:val="bottom"/>
          </w:tcPr>
          <w:p>
            <w:pPr>
              <w:pStyle w:val="TableContents"/>
              <w:spacing w:before="0" w:after="283"/>
              <w:rPr/>
            </w:pPr>
            <w:r>
              <w:rPr/>
              <w:t> </w:t>
            </w:r>
          </w:p>
        </w:tc>
        <w:tc>
          <w:tcPr>
            <w:tcW w:w="1523"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2020</w:t>
            </w:r>
          </w:p>
        </w:tc>
        <w:tc>
          <w:tcPr>
            <w:tcW w:w="79" w:type="dxa"/>
            <w:tcBorders>
              <w:bottom w:val="single" w:sz="2" w:space="0" w:color="B94831"/>
            </w:tcBorders>
            <w:shd w:fill="262626" w:val="clear"/>
            <w:tcMar>
              <w:bottom w:w="28" w:type="dxa"/>
            </w:tcMar>
            <w:vAlign w:val="bottom"/>
          </w:tcPr>
          <w:p>
            <w:pPr>
              <w:pStyle w:val="TableContents"/>
              <w:spacing w:before="0" w:after="283"/>
              <w:rPr/>
            </w:pPr>
            <w:r>
              <w:rPr/>
              <w:t> </w:t>
            </w:r>
          </w:p>
        </w:tc>
        <w:tc>
          <w:tcPr>
            <w:tcW w:w="1523"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2021</w:t>
            </w:r>
          </w:p>
        </w:tc>
        <w:tc>
          <w:tcPr>
            <w:tcW w:w="79" w:type="dxa"/>
            <w:tcBorders>
              <w:bottom w:val="single" w:sz="2" w:space="0" w:color="B94831"/>
            </w:tcBorders>
            <w:shd w:fill="262626" w:val="clear"/>
            <w:tcMar>
              <w:bottom w:w="28" w:type="dxa"/>
            </w:tcMar>
            <w:vAlign w:val="bottom"/>
          </w:tcPr>
          <w:p>
            <w:pPr>
              <w:pStyle w:val="TableContents"/>
              <w:spacing w:before="0" w:after="283"/>
              <w:rPr/>
            </w:pPr>
            <w:r>
              <w:rPr/>
              <w:t> </w:t>
            </w:r>
          </w:p>
        </w:tc>
        <w:tc>
          <w:tcPr>
            <w:tcW w:w="1525" w:type="dxa"/>
            <w:tcBorders>
              <w:bottom w:val="single" w:sz="2" w:space="0" w:color="B94831"/>
            </w:tcBorders>
            <w:shd w:fill="262626" w:val="clear"/>
            <w:tcMar>
              <w:bottom w:w="40" w:type="dxa"/>
            </w:tcMar>
            <w:vAlign w:val="bottom"/>
          </w:tcPr>
          <w:p>
            <w:pPr>
              <w:pStyle w:val="TableContents"/>
              <w:spacing w:before="0" w:after="283"/>
              <w:jc w:val="center"/>
              <w:rPr>
                <w:rFonts w:ascii="Arial" w:hAnsi="Arial"/>
                <w:b/>
                <w:color w:val="FFFFFF"/>
              </w:rPr>
            </w:pPr>
            <w:r>
              <w:rPr>
                <w:rFonts w:ascii="Arial" w:hAnsi="Arial"/>
                <w:b/>
                <w:color w:val="FFFFFF"/>
              </w:rPr>
              <w:t>2022</w:t>
            </w:r>
          </w:p>
        </w:tc>
      </w:tr>
      <w:tr>
        <w:trPr>
          <w:trHeight w:val="60" w:hRule="atLeast"/>
        </w:trPr>
        <w:tc>
          <w:tcPr>
            <w:tcW w:w="2212" w:type="dxa"/>
            <w:tcBorders/>
            <w:shd w:fill="auto" w:val="clear"/>
            <w:vAlign w:val="center"/>
          </w:tcPr>
          <w:p>
            <w:pPr>
              <w:pStyle w:val="TableContents"/>
              <w:spacing w:before="0" w:after="283"/>
              <w:rPr>
                <w:sz w:val="4"/>
                <w:szCs w:val="4"/>
              </w:rPr>
            </w:pPr>
            <w:r>
              <w:rPr>
                <w:sz w:val="4"/>
                <w:szCs w:val="4"/>
              </w:rPr>
            </w:r>
          </w:p>
        </w:tc>
        <w:tc>
          <w:tcPr>
            <w:tcW w:w="1583"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4" w:type="dxa"/>
            <w:gridSpan w:val="2"/>
            <w:tcBorders/>
            <w:shd w:fill="auto" w:val="clear"/>
            <w:vAlign w:val="center"/>
          </w:tcPr>
          <w:p>
            <w:pPr>
              <w:pStyle w:val="TableContents"/>
              <w:spacing w:before="0" w:after="283"/>
              <w:rPr>
                <w:sz w:val="4"/>
                <w:szCs w:val="4"/>
              </w:rPr>
            </w:pPr>
            <w:r>
              <w:rPr>
                <w:sz w:val="4"/>
                <w:szCs w:val="4"/>
              </w:rPr>
            </w:r>
          </w:p>
        </w:tc>
      </w:tr>
      <w:tr>
        <w:trPr/>
        <w:tc>
          <w:tcPr>
            <w:tcW w:w="2212"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Total compensation reported for the NEOs</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$39,015,624</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$28,397,606</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$24,177,124</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$28,288,239</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5" w:type="dxa"/>
            <w:tcBorders>
              <w:bottom w:val="single" w:sz="2" w:space="0" w:color="AFAFAF"/>
            </w:tcBorders>
            <w:shd w:fill="auto" w:val="clear"/>
            <w:tcMar>
              <w:bottom w:w="40" w:type="dxa"/>
            </w:tcMar>
            <w:vAlign w:val="bottom"/>
          </w:tcPr>
          <w:p>
            <w:pPr>
              <w:pStyle w:val="TableContents"/>
              <w:spacing w:before="0" w:after="283"/>
              <w:jc w:val="center"/>
              <w:rPr/>
            </w:pPr>
            <w:r>
              <w:rPr/>
              <w:t>$24,658,798</w:t>
            </w:r>
          </w:p>
        </w:tc>
      </w:tr>
      <w:tr>
        <w:trPr>
          <w:trHeight w:val="60" w:hRule="atLeast"/>
        </w:trPr>
        <w:tc>
          <w:tcPr>
            <w:tcW w:w="2212" w:type="dxa"/>
            <w:tcBorders/>
            <w:shd w:fill="auto" w:val="clear"/>
            <w:vAlign w:val="center"/>
          </w:tcPr>
          <w:p>
            <w:pPr>
              <w:pStyle w:val="TableContents"/>
              <w:spacing w:before="0" w:after="283"/>
              <w:rPr>
                <w:sz w:val="4"/>
                <w:szCs w:val="4"/>
              </w:rPr>
            </w:pPr>
            <w:r>
              <w:rPr>
                <w:sz w:val="4"/>
                <w:szCs w:val="4"/>
              </w:rPr>
            </w:r>
          </w:p>
        </w:tc>
        <w:tc>
          <w:tcPr>
            <w:tcW w:w="1583"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4" w:type="dxa"/>
            <w:gridSpan w:val="2"/>
            <w:tcBorders/>
            <w:shd w:fill="auto" w:val="clear"/>
            <w:vAlign w:val="center"/>
          </w:tcPr>
          <w:p>
            <w:pPr>
              <w:pStyle w:val="TableContents"/>
              <w:spacing w:before="0" w:after="283"/>
              <w:rPr>
                <w:sz w:val="4"/>
                <w:szCs w:val="4"/>
              </w:rPr>
            </w:pPr>
            <w:r>
              <w:rPr>
                <w:sz w:val="4"/>
                <w:szCs w:val="4"/>
              </w:rPr>
            </w:r>
          </w:p>
        </w:tc>
      </w:tr>
      <w:tr>
        <w:trPr/>
        <w:tc>
          <w:tcPr>
            <w:tcW w:w="2212"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Adjusted EBITDA</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$1,365,000,000</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$1,493,000,000</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$1,975,000,000</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3" w:type="dxa"/>
            <w:tcBorders>
              <w:bottom w:val="single" w:sz="2" w:space="0" w:color="AFAFAF"/>
            </w:tcBorders>
            <w:shd w:fill="auto" w:val="clear"/>
            <w:tcMar>
              <w:bottom w:w="40" w:type="dxa"/>
            </w:tcMar>
            <w:vAlign w:val="bottom"/>
          </w:tcPr>
          <w:p>
            <w:pPr>
              <w:pStyle w:val="TableContents"/>
              <w:spacing w:before="0" w:after="283"/>
              <w:jc w:val="center"/>
              <w:rPr/>
            </w:pPr>
            <w:r>
              <w:rPr/>
              <w:t>$1,970,000,000</w:t>
            </w:r>
          </w:p>
        </w:tc>
        <w:tc>
          <w:tcPr>
            <w:tcW w:w="79" w:type="dxa"/>
            <w:tcBorders>
              <w:bottom w:val="single" w:sz="2" w:space="0" w:color="AFAFAF"/>
            </w:tcBorders>
            <w:shd w:fill="auto" w:val="clear"/>
            <w:tcMar>
              <w:bottom w:w="28" w:type="dxa"/>
            </w:tcMar>
            <w:vAlign w:val="bottom"/>
          </w:tcPr>
          <w:p>
            <w:pPr>
              <w:pStyle w:val="TableContents"/>
              <w:spacing w:before="0" w:after="283"/>
              <w:rPr/>
            </w:pPr>
            <w:r>
              <w:rPr/>
              <w:t> </w:t>
            </w:r>
          </w:p>
        </w:tc>
        <w:tc>
          <w:tcPr>
            <w:tcW w:w="1525" w:type="dxa"/>
            <w:tcBorders>
              <w:bottom w:val="single" w:sz="2" w:space="0" w:color="AFAFAF"/>
            </w:tcBorders>
            <w:shd w:fill="auto" w:val="clear"/>
            <w:tcMar>
              <w:bottom w:w="40" w:type="dxa"/>
            </w:tcMar>
            <w:vAlign w:val="bottom"/>
          </w:tcPr>
          <w:p>
            <w:pPr>
              <w:pStyle w:val="TableContents"/>
              <w:spacing w:before="0" w:after="283"/>
              <w:jc w:val="center"/>
              <w:rPr/>
            </w:pPr>
            <w:r>
              <w:rPr/>
              <w:t>$2,329,000,000</w:t>
            </w:r>
          </w:p>
        </w:tc>
      </w:tr>
      <w:tr>
        <w:trPr>
          <w:trHeight w:val="60" w:hRule="atLeast"/>
        </w:trPr>
        <w:tc>
          <w:tcPr>
            <w:tcW w:w="2212" w:type="dxa"/>
            <w:tcBorders/>
            <w:shd w:fill="auto" w:val="clear"/>
            <w:vAlign w:val="center"/>
          </w:tcPr>
          <w:p>
            <w:pPr>
              <w:pStyle w:val="TableContents"/>
              <w:spacing w:before="0" w:after="283"/>
              <w:rPr>
                <w:sz w:val="4"/>
                <w:szCs w:val="4"/>
              </w:rPr>
            </w:pPr>
            <w:r>
              <w:rPr>
                <w:sz w:val="4"/>
                <w:szCs w:val="4"/>
              </w:rPr>
            </w:r>
          </w:p>
        </w:tc>
        <w:tc>
          <w:tcPr>
            <w:tcW w:w="1583"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2" w:type="dxa"/>
            <w:gridSpan w:val="2"/>
            <w:tcBorders/>
            <w:shd w:fill="auto" w:val="clear"/>
            <w:vAlign w:val="center"/>
          </w:tcPr>
          <w:p>
            <w:pPr>
              <w:pStyle w:val="TableContents"/>
              <w:spacing w:before="0" w:after="283"/>
              <w:rPr>
                <w:sz w:val="4"/>
                <w:szCs w:val="4"/>
              </w:rPr>
            </w:pPr>
            <w:r>
              <w:rPr>
                <w:sz w:val="4"/>
                <w:szCs w:val="4"/>
              </w:rPr>
            </w:r>
          </w:p>
        </w:tc>
        <w:tc>
          <w:tcPr>
            <w:tcW w:w="1604" w:type="dxa"/>
            <w:gridSpan w:val="2"/>
            <w:tcBorders/>
            <w:shd w:fill="auto" w:val="clear"/>
            <w:vAlign w:val="center"/>
          </w:tcPr>
          <w:p>
            <w:pPr>
              <w:pStyle w:val="TableContents"/>
              <w:spacing w:before="0" w:after="283"/>
              <w:rPr>
                <w:sz w:val="4"/>
                <w:szCs w:val="4"/>
              </w:rPr>
            </w:pPr>
            <w:r>
              <w:rPr>
                <w:sz w:val="4"/>
                <w:szCs w:val="4"/>
              </w:rPr>
            </w:r>
          </w:p>
        </w:tc>
      </w:tr>
      <w:tr>
        <w:trPr/>
        <w:tc>
          <w:tcPr>
            <w:tcW w:w="2212" w:type="dxa"/>
            <w:tcBorders>
              <w:bottom w:val="single" w:sz="8" w:space="0" w:color="B94831"/>
            </w:tcBorders>
            <w:shd w:fill="auto" w:val="clear"/>
            <w:tcMar>
              <w:bottom w:w="40" w:type="dxa"/>
            </w:tcMar>
          </w:tcPr>
          <w:p>
            <w:pPr>
              <w:pStyle w:val="TableContents"/>
              <w:spacing w:before="0" w:after="0"/>
              <w:rPr>
                <w:rFonts w:ascii="Arial" w:hAnsi="Arial"/>
                <w:b/>
                <w:sz w:val="16"/>
              </w:rPr>
            </w:pPr>
            <w:r>
              <w:rPr>
                <w:rFonts w:ascii="Arial" w:hAnsi="Arial"/>
                <w:b/>
                <w:sz w:val="16"/>
              </w:rPr>
              <w:t>Cost of management ratio</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523" w:type="dxa"/>
            <w:tcBorders>
              <w:bottom w:val="single" w:sz="8" w:space="0" w:color="B94831"/>
            </w:tcBorders>
            <w:shd w:fill="auto" w:val="clear"/>
            <w:tcMar>
              <w:bottom w:w="40" w:type="dxa"/>
            </w:tcMar>
            <w:vAlign w:val="bottom"/>
          </w:tcPr>
          <w:p>
            <w:pPr>
              <w:pStyle w:val="TableContents"/>
              <w:spacing w:before="0" w:after="283"/>
              <w:jc w:val="center"/>
              <w:rPr/>
            </w:pPr>
            <w:r>
              <w:rPr/>
              <w:t>2.86%</w:t>
            </w:r>
          </w:p>
        </w:tc>
        <w:tc>
          <w:tcPr>
            <w:tcW w:w="79" w:type="dxa"/>
            <w:tcBorders>
              <w:bottom w:val="single" w:sz="8" w:space="0" w:color="B94831"/>
            </w:tcBorders>
            <w:shd w:fill="auto" w:val="clear"/>
            <w:tcMar>
              <w:bottom w:w="28" w:type="dxa"/>
            </w:tcMar>
            <w:vAlign w:val="bottom"/>
          </w:tcPr>
          <w:p>
            <w:pPr>
              <w:pStyle w:val="TableContents"/>
              <w:spacing w:before="0" w:after="283"/>
              <w:rPr/>
            </w:pPr>
            <w:r>
              <w:rPr/>
              <w:t> </w:t>
            </w:r>
          </w:p>
        </w:tc>
        <w:tc>
          <w:tcPr>
            <w:tcW w:w="1523" w:type="dxa"/>
            <w:tcBorders>
              <w:bottom w:val="single" w:sz="8" w:space="0" w:color="B94831"/>
            </w:tcBorders>
            <w:shd w:fill="auto" w:val="clear"/>
            <w:tcMar>
              <w:bottom w:w="40" w:type="dxa"/>
            </w:tcMar>
            <w:vAlign w:val="bottom"/>
          </w:tcPr>
          <w:p>
            <w:pPr>
              <w:pStyle w:val="TableContents"/>
              <w:spacing w:before="0" w:after="283"/>
              <w:jc w:val="center"/>
              <w:rPr/>
            </w:pPr>
            <w:r>
              <w:rPr/>
              <w:t>1.90%</w:t>
            </w:r>
          </w:p>
        </w:tc>
        <w:tc>
          <w:tcPr>
            <w:tcW w:w="79" w:type="dxa"/>
            <w:tcBorders>
              <w:bottom w:val="single" w:sz="8" w:space="0" w:color="B94831"/>
            </w:tcBorders>
            <w:shd w:fill="auto" w:val="clear"/>
            <w:tcMar>
              <w:bottom w:w="28" w:type="dxa"/>
            </w:tcMar>
            <w:vAlign w:val="bottom"/>
          </w:tcPr>
          <w:p>
            <w:pPr>
              <w:pStyle w:val="TableContents"/>
              <w:spacing w:before="0" w:after="283"/>
              <w:rPr/>
            </w:pPr>
            <w:r>
              <w:rPr/>
              <w:t> </w:t>
            </w:r>
          </w:p>
        </w:tc>
        <w:tc>
          <w:tcPr>
            <w:tcW w:w="1523" w:type="dxa"/>
            <w:tcBorders>
              <w:bottom w:val="single" w:sz="8" w:space="0" w:color="B94831"/>
            </w:tcBorders>
            <w:shd w:fill="auto" w:val="clear"/>
            <w:tcMar>
              <w:bottom w:w="40" w:type="dxa"/>
            </w:tcMar>
            <w:vAlign w:val="bottom"/>
          </w:tcPr>
          <w:p>
            <w:pPr>
              <w:pStyle w:val="TableContents"/>
              <w:spacing w:before="0" w:after="283"/>
              <w:jc w:val="center"/>
              <w:rPr/>
            </w:pPr>
            <w:r>
              <w:rPr/>
              <w:t>1.22%</w:t>
            </w:r>
          </w:p>
        </w:tc>
        <w:tc>
          <w:tcPr>
            <w:tcW w:w="79" w:type="dxa"/>
            <w:tcBorders>
              <w:bottom w:val="single" w:sz="8" w:space="0" w:color="B94831"/>
            </w:tcBorders>
            <w:shd w:fill="auto" w:val="clear"/>
            <w:tcMar>
              <w:bottom w:w="28" w:type="dxa"/>
            </w:tcMar>
            <w:vAlign w:val="bottom"/>
          </w:tcPr>
          <w:p>
            <w:pPr>
              <w:pStyle w:val="TableContents"/>
              <w:spacing w:before="0" w:after="283"/>
              <w:rPr/>
            </w:pPr>
            <w:r>
              <w:rPr/>
              <w:t> </w:t>
            </w:r>
          </w:p>
        </w:tc>
        <w:tc>
          <w:tcPr>
            <w:tcW w:w="1523" w:type="dxa"/>
            <w:tcBorders>
              <w:bottom w:val="single" w:sz="8" w:space="0" w:color="B94831"/>
            </w:tcBorders>
            <w:shd w:fill="auto" w:val="clear"/>
            <w:tcMar>
              <w:bottom w:w="40" w:type="dxa"/>
            </w:tcMar>
            <w:vAlign w:val="bottom"/>
          </w:tcPr>
          <w:p>
            <w:pPr>
              <w:pStyle w:val="TableContents"/>
              <w:spacing w:before="0" w:after="283"/>
              <w:jc w:val="center"/>
              <w:rPr/>
            </w:pPr>
            <w:r>
              <w:rPr/>
              <w:t>1.44%</w:t>
            </w:r>
          </w:p>
        </w:tc>
        <w:tc>
          <w:tcPr>
            <w:tcW w:w="79" w:type="dxa"/>
            <w:tcBorders>
              <w:bottom w:val="single" w:sz="8" w:space="0" w:color="B94831"/>
            </w:tcBorders>
            <w:shd w:fill="auto" w:val="clear"/>
            <w:tcMar>
              <w:bottom w:w="28" w:type="dxa"/>
            </w:tcMar>
            <w:vAlign w:val="bottom"/>
          </w:tcPr>
          <w:p>
            <w:pPr>
              <w:pStyle w:val="TableContents"/>
              <w:spacing w:before="0" w:after="283"/>
              <w:rPr/>
            </w:pPr>
            <w:r>
              <w:rPr/>
              <w:t> </w:t>
            </w:r>
          </w:p>
        </w:tc>
        <w:tc>
          <w:tcPr>
            <w:tcW w:w="1525" w:type="dxa"/>
            <w:tcBorders>
              <w:bottom w:val="single" w:sz="8" w:space="0" w:color="B94831"/>
            </w:tcBorders>
            <w:shd w:fill="auto" w:val="clear"/>
            <w:tcMar>
              <w:bottom w:w="40" w:type="dxa"/>
            </w:tcMar>
            <w:vAlign w:val="bottom"/>
          </w:tcPr>
          <w:p>
            <w:pPr>
              <w:pStyle w:val="TableContents"/>
              <w:spacing w:before="0" w:after="283"/>
              <w:jc w:val="center"/>
              <w:rPr/>
            </w:pPr>
            <w:r>
              <w:rPr/>
              <w:t>1.16%</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69" w:name="tx494196_6"/>
      <w:bookmarkStart w:id="70" w:name="tx494196_46"/>
      <w:bookmarkEnd w:id="69"/>
      <w:bookmarkEnd w:id="70"/>
      <w:r>
        <w:rPr>
          <w:rFonts w:ascii="arial" w:hAnsi="arial"/>
          <w:color w:val="B94831"/>
          <w:sz w:val="52"/>
        </w:rPr>
        <w:t xml:space="preserve">Executive Compensation </w:t>
      </w:r>
    </w:p>
    <w:p>
      <w:pPr>
        <w:pStyle w:val="TextBody"/>
        <w:spacing w:before="480" w:after="0"/>
        <w:jc w:val="left"/>
        <w:rPr>
          <w:rFonts w:ascii="Arial" w:hAnsi="Arial"/>
          <w:b/>
          <w:sz w:val="28"/>
        </w:rPr>
      </w:pPr>
      <w:bookmarkStart w:id="71" w:name="tx494196_47"/>
      <w:bookmarkEnd w:id="71"/>
      <w:r>
        <w:rPr>
          <w:rFonts w:ascii="Arial" w:hAnsi="Arial"/>
          <w:b/>
          <w:sz w:val="28"/>
        </w:rPr>
        <w:t xml:space="preserve">Summary Compensation Table </w:t>
      </w:r>
    </w:p>
    <w:p>
      <w:pPr>
        <w:pStyle w:val="TextBody"/>
        <w:spacing w:before="120" w:after="0"/>
        <w:jc w:val="left"/>
        <w:rPr>
          <w:rFonts w:ascii="arial" w:hAnsi="arial"/>
          <w:sz w:val="20"/>
        </w:rPr>
      </w:pPr>
      <w:r>
        <w:rPr>
          <w:rFonts w:ascii="arial" w:hAnsi="arial"/>
          <w:sz w:val="20"/>
        </w:rPr>
        <w:t xml:space="preserve">The table below shows the compensation earned in the last three years by our named executive officers. Total compensation as reflected in the table below includes various items based on grant date fair value of awards as well as accounting and actuarial assumptions, which are not necessarily indicative of compensation realizable by our named executive officers. </w:t>
      </w:r>
    </w:p>
    <w:p>
      <w:pPr>
        <w:pStyle w:val="TextBody"/>
        <w:spacing w:before="0" w:after="0"/>
        <w:jc w:val="left"/>
        <w:rPr/>
      </w:pPr>
      <w:r>
        <w:rPr/>
        <w:t> </w:t>
      </w:r>
    </w:p>
    <w:tbl>
      <w:tblPr>
        <w:tblW w:w="12675" w:type="dxa"/>
        <w:jc w:val="center"/>
        <w:tblInd w:w="0" w:type="dxa"/>
        <w:tblCellMar>
          <w:top w:w="0" w:type="dxa"/>
          <w:left w:w="0" w:type="dxa"/>
          <w:bottom w:w="0" w:type="dxa"/>
          <w:right w:w="0" w:type="dxa"/>
        </w:tblCellMar>
      </w:tblPr>
      <w:tblGrid>
        <w:gridCol w:w="2255"/>
        <w:gridCol w:w="60"/>
        <w:gridCol w:w="74"/>
        <w:gridCol w:w="471"/>
        <w:gridCol w:w="60"/>
        <w:gridCol w:w="60"/>
        <w:gridCol w:w="96"/>
        <w:gridCol w:w="1184"/>
        <w:gridCol w:w="60"/>
        <w:gridCol w:w="60"/>
        <w:gridCol w:w="99"/>
        <w:gridCol w:w="1226"/>
        <w:gridCol w:w="60"/>
        <w:gridCol w:w="60"/>
        <w:gridCol w:w="99"/>
        <w:gridCol w:w="1226"/>
        <w:gridCol w:w="60"/>
        <w:gridCol w:w="60"/>
        <w:gridCol w:w="141"/>
        <w:gridCol w:w="1739"/>
        <w:gridCol w:w="60"/>
        <w:gridCol w:w="60"/>
        <w:gridCol w:w="70"/>
        <w:gridCol w:w="715"/>
        <w:gridCol w:w="60"/>
        <w:gridCol w:w="60"/>
        <w:gridCol w:w="87"/>
        <w:gridCol w:w="1073"/>
        <w:gridCol w:w="60"/>
        <w:gridCol w:w="60"/>
        <w:gridCol w:w="78"/>
        <w:gridCol w:w="1082"/>
        <w:gridCol w:w="60"/>
      </w:tblGrid>
      <w:tr>
        <w:trPr/>
        <w:tc>
          <w:tcPr>
            <w:tcW w:w="2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2255" w:type="dxa"/>
            <w:tcBorders/>
            <w:shd w:fill="auto" w:val="clear"/>
            <w:vAlign w:val="center"/>
          </w:tcPr>
          <w:p>
            <w:pPr>
              <w:pStyle w:val="TableContents"/>
              <w:spacing w:before="0" w:after="283"/>
              <w:rPr>
                <w:sz w:val="4"/>
                <w:szCs w:val="4"/>
              </w:rPr>
            </w:pPr>
            <w:r>
              <w:rPr>
                <w:sz w:val="4"/>
                <w:szCs w:val="4"/>
              </w:rPr>
            </w:r>
          </w:p>
        </w:tc>
        <w:tc>
          <w:tcPr>
            <w:tcW w:w="665"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445" w:type="dxa"/>
            <w:gridSpan w:val="4"/>
            <w:tcBorders/>
            <w:shd w:fill="auto" w:val="clear"/>
            <w:vAlign w:val="center"/>
          </w:tcPr>
          <w:p>
            <w:pPr>
              <w:pStyle w:val="TableContents"/>
              <w:spacing w:before="0" w:after="283"/>
              <w:rPr>
                <w:sz w:val="4"/>
                <w:szCs w:val="4"/>
              </w:rPr>
            </w:pPr>
            <w:r>
              <w:rPr>
                <w:sz w:val="4"/>
                <w:szCs w:val="4"/>
              </w:rPr>
            </w:r>
          </w:p>
        </w:tc>
        <w:tc>
          <w:tcPr>
            <w:tcW w:w="1445" w:type="dxa"/>
            <w:gridSpan w:val="4"/>
            <w:tcBorders/>
            <w:shd w:fill="auto" w:val="clear"/>
            <w:vAlign w:val="center"/>
          </w:tcPr>
          <w:p>
            <w:pPr>
              <w:pStyle w:val="TableContents"/>
              <w:spacing w:before="0" w:after="283"/>
              <w:rPr>
                <w:sz w:val="4"/>
                <w:szCs w:val="4"/>
              </w:rPr>
            </w:pPr>
            <w:r>
              <w:rPr>
                <w:sz w:val="4"/>
                <w:szCs w:val="4"/>
              </w:rPr>
            </w:r>
          </w:p>
        </w:tc>
        <w:tc>
          <w:tcPr>
            <w:tcW w:w="2000" w:type="dxa"/>
            <w:gridSpan w:val="4"/>
            <w:tcBorders>
              <w:right w:val="single" w:sz="2" w:space="0" w:color="FFFFFF"/>
            </w:tcBorders>
            <w:shd w:fill="BFBFBF" w:val="clear"/>
            <w:tcMar>
              <w:right w:w="28" w:type="dxa"/>
            </w:tcMar>
            <w:vAlign w:val="center"/>
          </w:tcPr>
          <w:p>
            <w:pPr>
              <w:pStyle w:val="TableContents"/>
              <w:spacing w:before="0" w:after="283"/>
              <w:rPr/>
            </w:pPr>
            <w:r>
              <w:rPr/>
              <w:t> </w:t>
            </w:r>
          </w:p>
        </w:tc>
        <w:tc>
          <w:tcPr>
            <w:tcW w:w="905" w:type="dxa"/>
            <w:gridSpan w:val="4"/>
            <w:tcBorders>
              <w:left w:val="single" w:sz="2" w:space="0" w:color="FFFFFF"/>
            </w:tcBorders>
            <w:shd w:fill="BFBFBF" w:val="clear"/>
            <w:tcMar>
              <w:left w:w="28" w:type="dxa"/>
            </w:tcMar>
            <w:vAlign w:val="center"/>
          </w:tcPr>
          <w:p>
            <w:pPr>
              <w:pStyle w:val="TableContents"/>
              <w:spacing w:before="0" w:after="283"/>
              <w:rPr/>
            </w:pPr>
            <w:r>
              <w:rPr/>
              <w:t> </w:t>
            </w:r>
          </w:p>
        </w:tc>
        <w:tc>
          <w:tcPr>
            <w:tcW w:w="1280" w:type="dxa"/>
            <w:gridSpan w:val="4"/>
            <w:tcBorders>
              <w:left w:val="single" w:sz="2" w:space="0" w:color="FFFFFF"/>
            </w:tcBorders>
            <w:shd w:fill="BFBFBF" w:val="clear"/>
            <w:tcMar>
              <w:left w:w="28" w:type="dxa"/>
            </w:tcMar>
            <w:vAlign w:val="center"/>
          </w:tcPr>
          <w:p>
            <w:pPr>
              <w:pStyle w:val="TableContents"/>
              <w:spacing w:before="0" w:after="283"/>
              <w:rPr/>
            </w:pPr>
            <w:r>
              <w:rPr/>
              <w:t> </w:t>
            </w:r>
          </w:p>
        </w:tc>
        <w:tc>
          <w:tcPr>
            <w:tcW w:w="1280" w:type="dxa"/>
            <w:gridSpan w:val="4"/>
            <w:tcBorders>
              <w:left w:val="single" w:sz="2" w:space="0" w:color="FFFFFF"/>
            </w:tcBorders>
            <w:shd w:fill="BFBFBF" w:val="clear"/>
            <w:tcMar>
              <w:left w:w="28" w:type="dxa"/>
            </w:tcMar>
            <w:vAlign w:val="center"/>
          </w:tcPr>
          <w:p>
            <w:pPr>
              <w:pStyle w:val="TableContents"/>
              <w:spacing w:before="0" w:after="283"/>
              <w:rPr/>
            </w:pPr>
            <w:r>
              <w:rPr/>
              <w:t> </w:t>
            </w:r>
          </w:p>
        </w:tc>
      </w:tr>
      <w:tr>
        <w:trPr/>
        <w:tc>
          <w:tcPr>
            <w:tcW w:w="2255" w:type="dxa"/>
            <w:tcBorders/>
            <w:shd w:fill="auto" w:val="clear"/>
            <w:vAlign w:val="bottom"/>
          </w:tcPr>
          <w:p>
            <w:pPr>
              <w:pStyle w:val="TableContents"/>
              <w:rPr/>
            </w:pPr>
            <w:r>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545" w:type="dxa"/>
            <w:gridSpan w:val="2"/>
            <w:tcBorders/>
            <w:shd w:fill="auto" w:val="clear"/>
            <w:vAlign w:val="bottom"/>
          </w:tcPr>
          <w:p>
            <w:pPr>
              <w:pStyle w:val="TableContents"/>
              <w:rPr/>
            </w:pPr>
            <w:r>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rPr/>
            </w:pPr>
            <w:r>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rPr/>
            </w:pPr>
            <w:r>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rPr/>
            </w:pPr>
            <w:r>
              <w:rPr/>
              <w:t> </w:t>
            </w:r>
          </w:p>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8" w:space="0" w:color="B94831"/>
            </w:tcBorders>
            <w:shd w:fill="BFBFBF" w:val="clear"/>
            <w:tcMar>
              <w:bottom w:w="28" w:type="dxa"/>
            </w:tcMar>
            <w:vAlign w:val="bottom"/>
          </w:tcPr>
          <w:p>
            <w:pPr>
              <w:pStyle w:val="TableContents"/>
              <w:spacing w:before="0" w:after="283"/>
              <w:rPr/>
            </w:pPr>
            <w:r>
              <w:rPr/>
              <w:t> </w:t>
            </w:r>
          </w:p>
        </w:tc>
        <w:tc>
          <w:tcPr>
            <w:tcW w:w="1880" w:type="dxa"/>
            <w:gridSpan w:val="2"/>
            <w:tcBorders>
              <w:bottom w:val="single" w:sz="8" w:space="0" w:color="B94831"/>
            </w:tcBorders>
            <w:shd w:fill="BFBFBF" w:val="clear"/>
            <w:tcMar>
              <w:bottom w:w="40" w:type="dxa"/>
            </w:tcMar>
            <w:vAlign w:val="bottom"/>
          </w:tcPr>
          <w:p>
            <w:pPr>
              <w:pStyle w:val="TableContents"/>
              <w:spacing w:before="0" w:after="0"/>
              <w:jc w:val="center"/>
              <w:rPr>
                <w:rFonts w:ascii="Arial" w:hAnsi="Arial"/>
                <w:b/>
                <w:sz w:val="16"/>
              </w:rPr>
            </w:pPr>
            <w:r>
              <w:rPr>
                <w:rFonts w:ascii="Arial" w:hAnsi="Arial"/>
                <w:b/>
                <w:sz w:val="16"/>
              </w:rPr>
              <w:t>Non-equity</w:t>
            </w:r>
          </w:p>
          <w:p>
            <w:pPr>
              <w:pStyle w:val="TableContents"/>
              <w:spacing w:before="0" w:after="0"/>
              <w:jc w:val="center"/>
              <w:rPr>
                <w:rFonts w:ascii="Arial" w:hAnsi="Arial"/>
                <w:b/>
                <w:sz w:val="16"/>
              </w:rPr>
            </w:pPr>
            <w:r>
              <w:rPr>
                <w:rFonts w:ascii="Arial" w:hAnsi="Arial"/>
                <w:b/>
                <w:sz w:val="16"/>
              </w:rPr>
              <w:t>incentive plan</w:t>
            </w:r>
          </w:p>
          <w:p>
            <w:pPr>
              <w:pStyle w:val="TableContents"/>
              <w:spacing w:before="0" w:after="0"/>
              <w:jc w:val="center"/>
              <w:rPr>
                <w:rFonts w:ascii="Arial" w:hAnsi="Arial"/>
                <w:b/>
                <w:sz w:val="16"/>
              </w:rPr>
            </w:pPr>
            <w:r>
              <w:rPr>
                <w:rFonts w:ascii="Arial" w:hAnsi="Arial"/>
                <w:b/>
                <w:sz w:val="16"/>
              </w:rPr>
              <w:t>compensation</w:t>
            </w:r>
          </w:p>
          <w:p>
            <w:pPr>
              <w:pStyle w:val="TableContents"/>
              <w:spacing w:before="0" w:after="20"/>
              <w:jc w:val="center"/>
              <w:rPr>
                <w:rFonts w:ascii="Arial" w:hAnsi="Arial"/>
                <w:b/>
                <w:sz w:val="16"/>
              </w:rPr>
            </w:pPr>
            <w:r>
              <w:rPr>
                <w:rFonts w:ascii="Arial" w:hAnsi="Arial"/>
                <w:b/>
                <w:sz w:val="16"/>
              </w:rPr>
              <w:t>($)</w:t>
            </w:r>
          </w:p>
        </w:tc>
        <w:tc>
          <w:tcPr>
            <w:tcW w:w="60" w:type="dxa"/>
            <w:tcBorders>
              <w:bottom w:val="single" w:sz="8" w:space="0" w:color="B94831"/>
              <w:right w:val="single" w:sz="2" w:space="0" w:color="FFFFFF"/>
            </w:tcBorders>
            <w:shd w:fill="BFBFBF" w:val="clear"/>
            <w:tcMar>
              <w:bottom w:w="28" w:type="dxa"/>
              <w:right w:w="28" w:type="dxa"/>
            </w:tcMar>
            <w:vAlign w:val="bottom"/>
          </w:tcPr>
          <w:p>
            <w:pPr>
              <w:pStyle w:val="TableContents"/>
              <w:spacing w:before="0" w:after="283"/>
              <w:rPr/>
            </w:pPr>
            <w:r>
              <w:rPr/>
              <w:t> </w:t>
            </w:r>
          </w:p>
        </w:tc>
        <w:tc>
          <w:tcPr>
            <w:tcW w:w="60" w:type="dxa"/>
            <w:tcBorders>
              <w:left w:val="single" w:sz="2" w:space="0" w:color="FFFFFF"/>
              <w:bottom w:val="single" w:sz="8" w:space="0" w:color="B94831"/>
            </w:tcBorders>
            <w:shd w:fill="BFBFBF" w:val="clear"/>
            <w:tcMar>
              <w:left w:w="28" w:type="dxa"/>
              <w:bottom w:w="28" w:type="dxa"/>
            </w:tcMar>
            <w:vAlign w:val="bottom"/>
          </w:tcPr>
          <w:p>
            <w:pPr>
              <w:pStyle w:val="TableContents"/>
              <w:spacing w:before="0" w:after="283"/>
              <w:rPr/>
            </w:pPr>
            <w:r>
              <w:rPr/>
              <w:t> </w:t>
            </w:r>
          </w:p>
        </w:tc>
        <w:tc>
          <w:tcPr>
            <w:tcW w:w="785" w:type="dxa"/>
            <w:gridSpan w:val="2"/>
            <w:tcBorders>
              <w:bottom w:val="single" w:sz="8" w:space="0" w:color="B94831"/>
            </w:tcBorders>
            <w:shd w:fill="BFBFBF" w:val="clear"/>
            <w:tcMar>
              <w:bottom w:w="40" w:type="dxa"/>
            </w:tcMar>
            <w:vAlign w:val="bottom"/>
          </w:tcPr>
          <w:p>
            <w:pPr>
              <w:pStyle w:val="TableContents"/>
              <w:spacing w:before="0" w:after="0"/>
              <w:jc w:val="center"/>
              <w:rPr>
                <w:rFonts w:ascii="Arial" w:hAnsi="Arial"/>
                <w:b/>
                <w:sz w:val="16"/>
              </w:rPr>
            </w:pPr>
            <w:r>
              <w:rPr>
                <w:rFonts w:ascii="Arial" w:hAnsi="Arial"/>
                <w:b/>
                <w:sz w:val="16"/>
              </w:rPr>
              <w:t>Pension</w:t>
            </w:r>
          </w:p>
          <w:p>
            <w:pPr>
              <w:pStyle w:val="TableContents"/>
              <w:spacing w:before="0" w:after="20"/>
              <w:jc w:val="center"/>
              <w:rPr>
                <w:rFonts w:ascii="Arial" w:hAnsi="Arial"/>
                <w:b/>
                <w:sz w:val="16"/>
              </w:rPr>
            </w:pPr>
            <w:r>
              <w:rPr>
                <w:rFonts w:ascii="Arial" w:hAnsi="Arial"/>
                <w:b/>
                <w:sz w:val="16"/>
              </w:rPr>
              <w:t>value ($)5</w:t>
            </w:r>
          </w:p>
        </w:tc>
        <w:tc>
          <w:tcPr>
            <w:tcW w:w="60" w:type="dxa"/>
            <w:tcBorders>
              <w:bottom w:val="single" w:sz="8" w:space="0" w:color="B94831"/>
            </w:tcBorders>
            <w:shd w:fill="BFBFBF" w:val="clear"/>
            <w:tcMar>
              <w:bottom w:w="28" w:type="dxa"/>
            </w:tcMar>
            <w:vAlign w:val="bottom"/>
          </w:tcPr>
          <w:p>
            <w:pPr>
              <w:pStyle w:val="TableContents"/>
              <w:spacing w:before="0" w:after="283"/>
              <w:rPr/>
            </w:pPr>
            <w:r>
              <w:rPr/>
              <w:t> </w:t>
            </w:r>
          </w:p>
        </w:tc>
        <w:tc>
          <w:tcPr>
            <w:tcW w:w="60" w:type="dxa"/>
            <w:tcBorders>
              <w:left w:val="single" w:sz="2" w:space="0" w:color="FFFFF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160" w:type="dxa"/>
            <w:gridSpan w:val="2"/>
            <w:tcBorders>
              <w:bottom w:val="single" w:sz="8" w:space="0" w:color="B94831"/>
            </w:tcBorders>
            <w:shd w:fill="BFBFBF" w:val="clear"/>
            <w:tcMar>
              <w:bottom w:w="40" w:type="dxa"/>
            </w:tcMar>
            <w:vAlign w:val="bottom"/>
          </w:tcPr>
          <w:p>
            <w:pPr>
              <w:pStyle w:val="TableContents"/>
              <w:spacing w:before="0" w:after="0"/>
              <w:jc w:val="center"/>
              <w:rPr>
                <w:rFonts w:ascii="Arial" w:hAnsi="Arial"/>
                <w:b/>
                <w:sz w:val="16"/>
              </w:rPr>
            </w:pPr>
            <w:r>
              <w:rPr>
                <w:rFonts w:ascii="Arial" w:hAnsi="Arial"/>
                <w:b/>
                <w:sz w:val="16"/>
              </w:rPr>
              <w:t>All other</w:t>
            </w:r>
          </w:p>
          <w:p>
            <w:pPr>
              <w:pStyle w:val="TableContents"/>
              <w:spacing w:before="0" w:after="0"/>
              <w:jc w:val="center"/>
              <w:rPr>
                <w:rFonts w:ascii="Arial" w:hAnsi="Arial"/>
                <w:b/>
                <w:sz w:val="16"/>
              </w:rPr>
            </w:pPr>
            <w:r>
              <w:rPr>
                <w:rFonts w:ascii="Arial" w:hAnsi="Arial"/>
                <w:b/>
                <w:sz w:val="16"/>
              </w:rPr>
              <w:t>compensation</w:t>
            </w:r>
          </w:p>
          <w:p>
            <w:pPr>
              <w:pStyle w:val="TableContents"/>
              <w:spacing w:before="0" w:after="20"/>
              <w:jc w:val="center"/>
              <w:rPr>
                <w:rFonts w:ascii="Arial" w:hAnsi="Arial"/>
                <w:b/>
                <w:sz w:val="16"/>
              </w:rPr>
            </w:pPr>
            <w:r>
              <w:rPr>
                <w:rFonts w:ascii="Arial" w:hAnsi="Arial"/>
                <w:b/>
                <w:sz w:val="16"/>
              </w:rPr>
              <w:t>($)6</w:t>
            </w:r>
          </w:p>
        </w:tc>
        <w:tc>
          <w:tcPr>
            <w:tcW w:w="60" w:type="dxa"/>
            <w:tcBorders>
              <w:bottom w:val="single" w:sz="8" w:space="0" w:color="B94831"/>
            </w:tcBorders>
            <w:shd w:fill="BFBFBF" w:val="clear"/>
            <w:tcMar>
              <w:bottom w:w="28" w:type="dxa"/>
            </w:tcMar>
            <w:vAlign w:val="bottom"/>
          </w:tcPr>
          <w:p>
            <w:pPr>
              <w:pStyle w:val="TableContents"/>
              <w:spacing w:before="0" w:after="283"/>
              <w:rPr/>
            </w:pPr>
            <w:r>
              <w:rPr/>
              <w:t> </w:t>
            </w:r>
          </w:p>
        </w:tc>
        <w:tc>
          <w:tcPr>
            <w:tcW w:w="60" w:type="dxa"/>
            <w:tcBorders>
              <w:left w:val="single" w:sz="2" w:space="0" w:color="FFFFFF"/>
              <w:bottom w:val="single" w:sz="8" w:space="0" w:color="B94831"/>
            </w:tcBorders>
            <w:shd w:fill="BFBFBF" w:val="clear"/>
            <w:tcMar>
              <w:left w:w="28" w:type="dxa"/>
              <w:bottom w:w="28" w:type="dxa"/>
            </w:tcMar>
            <w:vAlign w:val="bottom"/>
          </w:tcPr>
          <w:p>
            <w:pPr>
              <w:pStyle w:val="TableContents"/>
              <w:spacing w:before="0" w:after="283"/>
              <w:rPr/>
            </w:pPr>
            <w:r>
              <w:rPr/>
              <w:t> </w:t>
            </w:r>
          </w:p>
        </w:tc>
        <w:tc>
          <w:tcPr>
            <w:tcW w:w="1160" w:type="dxa"/>
            <w:gridSpan w:val="2"/>
            <w:tcBorders>
              <w:bottom w:val="single" w:sz="8" w:space="0" w:color="B94831"/>
            </w:tcBorders>
            <w:shd w:fill="BFBFBF" w:val="clear"/>
            <w:tcMar>
              <w:bottom w:w="40" w:type="dxa"/>
            </w:tcMar>
            <w:vAlign w:val="bottom"/>
          </w:tcPr>
          <w:p>
            <w:pPr>
              <w:pStyle w:val="TableContents"/>
              <w:spacing w:before="0" w:after="0"/>
              <w:jc w:val="center"/>
              <w:rPr>
                <w:rFonts w:ascii="Arial" w:hAnsi="Arial"/>
                <w:b/>
                <w:sz w:val="16"/>
              </w:rPr>
            </w:pPr>
            <w:r>
              <w:rPr>
                <w:rFonts w:ascii="Arial" w:hAnsi="Arial"/>
                <w:b/>
                <w:sz w:val="16"/>
              </w:rPr>
              <w:t>Total</w:t>
            </w:r>
          </w:p>
          <w:p>
            <w:pPr>
              <w:pStyle w:val="TableContents"/>
              <w:spacing w:before="0" w:after="0"/>
              <w:jc w:val="center"/>
              <w:rPr>
                <w:rFonts w:ascii="Arial" w:hAnsi="Arial"/>
                <w:b/>
                <w:sz w:val="16"/>
              </w:rPr>
            </w:pPr>
            <w:r>
              <w:rPr>
                <w:rFonts w:ascii="Arial" w:hAnsi="Arial"/>
                <w:b/>
                <w:sz w:val="16"/>
              </w:rPr>
              <w:t>compensation</w:t>
            </w:r>
          </w:p>
          <w:p>
            <w:pPr>
              <w:pStyle w:val="TableContents"/>
              <w:spacing w:before="0" w:after="20"/>
              <w:jc w:val="center"/>
              <w:rPr>
                <w:rFonts w:ascii="Arial" w:hAnsi="Arial"/>
                <w:b/>
                <w:sz w:val="16"/>
              </w:rPr>
            </w:pPr>
            <w:r>
              <w:rPr>
                <w:rFonts w:ascii="Arial" w:hAnsi="Arial"/>
                <w:b/>
                <w:sz w:val="16"/>
              </w:rPr>
              <w:t>($)</w:t>
            </w:r>
          </w:p>
        </w:tc>
        <w:tc>
          <w:tcPr>
            <w:tcW w:w="60" w:type="dxa"/>
            <w:tcBorders>
              <w:bottom w:val="single" w:sz="8" w:space="0" w:color="B94831"/>
            </w:tcBorders>
            <w:shd w:fill="BFBFBF" w:val="clear"/>
            <w:tcMar>
              <w:bottom w:w="28" w:type="dxa"/>
            </w:tcMar>
            <w:vAlign w:val="bottom"/>
          </w:tcPr>
          <w:p>
            <w:pPr>
              <w:pStyle w:val="TableContents"/>
              <w:spacing w:before="0" w:after="283"/>
              <w:rPr/>
            </w:pPr>
            <w:r>
              <w:rPr/>
              <w:t> </w:t>
            </w:r>
          </w:p>
        </w:tc>
      </w:tr>
      <w:tr>
        <w:trPr>
          <w:trHeight w:val="30" w:hRule="atLeast"/>
        </w:trPr>
        <w:tc>
          <w:tcPr>
            <w:tcW w:w="2255" w:type="dxa"/>
            <w:tcBorders/>
            <w:shd w:fill="262626" w:val="clear"/>
            <w:vAlign w:val="center"/>
          </w:tcPr>
          <w:p>
            <w:pPr>
              <w:pStyle w:val="TableContents"/>
              <w:spacing w:before="0" w:after="283"/>
              <w:rPr>
                <w:sz w:val="4"/>
                <w:szCs w:val="4"/>
              </w:rPr>
            </w:pPr>
            <w:r>
              <w:rPr>
                <w:sz w:val="4"/>
                <w:szCs w:val="4"/>
              </w:rPr>
            </w:r>
          </w:p>
        </w:tc>
        <w:tc>
          <w:tcPr>
            <w:tcW w:w="66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40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44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44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200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90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28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280"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255"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Name and principal position</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545"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Year</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28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Salary  ($)1</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325"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Share-</w:t>
              <w:br/>
              <w:t>based</w:t>
              <w:br/>
              <w:t>awards ($)2</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325"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Option-</w:t>
              <w:br/>
              <w:t>based</w:t>
              <w:br/>
              <w:t>awards ($)3</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88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Annual</w:t>
              <w:br/>
              <w:t>incentive plans4</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785" w:type="dxa"/>
            <w:gridSpan w:val="2"/>
            <w:tcBorders>
              <w:bottom w:val="single" w:sz="2" w:space="0" w:color="B94831"/>
            </w:tcBorders>
            <w:shd w:fill="262626" w:val="clear"/>
            <w:tcMar>
              <w:bottom w:w="28" w:type="dxa"/>
            </w:tcMar>
            <w:vAlign w:val="bottom"/>
          </w:tcPr>
          <w:p>
            <w:pPr>
              <w:pStyle w:val="TableContents"/>
              <w:rPr/>
            </w:pPr>
            <w:r>
              <w:rPr/>
              <w:t>  </w:t>
            </w:r>
          </w:p>
          <w:p>
            <w:pPr>
              <w:pStyle w:val="TableContents"/>
              <w:spacing w:before="0" w:after="0"/>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160" w:type="dxa"/>
            <w:gridSpan w:val="2"/>
            <w:tcBorders>
              <w:bottom w:val="single" w:sz="2" w:space="0" w:color="B94831"/>
            </w:tcBorders>
            <w:shd w:fill="262626" w:val="clear"/>
            <w:tcMar>
              <w:bottom w:w="28" w:type="dxa"/>
            </w:tcMar>
            <w:vAlign w:val="bottom"/>
          </w:tcPr>
          <w:p>
            <w:pPr>
              <w:pStyle w:val="TableContents"/>
              <w:rPr/>
            </w:pPr>
            <w:r>
              <w:rPr/>
              <w:t>  </w:t>
            </w:r>
          </w:p>
          <w:p>
            <w:pPr>
              <w:pStyle w:val="TableContents"/>
              <w:spacing w:before="0" w:after="0"/>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160" w:type="dxa"/>
            <w:gridSpan w:val="2"/>
            <w:tcBorders>
              <w:bottom w:val="single" w:sz="2" w:space="0" w:color="B94831"/>
            </w:tcBorders>
            <w:shd w:fill="262626" w:val="clear"/>
            <w:tcMar>
              <w:bottom w:w="28" w:type="dxa"/>
            </w:tcMar>
            <w:vAlign w:val="bottom"/>
          </w:tcPr>
          <w:p>
            <w:pPr>
              <w:pStyle w:val="TableContents"/>
              <w:rPr/>
            </w:pPr>
            <w:r>
              <w:rPr/>
              <w:t>  </w:t>
            </w:r>
          </w:p>
          <w:p>
            <w:pPr>
              <w:pStyle w:val="TableContents"/>
              <w:spacing w:before="0" w:after="0"/>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r>
      <w:tr>
        <w:trPr/>
        <w:tc>
          <w:tcPr>
            <w:tcW w:w="2255" w:type="dxa"/>
            <w:vMerge w:val="restart"/>
            <w:tcBorders>
              <w:bottom w:val="single" w:sz="2" w:space="0" w:color="AFAFAF"/>
            </w:tcBorders>
            <w:shd w:fill="auto" w:val="clear"/>
            <w:tcMar>
              <w:bottom w:w="28" w:type="dxa"/>
            </w:tcMar>
          </w:tcPr>
          <w:p>
            <w:pPr>
              <w:pStyle w:val="TableContents"/>
              <w:spacing w:lineRule="atLeast" w:line="240" w:before="0" w:after="0"/>
              <w:rPr>
                <w:rFonts w:ascii="Arial" w:hAnsi="Arial"/>
                <w:b/>
                <w:sz w:val="16"/>
              </w:rPr>
            </w:pPr>
            <w:r>
              <w:rPr>
                <w:rFonts w:ascii="Arial" w:hAnsi="Arial"/>
                <w:b/>
                <w:sz w:val="16"/>
              </w:rPr>
              <w:t>Steve Hasker</w:t>
            </w:r>
          </w:p>
          <w:p>
            <w:pPr>
              <w:pStyle w:val="TableContents"/>
              <w:spacing w:lineRule="atLeast" w:line="240" w:before="0" w:after="0"/>
              <w:rPr>
                <w:rFonts w:ascii="arial" w:hAnsi="arial"/>
                <w:sz w:val="16"/>
              </w:rPr>
            </w:pPr>
            <w:r>
              <w:rPr>
                <w:rFonts w:ascii="arial" w:hAnsi="arial"/>
                <w:sz w:val="16"/>
              </w:rPr>
              <w:t>President and Chief</w:t>
            </w:r>
          </w:p>
          <w:p>
            <w:pPr>
              <w:pStyle w:val="TableContents"/>
              <w:spacing w:lineRule="atLeast" w:line="240" w:before="0" w:after="20"/>
              <w:rPr>
                <w:rFonts w:ascii="arial" w:hAnsi="arial"/>
                <w:sz w:val="16"/>
              </w:rPr>
            </w:pPr>
            <w:r>
              <w:rPr>
                <w:rFonts w:ascii="arial" w:hAnsi="arial"/>
                <w:sz w:val="16"/>
              </w:rPr>
              <w:t>Executive Officer</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2022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1,146,685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4,882,230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1,627,382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2,752,044</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176,060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10,584,401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1,193,042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4,840,571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1,613,528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3,984,760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183,467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11,815,368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947,524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4,743,778</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1,581,254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1,672,639</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2,377,215</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11,322,410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r>
      <w:tr>
        <w:trPr/>
        <w:tc>
          <w:tcPr>
            <w:tcW w:w="2255" w:type="dxa"/>
            <w:vMerge w:val="restart"/>
            <w:tcBorders>
              <w:bottom w:val="single" w:sz="2" w:space="0" w:color="AFAFAF"/>
            </w:tcBorders>
            <w:shd w:fill="auto" w:val="clear"/>
            <w:tcMar>
              <w:bottom w:w="28" w:type="dxa"/>
            </w:tcMar>
          </w:tcPr>
          <w:p>
            <w:pPr>
              <w:pStyle w:val="TableContents"/>
              <w:spacing w:lineRule="atLeast" w:line="240" w:before="0" w:after="0"/>
              <w:rPr>
                <w:rFonts w:ascii="Arial" w:hAnsi="Arial"/>
                <w:b/>
                <w:sz w:val="16"/>
              </w:rPr>
            </w:pPr>
            <w:r>
              <w:rPr>
                <w:rFonts w:ascii="Arial" w:hAnsi="Arial"/>
                <w:b/>
                <w:sz w:val="16"/>
              </w:rPr>
              <w:t>Mike Eastwood</w:t>
            </w:r>
          </w:p>
          <w:p>
            <w:pPr>
              <w:pStyle w:val="TableContents"/>
              <w:spacing w:lineRule="atLeast" w:line="240" w:before="0" w:after="20"/>
              <w:rPr>
                <w:rFonts w:ascii="arial" w:hAnsi="arial"/>
                <w:sz w:val="16"/>
              </w:rPr>
            </w:pPr>
            <w:r>
              <w:rPr>
                <w:rFonts w:ascii="arial" w:hAnsi="arial"/>
                <w:sz w:val="16"/>
              </w:rPr>
              <w:t>Chief Financial Officer</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2022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709,487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1,235,832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411,925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1,064,231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110,316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3,531,791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738,170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1,225,340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408,410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1,540,929</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115,157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4,028,006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655,255</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1,203,814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401,249</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650,150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102,022</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3,012,490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r>
      <w:tr>
        <w:trPr/>
        <w:tc>
          <w:tcPr>
            <w:tcW w:w="2255" w:type="dxa"/>
            <w:vMerge w:val="restart"/>
            <w:tcBorders>
              <w:bottom w:val="single" w:sz="2" w:space="0" w:color="AFAFAF"/>
            </w:tcBorders>
            <w:shd w:fill="auto" w:val="clear"/>
            <w:tcMar>
              <w:bottom w:w="28" w:type="dxa"/>
            </w:tcMar>
          </w:tcPr>
          <w:p>
            <w:pPr>
              <w:pStyle w:val="TableContents"/>
              <w:spacing w:lineRule="atLeast" w:line="240" w:before="0" w:after="0"/>
              <w:rPr>
                <w:rFonts w:ascii="Arial" w:hAnsi="Arial"/>
                <w:b/>
                <w:sz w:val="16"/>
              </w:rPr>
            </w:pPr>
            <w:r>
              <w:rPr>
                <w:rFonts w:ascii="Arial" w:hAnsi="Arial"/>
                <w:b/>
                <w:sz w:val="16"/>
              </w:rPr>
              <w:t>Brian Peccarelli</w:t>
            </w:r>
          </w:p>
          <w:p>
            <w:pPr>
              <w:pStyle w:val="TableContents"/>
              <w:spacing w:lineRule="atLeast" w:line="240" w:before="0" w:after="0"/>
              <w:rPr>
                <w:rFonts w:ascii="arial" w:hAnsi="arial"/>
                <w:sz w:val="16"/>
              </w:rPr>
            </w:pPr>
            <w:r>
              <w:rPr>
                <w:rFonts w:ascii="arial" w:hAnsi="arial"/>
                <w:sz w:val="16"/>
              </w:rPr>
              <w:t>Former Chief Operating Officer,</w:t>
            </w:r>
          </w:p>
          <w:p>
            <w:pPr>
              <w:pStyle w:val="TableContents"/>
              <w:spacing w:lineRule="atLeast" w:line="240" w:before="0" w:after="20"/>
              <w:rPr>
                <w:rFonts w:ascii="arial" w:hAnsi="arial"/>
                <w:sz w:val="16"/>
              </w:rPr>
            </w:pPr>
            <w:r>
              <w:rPr>
                <w:rFonts w:ascii="arial" w:hAnsi="arial"/>
                <w:sz w:val="16"/>
              </w:rPr>
              <w:t>Customer Markets; Former President,</w:t>
              <w:br/>
              <w:t>Corporates</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2022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750,000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1,125,060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375,007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1,575,000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49,000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38,931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3,912,998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750,000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1,125,094</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375,005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2,191,875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52,000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36,731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4,530,705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750,000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1,125,044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375,002</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1,036,875</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16,000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34,211</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3,337,132</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r>
      <w:tr>
        <w:trPr/>
        <w:tc>
          <w:tcPr>
            <w:tcW w:w="2255" w:type="dxa"/>
            <w:vMerge w:val="restart"/>
            <w:tcBorders>
              <w:bottom w:val="single" w:sz="2" w:space="0" w:color="AFAFAF"/>
            </w:tcBorders>
            <w:shd w:fill="auto" w:val="clear"/>
            <w:tcMar>
              <w:bottom w:w="28" w:type="dxa"/>
            </w:tcMar>
          </w:tcPr>
          <w:p>
            <w:pPr>
              <w:pStyle w:val="TableContents"/>
              <w:spacing w:lineRule="atLeast" w:line="240" w:before="0" w:after="0"/>
              <w:rPr>
                <w:rFonts w:ascii="Arial" w:hAnsi="Arial"/>
                <w:b/>
                <w:sz w:val="16"/>
              </w:rPr>
            </w:pPr>
            <w:r>
              <w:rPr>
                <w:rFonts w:ascii="Arial" w:hAnsi="Arial"/>
                <w:b/>
                <w:sz w:val="16"/>
              </w:rPr>
              <w:t>Kirsty Roth</w:t>
            </w:r>
          </w:p>
          <w:p>
            <w:pPr>
              <w:pStyle w:val="TableContents"/>
              <w:spacing w:lineRule="atLeast" w:line="240" w:before="0" w:after="20"/>
              <w:rPr>
                <w:rFonts w:ascii="arial" w:hAnsi="arial"/>
                <w:sz w:val="16"/>
              </w:rPr>
            </w:pPr>
            <w:r>
              <w:rPr>
                <w:rFonts w:ascii="arial" w:hAnsi="arial"/>
                <w:sz w:val="16"/>
              </w:rPr>
              <w:t>Chief Operations and Technology Officer</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2022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716,038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1,389,138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463,028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1,074,056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149,799</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6,037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3,798,096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738,054</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1,288,704</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429,536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1,540,687</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237,614</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7,850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4,242,445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AFAFAF"/>
            </w:tcBorders>
            <w:shd w:fill="auto" w:val="clear"/>
            <w:tcMar>
              <w:bottom w:w="28" w:type="dxa"/>
            </w:tcMar>
          </w:tcPr>
          <w:p>
            <w:pPr>
              <w:pStyle w:val="Normal"/>
              <w:rPr/>
            </w:pPr>
            <w:r>
              <w:rPr/>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260,957</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750,032</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753,061</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85,024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AFAFAF"/>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1,849,074</w:t>
            </w:r>
          </w:p>
        </w:tc>
        <w:tc>
          <w:tcPr>
            <w:tcW w:w="60" w:type="dxa"/>
            <w:tcBorders>
              <w:bottom w:val="single" w:sz="2" w:space="0" w:color="AFAFAF"/>
            </w:tcBorders>
            <w:shd w:fill="auto" w:val="clear"/>
            <w:tcMar>
              <w:bottom w:w="28" w:type="dxa"/>
            </w:tcMar>
            <w:vAlign w:val="bottom"/>
          </w:tcPr>
          <w:p>
            <w:pPr>
              <w:pStyle w:val="TableContents"/>
              <w:spacing w:lineRule="atLeast" w:line="280" w:before="0" w:after="0"/>
              <w:rPr/>
            </w:pPr>
            <w:r>
              <w:rPr/>
              <w:t> </w:t>
            </w:r>
          </w:p>
        </w:tc>
      </w:tr>
      <w:tr>
        <w:trPr/>
        <w:tc>
          <w:tcPr>
            <w:tcW w:w="2255" w:type="dxa"/>
            <w:vMerge w:val="restart"/>
            <w:tcBorders>
              <w:bottom w:val="single" w:sz="2" w:space="0" w:color="B94831"/>
            </w:tcBorders>
            <w:shd w:fill="auto" w:val="clear"/>
            <w:tcMar>
              <w:bottom w:w="28" w:type="dxa"/>
            </w:tcMar>
          </w:tcPr>
          <w:p>
            <w:pPr>
              <w:pStyle w:val="TableContents"/>
              <w:spacing w:lineRule="atLeast" w:line="240" w:before="0" w:after="0"/>
              <w:rPr>
                <w:rFonts w:ascii="Arial" w:hAnsi="Arial"/>
                <w:b/>
                <w:sz w:val="16"/>
              </w:rPr>
            </w:pPr>
            <w:r>
              <w:rPr>
                <w:rFonts w:ascii="Arial" w:hAnsi="Arial"/>
                <w:b/>
                <w:sz w:val="16"/>
              </w:rPr>
              <w:t>David Wong</w:t>
            </w:r>
          </w:p>
          <w:p>
            <w:pPr>
              <w:pStyle w:val="TableContents"/>
              <w:spacing w:lineRule="atLeast" w:line="240" w:before="0" w:after="20"/>
              <w:rPr>
                <w:rFonts w:ascii="arial" w:hAnsi="arial"/>
                <w:sz w:val="16"/>
              </w:rPr>
            </w:pPr>
            <w:r>
              <w:rPr>
                <w:rFonts w:ascii="arial" w:hAnsi="arial"/>
                <w:sz w:val="16"/>
              </w:rPr>
              <w:t>Chief Product Officer</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2022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607,475</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1,058,148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352,696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911,212</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100,780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b/>
                <w:sz w:val="16"/>
              </w:rPr>
            </w:pPr>
            <w:r>
              <w:rPr>
                <w:rFonts w:ascii="Arial" w:hAnsi="Arial"/>
                <w:b/>
                <w:sz w:val="16"/>
              </w:rPr>
              <w:t>3,030,311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B94831"/>
            </w:tcBorders>
            <w:shd w:fill="auto" w:val="clear"/>
            <w:tcMar>
              <w:bottom w:w="28" w:type="dxa"/>
            </w:tcMar>
          </w:tcPr>
          <w:p>
            <w:pPr>
              <w:pStyle w:val="Normal"/>
              <w:rPr/>
            </w:pPr>
            <w:r>
              <w:rPr/>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2021</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632,033</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1,049,110</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349,696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1,319,369</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111,098</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000000"/>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000000"/>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3,461,306</w:t>
            </w:r>
          </w:p>
        </w:tc>
        <w:tc>
          <w:tcPr>
            <w:tcW w:w="60" w:type="dxa"/>
            <w:tcBorders>
              <w:bottom w:val="single" w:sz="2" w:space="0" w:color="000000"/>
            </w:tcBorders>
            <w:shd w:fill="auto" w:val="clear"/>
            <w:tcMar>
              <w:bottom w:w="28" w:type="dxa"/>
            </w:tcMar>
            <w:vAlign w:val="bottom"/>
          </w:tcPr>
          <w:p>
            <w:pPr>
              <w:pStyle w:val="TableContents"/>
              <w:spacing w:lineRule="atLeast" w:line="280" w:before="0" w:after="0"/>
              <w:rPr/>
            </w:pPr>
            <w:r>
              <w:rPr/>
              <w:t> </w:t>
            </w:r>
          </w:p>
        </w:tc>
      </w:tr>
      <w:tr>
        <w:trPr/>
        <w:tc>
          <w:tcPr>
            <w:tcW w:w="2255" w:type="dxa"/>
            <w:vMerge w:val="continue"/>
            <w:tcBorders>
              <w:bottom w:val="single" w:sz="2" w:space="0" w:color="B94831"/>
            </w:tcBorders>
            <w:shd w:fill="auto" w:val="clear"/>
            <w:tcMar>
              <w:bottom w:w="28" w:type="dxa"/>
            </w:tcMar>
          </w:tcPr>
          <w:p>
            <w:pPr>
              <w:pStyle w:val="Normal"/>
              <w:rPr/>
            </w:pPr>
            <w:r>
              <w:rPr/>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471"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2020</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96"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184"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304,918</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2,700,037</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99"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226"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141"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739"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562,500</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715"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87"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073"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35,321</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60" w:type="dxa"/>
            <w:tcBorders>
              <w:left w:val="single" w:sz="2" w:space="0" w:color="AFAFAF"/>
              <w:bottom w:val="single" w:sz="2" w:space="0" w:color="B94831"/>
            </w:tcBorders>
            <w:shd w:fill="auto" w:val="clear"/>
            <w:tcMar>
              <w:left w:w="28" w:type="dxa"/>
              <w:bottom w:w="28" w:type="dxa"/>
            </w:tcMar>
            <w:vAlign w:val="bottom"/>
          </w:tcPr>
          <w:p>
            <w:pPr>
              <w:pStyle w:val="TableContents"/>
              <w:spacing w:before="0" w:after="283"/>
              <w:rPr/>
            </w:pPr>
            <w:r>
              <w:rPr/>
              <w:t> </w:t>
            </w:r>
          </w:p>
        </w:tc>
        <w:tc>
          <w:tcPr>
            <w:tcW w:w="78"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c>
          <w:tcPr>
            <w:tcW w:w="1082" w:type="dxa"/>
            <w:tcBorders>
              <w:bottom w:val="single" w:sz="2" w:space="0" w:color="B94831"/>
            </w:tcBorders>
            <w:shd w:fill="auto" w:val="clear"/>
            <w:tcMar>
              <w:bottom w:w="28" w:type="dxa"/>
            </w:tcMar>
            <w:vAlign w:val="bottom"/>
          </w:tcPr>
          <w:p>
            <w:pPr>
              <w:pStyle w:val="TableContents"/>
              <w:spacing w:lineRule="atLeast" w:line="280" w:before="0" w:after="0"/>
              <w:jc w:val="right"/>
              <w:rPr>
                <w:rFonts w:ascii="arial" w:hAnsi="arial"/>
                <w:sz w:val="16"/>
              </w:rPr>
            </w:pPr>
            <w:r>
              <w:rPr>
                <w:rFonts w:ascii="arial" w:hAnsi="arial"/>
                <w:sz w:val="16"/>
              </w:rPr>
              <w:t>3,602,776</w:t>
            </w:r>
          </w:p>
        </w:tc>
        <w:tc>
          <w:tcPr>
            <w:tcW w:w="60" w:type="dxa"/>
            <w:tcBorders>
              <w:bottom w:val="single" w:sz="2" w:space="0" w:color="B94831"/>
            </w:tcBorders>
            <w:shd w:fill="auto" w:val="clear"/>
            <w:tcMar>
              <w:bottom w:w="28" w:type="dxa"/>
            </w:tcMar>
            <w:vAlign w:val="bottom"/>
          </w:tcPr>
          <w:p>
            <w:pPr>
              <w:pStyle w:val="TableContents"/>
              <w:spacing w:lineRule="atLeast" w:line="280"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1</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Steve Haskers, Mike Eastwoods and David Wongs 2022, 2021 and 2020 compensation was paid in Canadian dollars and amounts in the table have been translated to U.S. dollars. Kirsty Roths 2022, 2021 and 2020 compensation was paid in Swiss francs and amounts in the table have been translated to U.S. dollars. 2020 base salary information for Steve Hasker, Kirsty Roth and David Wong reflect amounts earned from their respective start dates at our company through year-end.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2</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Share-based awards reflect the grant date fair value of RSUs granted as long-term incentive awards in 2022, 2021 and 2020. No special or one-time/off-cycle share-based awards were granted to our named executive officers in 2022. The grant date fair value of all 2022, 2021 and 2020 awards were based on the closing price of our common shares on the NYSE on the date prior to the grant date. PRSUs are valued assuming target performance. Additional information about our long-term incentive awards and special RSU grants is provided in the Compensation Discussion and Analysis section of this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r>
              <w:rPr/>
              <w:t>3</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For options granted in 2022, 2021 and 2020, we calculated the grant date fair value based on the closing common share price on the date prior to the grant date and used a Black-Scholes valuation of this share price. The grant date fair value of stock options granted in 2022, 2021 and 2020 was essentially the same as the accounting fair value of those stock options. Additional information is provided in note 25 of our 2022 annual consolidated financial statements, which are included in our 2022 annual report. The following table provides additional information about options granted to named executive officers in the last three years.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95"/>
        <w:gridCol w:w="289"/>
        <w:gridCol w:w="143"/>
        <w:gridCol w:w="1711"/>
        <w:gridCol w:w="299"/>
        <w:gridCol w:w="351"/>
        <w:gridCol w:w="63"/>
        <w:gridCol w:w="846"/>
        <w:gridCol w:w="361"/>
        <w:gridCol w:w="351"/>
        <w:gridCol w:w="74"/>
        <w:gridCol w:w="721"/>
        <w:gridCol w:w="501"/>
      </w:tblGrid>
      <w:tr>
        <w:trPr/>
        <w:tc>
          <w:tcPr>
            <w:tcW w:w="449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4495" w:type="dxa"/>
            <w:tcBorders/>
            <w:shd w:fill="262626" w:val="clear"/>
            <w:vAlign w:val="center"/>
          </w:tcPr>
          <w:p>
            <w:pPr>
              <w:pStyle w:val="TableContents"/>
              <w:spacing w:before="0" w:after="283"/>
              <w:rPr>
                <w:sz w:val="4"/>
                <w:szCs w:val="4"/>
              </w:rPr>
            </w:pPr>
            <w:r>
              <w:rPr>
                <w:sz w:val="4"/>
                <w:szCs w:val="4"/>
              </w:rPr>
            </w:r>
          </w:p>
        </w:tc>
        <w:tc>
          <w:tcPr>
            <w:tcW w:w="2442"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621"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647"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4495"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Grant Date</w:t>
            </w:r>
          </w:p>
        </w:tc>
        <w:tc>
          <w:tcPr>
            <w:tcW w:w="28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854"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Grant Date Fair</w:t>
            </w:r>
          </w:p>
          <w:p>
            <w:pPr>
              <w:pStyle w:val="TableContents"/>
              <w:spacing w:before="0" w:after="20"/>
              <w:jc w:val="right"/>
              <w:rPr>
                <w:rFonts w:ascii="Arial" w:hAnsi="Arial"/>
                <w:b/>
                <w:color w:val="FFFFFF"/>
                <w:sz w:val="17"/>
              </w:rPr>
            </w:pPr>
            <w:r>
              <w:rPr>
                <w:rFonts w:ascii="Arial" w:hAnsi="Arial"/>
                <w:b/>
                <w:color w:val="FFFFFF"/>
                <w:sz w:val="17"/>
              </w:rPr>
              <w:t>Value and Accounting</w:t>
              <w:br/>
              <w:t>Fair Value (per option)</w:t>
            </w:r>
          </w:p>
        </w:tc>
        <w:tc>
          <w:tcPr>
            <w:tcW w:w="299" w:type="dxa"/>
            <w:tcBorders>
              <w:bottom w:val="single" w:sz="2" w:space="0" w:color="B94831"/>
            </w:tcBorders>
            <w:shd w:fill="262626" w:val="clear"/>
            <w:tcMar>
              <w:bottom w:w="28" w:type="dxa"/>
            </w:tcMar>
            <w:vAlign w:val="bottom"/>
          </w:tcPr>
          <w:p>
            <w:pPr>
              <w:pStyle w:val="TableContents"/>
              <w:spacing w:before="0" w:after="283"/>
              <w:rPr/>
            </w:pPr>
            <w:r>
              <w:rPr/>
              <w:t> </w:t>
            </w:r>
          </w:p>
        </w:tc>
        <w:tc>
          <w:tcPr>
            <w:tcW w:w="351"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909"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Applicable</w:t>
            </w:r>
          </w:p>
          <w:p>
            <w:pPr>
              <w:pStyle w:val="TableContents"/>
              <w:spacing w:before="0" w:after="20"/>
              <w:jc w:val="right"/>
              <w:rPr>
                <w:rFonts w:ascii="Arial" w:hAnsi="Arial"/>
                <w:b/>
                <w:color w:val="FFFFFF"/>
                <w:sz w:val="17"/>
              </w:rPr>
            </w:pPr>
            <w:r>
              <w:rPr>
                <w:rFonts w:ascii="Arial" w:hAnsi="Arial"/>
                <w:b/>
                <w:color w:val="FFFFFF"/>
                <w:sz w:val="17"/>
              </w:rPr>
              <w:t>Share Price</w:t>
            </w:r>
          </w:p>
        </w:tc>
        <w:tc>
          <w:tcPr>
            <w:tcW w:w="361" w:type="dxa"/>
            <w:tcBorders>
              <w:bottom w:val="single" w:sz="2" w:space="0" w:color="B94831"/>
            </w:tcBorders>
            <w:shd w:fill="262626" w:val="clear"/>
            <w:tcMar>
              <w:bottom w:w="28" w:type="dxa"/>
            </w:tcMar>
            <w:vAlign w:val="bottom"/>
          </w:tcPr>
          <w:p>
            <w:pPr>
              <w:pStyle w:val="TableContents"/>
              <w:spacing w:before="0" w:after="283"/>
              <w:rPr/>
            </w:pPr>
            <w:r>
              <w:rPr/>
              <w:t> </w:t>
            </w:r>
          </w:p>
        </w:tc>
        <w:tc>
          <w:tcPr>
            <w:tcW w:w="351"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795"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Black-</w:t>
              <w:br/>
              <w:t>Scholes</w:t>
            </w:r>
          </w:p>
          <w:p>
            <w:pPr>
              <w:pStyle w:val="TableContents"/>
              <w:spacing w:before="0" w:after="20"/>
              <w:jc w:val="right"/>
              <w:rPr>
                <w:rFonts w:ascii="Arial" w:hAnsi="Arial"/>
                <w:b/>
                <w:color w:val="FFFFFF"/>
                <w:sz w:val="17"/>
              </w:rPr>
            </w:pPr>
            <w:r>
              <w:rPr>
                <w:rFonts w:ascii="Arial" w:hAnsi="Arial"/>
                <w:b/>
                <w:color w:val="FFFFFF"/>
                <w:sz w:val="17"/>
              </w:rPr>
              <w:t>Valuation</w:t>
            </w:r>
          </w:p>
        </w:tc>
        <w:tc>
          <w:tcPr>
            <w:tcW w:w="501" w:type="dxa"/>
            <w:tcBorders>
              <w:bottom w:val="single" w:sz="2" w:space="0" w:color="B94831"/>
            </w:tcBorders>
            <w:shd w:fill="262626" w:val="clear"/>
            <w:tcMar>
              <w:bottom w:w="28" w:type="dxa"/>
            </w:tcMar>
            <w:vAlign w:val="bottom"/>
          </w:tcPr>
          <w:p>
            <w:pPr>
              <w:pStyle w:val="TableContents"/>
              <w:spacing w:before="0" w:after="283"/>
              <w:rPr/>
            </w:pPr>
            <w:r>
              <w:rPr/>
              <w:t> </w:t>
            </w:r>
          </w:p>
        </w:tc>
      </w:tr>
      <w:tr>
        <w:trPr>
          <w:trHeight w:val="60" w:hRule="atLeast"/>
        </w:trPr>
        <w:tc>
          <w:tcPr>
            <w:tcW w:w="4495" w:type="dxa"/>
            <w:tcBorders/>
            <w:shd w:fill="auto" w:val="clear"/>
            <w:vAlign w:val="center"/>
          </w:tcPr>
          <w:p>
            <w:pPr>
              <w:pStyle w:val="TableContents"/>
              <w:spacing w:before="0" w:after="283"/>
              <w:rPr>
                <w:sz w:val="4"/>
                <w:szCs w:val="4"/>
              </w:rPr>
            </w:pPr>
            <w:r>
              <w:rPr>
                <w:sz w:val="4"/>
                <w:szCs w:val="4"/>
              </w:rPr>
            </w:r>
          </w:p>
        </w:tc>
        <w:tc>
          <w:tcPr>
            <w:tcW w:w="2442"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4495" w:type="dxa"/>
            <w:tcBorders>
              <w:bottom w:val="single" w:sz="2" w:space="0" w:color="AFAFAF"/>
            </w:tcBorders>
            <w:shd w:fill="auto" w:val="clear"/>
            <w:tcMar>
              <w:bottom w:w="40" w:type="dxa"/>
            </w:tcMar>
          </w:tcPr>
          <w:p>
            <w:pPr>
              <w:pStyle w:val="TableContents"/>
              <w:spacing w:before="0" w:after="20"/>
              <w:rPr>
                <w:rFonts w:ascii="Arial" w:hAnsi="Arial"/>
                <w:b/>
                <w:sz w:val="16"/>
              </w:rPr>
            </w:pPr>
            <w:r>
              <w:rPr>
                <w:rFonts w:ascii="Arial" w:hAnsi="Arial"/>
                <w:b/>
                <w:sz w:val="16"/>
              </w:rPr>
              <w:t>March 2, 2022</w:t>
            </w:r>
          </w:p>
        </w:tc>
        <w:tc>
          <w:tcPr>
            <w:tcW w:w="28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711" w:type="dxa"/>
            <w:tcBorders>
              <w:bottom w:val="single" w:sz="2" w:space="0" w:color="AFAFAF"/>
            </w:tcBorders>
            <w:shd w:fill="auto" w:val="clear"/>
            <w:tcMar>
              <w:bottom w:w="40" w:type="dxa"/>
            </w:tcMar>
            <w:vAlign w:val="bottom"/>
          </w:tcPr>
          <w:p>
            <w:pPr>
              <w:pStyle w:val="TableContents"/>
              <w:spacing w:before="0" w:after="283"/>
              <w:jc w:val="right"/>
              <w:rPr/>
            </w:pPr>
            <w:r>
              <w:rPr/>
              <w:t>$15.69</w:t>
            </w:r>
          </w:p>
        </w:tc>
        <w:tc>
          <w:tcPr>
            <w:tcW w:w="299" w:type="dxa"/>
            <w:tcBorders>
              <w:bottom w:val="single" w:sz="2" w:space="0" w:color="AFAFAF"/>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3" w:type="dxa"/>
            <w:tcBorders>
              <w:bottom w:val="single" w:sz="2" w:space="0" w:color="AFAFAF"/>
            </w:tcBorders>
            <w:shd w:fill="auto" w:val="clear"/>
            <w:tcMar>
              <w:bottom w:w="40" w:type="dxa"/>
            </w:tcMar>
            <w:vAlign w:val="bottom"/>
          </w:tcPr>
          <w:p>
            <w:pPr>
              <w:pStyle w:val="TableContents"/>
              <w:spacing w:before="0" w:after="283"/>
              <w:rPr/>
            </w:pPr>
            <w:r>
              <w:rPr/>
              <w:t> </w:t>
            </w:r>
          </w:p>
        </w:tc>
        <w:tc>
          <w:tcPr>
            <w:tcW w:w="846" w:type="dxa"/>
            <w:tcBorders>
              <w:bottom w:val="single" w:sz="2" w:space="0" w:color="AFAFAF"/>
            </w:tcBorders>
            <w:shd w:fill="auto" w:val="clear"/>
            <w:tcMar>
              <w:bottom w:w="40" w:type="dxa"/>
            </w:tcMar>
            <w:vAlign w:val="bottom"/>
          </w:tcPr>
          <w:p>
            <w:pPr>
              <w:pStyle w:val="TableContents"/>
              <w:spacing w:before="0" w:after="283"/>
              <w:jc w:val="right"/>
              <w:rPr/>
            </w:pPr>
            <w:r>
              <w:rPr/>
              <w:t>$102.00</w:t>
            </w:r>
          </w:p>
        </w:tc>
        <w:tc>
          <w:tcPr>
            <w:tcW w:w="361" w:type="dxa"/>
            <w:tcBorders>
              <w:bottom w:val="single" w:sz="2" w:space="0" w:color="AFAFAF"/>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40" w:type="dxa"/>
            </w:tcMar>
            <w:vAlign w:val="bottom"/>
          </w:tcPr>
          <w:p>
            <w:pPr>
              <w:pStyle w:val="TableContents"/>
              <w:spacing w:before="0" w:after="283"/>
              <w:rPr/>
            </w:pPr>
            <w:r>
              <w:rPr/>
              <w:t> </w:t>
            </w:r>
          </w:p>
        </w:tc>
        <w:tc>
          <w:tcPr>
            <w:tcW w:w="721" w:type="dxa"/>
            <w:tcBorders>
              <w:bottom w:val="single" w:sz="2" w:space="0" w:color="AFAFAF"/>
            </w:tcBorders>
            <w:shd w:fill="auto" w:val="clear"/>
            <w:tcMar>
              <w:bottom w:w="40" w:type="dxa"/>
            </w:tcMar>
            <w:vAlign w:val="bottom"/>
          </w:tcPr>
          <w:p>
            <w:pPr>
              <w:pStyle w:val="TableContents"/>
              <w:spacing w:before="0" w:after="283"/>
              <w:jc w:val="right"/>
              <w:rPr/>
            </w:pPr>
            <w:r>
              <w:rPr/>
              <w:t>15.38</w:t>
            </w:r>
          </w:p>
        </w:tc>
        <w:tc>
          <w:tcPr>
            <w:tcW w:w="501" w:type="dxa"/>
            <w:tcBorders>
              <w:bottom w:val="single" w:sz="2" w:space="0" w:color="AFAFAF"/>
            </w:tcBorders>
            <w:shd w:fill="auto" w:val="clear"/>
            <w:tcMar>
              <w:bottom w:w="40" w:type="dxa"/>
            </w:tcMar>
            <w:vAlign w:val="bottom"/>
          </w:tcPr>
          <w:p>
            <w:pPr>
              <w:pStyle w:val="TableContents"/>
              <w:spacing w:before="0" w:after="283"/>
              <w:rPr/>
            </w:pPr>
            <w:r>
              <w:rPr/>
              <w:t>%</w:t>
            </w:r>
          </w:p>
        </w:tc>
      </w:tr>
      <w:tr>
        <w:trPr>
          <w:trHeight w:val="60" w:hRule="atLeast"/>
        </w:trPr>
        <w:tc>
          <w:tcPr>
            <w:tcW w:w="4495" w:type="dxa"/>
            <w:tcBorders/>
            <w:shd w:fill="auto" w:val="clear"/>
            <w:vAlign w:val="center"/>
          </w:tcPr>
          <w:p>
            <w:pPr>
              <w:pStyle w:val="TableContents"/>
              <w:spacing w:before="0" w:after="283"/>
              <w:rPr>
                <w:sz w:val="4"/>
                <w:szCs w:val="4"/>
              </w:rPr>
            </w:pPr>
            <w:r>
              <w:rPr>
                <w:sz w:val="4"/>
                <w:szCs w:val="4"/>
              </w:rPr>
            </w:r>
          </w:p>
        </w:tc>
        <w:tc>
          <w:tcPr>
            <w:tcW w:w="2442"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4495"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March 3, 2021</w:t>
            </w:r>
          </w:p>
        </w:tc>
        <w:tc>
          <w:tcPr>
            <w:tcW w:w="28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711" w:type="dxa"/>
            <w:tcBorders>
              <w:bottom w:val="single" w:sz="2" w:space="0" w:color="AFAFAF"/>
            </w:tcBorders>
            <w:shd w:fill="auto" w:val="clear"/>
            <w:tcMar>
              <w:bottom w:w="40" w:type="dxa"/>
            </w:tcMar>
            <w:vAlign w:val="bottom"/>
          </w:tcPr>
          <w:p>
            <w:pPr>
              <w:pStyle w:val="TableContents"/>
              <w:spacing w:before="0" w:after="283"/>
              <w:jc w:val="right"/>
              <w:rPr/>
            </w:pPr>
            <w:r>
              <w:rPr/>
              <w:t>$11.37</w:t>
            </w:r>
          </w:p>
        </w:tc>
        <w:tc>
          <w:tcPr>
            <w:tcW w:w="299" w:type="dxa"/>
            <w:tcBorders>
              <w:bottom w:val="single" w:sz="2" w:space="0" w:color="AFAFAF"/>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3" w:type="dxa"/>
            <w:tcBorders>
              <w:bottom w:val="single" w:sz="2" w:space="0" w:color="AFAFAF"/>
            </w:tcBorders>
            <w:shd w:fill="auto" w:val="clear"/>
            <w:tcMar>
              <w:bottom w:w="40" w:type="dxa"/>
            </w:tcMar>
            <w:vAlign w:val="bottom"/>
          </w:tcPr>
          <w:p>
            <w:pPr>
              <w:pStyle w:val="TableContents"/>
              <w:spacing w:before="0" w:after="283"/>
              <w:rPr/>
            </w:pPr>
            <w:r>
              <w:rPr/>
              <w:t> </w:t>
            </w:r>
          </w:p>
        </w:tc>
        <w:tc>
          <w:tcPr>
            <w:tcW w:w="846"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361" w:type="dxa"/>
            <w:tcBorders>
              <w:bottom w:val="single" w:sz="2" w:space="0" w:color="AFAFAF"/>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40" w:type="dxa"/>
            </w:tcMar>
            <w:vAlign w:val="bottom"/>
          </w:tcPr>
          <w:p>
            <w:pPr>
              <w:pStyle w:val="TableContents"/>
              <w:spacing w:before="0" w:after="283"/>
              <w:rPr/>
            </w:pPr>
            <w:r>
              <w:rPr/>
              <w:t> </w:t>
            </w:r>
          </w:p>
        </w:tc>
        <w:tc>
          <w:tcPr>
            <w:tcW w:w="721" w:type="dxa"/>
            <w:tcBorders>
              <w:bottom w:val="single" w:sz="2" w:space="0" w:color="AFAFAF"/>
            </w:tcBorders>
            <w:shd w:fill="auto" w:val="clear"/>
            <w:tcMar>
              <w:bottom w:w="40" w:type="dxa"/>
            </w:tcMar>
            <w:vAlign w:val="bottom"/>
          </w:tcPr>
          <w:p>
            <w:pPr>
              <w:pStyle w:val="TableContents"/>
              <w:spacing w:before="0" w:after="283"/>
              <w:jc w:val="right"/>
              <w:rPr/>
            </w:pPr>
            <w:r>
              <w:rPr/>
              <w:t>12.79</w:t>
            </w:r>
          </w:p>
        </w:tc>
        <w:tc>
          <w:tcPr>
            <w:tcW w:w="501" w:type="dxa"/>
            <w:tcBorders>
              <w:bottom w:val="single" w:sz="2" w:space="0" w:color="AFAFAF"/>
            </w:tcBorders>
            <w:shd w:fill="auto" w:val="clear"/>
            <w:tcMar>
              <w:bottom w:w="40" w:type="dxa"/>
            </w:tcMar>
            <w:vAlign w:val="bottom"/>
          </w:tcPr>
          <w:p>
            <w:pPr>
              <w:pStyle w:val="TableContents"/>
              <w:spacing w:before="0" w:after="283"/>
              <w:rPr/>
            </w:pPr>
            <w:r>
              <w:rPr/>
              <w:t>%</w:t>
            </w:r>
          </w:p>
        </w:tc>
      </w:tr>
      <w:tr>
        <w:trPr>
          <w:trHeight w:val="60" w:hRule="atLeast"/>
        </w:trPr>
        <w:tc>
          <w:tcPr>
            <w:tcW w:w="4495" w:type="dxa"/>
            <w:tcBorders/>
            <w:shd w:fill="auto" w:val="clear"/>
            <w:vAlign w:val="center"/>
          </w:tcPr>
          <w:p>
            <w:pPr>
              <w:pStyle w:val="TableContents"/>
              <w:spacing w:before="0" w:after="283"/>
              <w:rPr>
                <w:sz w:val="4"/>
                <w:szCs w:val="4"/>
              </w:rPr>
            </w:pPr>
            <w:r>
              <w:rPr>
                <w:sz w:val="4"/>
                <w:szCs w:val="4"/>
              </w:rPr>
            </w:r>
          </w:p>
        </w:tc>
        <w:tc>
          <w:tcPr>
            <w:tcW w:w="2442"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4495" w:type="dxa"/>
            <w:tcBorders>
              <w:bottom w:val="single" w:sz="8" w:space="0" w:color="B94831"/>
            </w:tcBorders>
            <w:shd w:fill="auto" w:val="clear"/>
            <w:tcMar>
              <w:bottom w:w="40" w:type="dxa"/>
            </w:tcMar>
          </w:tcPr>
          <w:p>
            <w:pPr>
              <w:pStyle w:val="TableContents"/>
              <w:spacing w:before="0" w:after="0"/>
              <w:rPr>
                <w:rFonts w:ascii="Arial" w:hAnsi="Arial"/>
                <w:b/>
                <w:sz w:val="16"/>
              </w:rPr>
            </w:pPr>
            <w:r>
              <w:rPr>
                <w:rFonts w:ascii="Arial" w:hAnsi="Arial"/>
                <w:b/>
                <w:sz w:val="16"/>
              </w:rPr>
              <w:t>March 4, 2020</w:t>
            </w:r>
          </w:p>
        </w:tc>
        <w:tc>
          <w:tcPr>
            <w:tcW w:w="28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43" w:type="dxa"/>
            <w:tcBorders>
              <w:bottom w:val="single" w:sz="8" w:space="0" w:color="B94831"/>
            </w:tcBorders>
            <w:shd w:fill="auto" w:val="clear"/>
            <w:tcMar>
              <w:bottom w:w="40" w:type="dxa"/>
            </w:tcMar>
            <w:vAlign w:val="bottom"/>
          </w:tcPr>
          <w:p>
            <w:pPr>
              <w:pStyle w:val="TableContents"/>
              <w:spacing w:before="0" w:after="283"/>
              <w:rPr/>
            </w:pPr>
            <w:r>
              <w:rPr/>
              <w:t> </w:t>
            </w:r>
          </w:p>
        </w:tc>
        <w:tc>
          <w:tcPr>
            <w:tcW w:w="1711" w:type="dxa"/>
            <w:tcBorders>
              <w:bottom w:val="single" w:sz="8" w:space="0" w:color="B94831"/>
            </w:tcBorders>
            <w:shd w:fill="auto" w:val="clear"/>
            <w:tcMar>
              <w:bottom w:w="40" w:type="dxa"/>
            </w:tcMar>
            <w:vAlign w:val="bottom"/>
          </w:tcPr>
          <w:p>
            <w:pPr>
              <w:pStyle w:val="TableContents"/>
              <w:spacing w:before="0" w:after="283"/>
              <w:jc w:val="right"/>
              <w:rPr/>
            </w:pPr>
            <w:r>
              <w:rPr/>
              <w:t>$6.73</w:t>
            </w:r>
          </w:p>
        </w:tc>
        <w:tc>
          <w:tcPr>
            <w:tcW w:w="299" w:type="dxa"/>
            <w:tcBorders>
              <w:bottom w:val="single" w:sz="8" w:space="0" w:color="B94831"/>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3" w:type="dxa"/>
            <w:tcBorders>
              <w:bottom w:val="single" w:sz="8" w:space="0" w:color="B94831"/>
            </w:tcBorders>
            <w:shd w:fill="auto" w:val="clear"/>
            <w:tcMar>
              <w:bottom w:w="40" w:type="dxa"/>
            </w:tcMar>
            <w:vAlign w:val="bottom"/>
          </w:tcPr>
          <w:p>
            <w:pPr>
              <w:pStyle w:val="TableContents"/>
              <w:spacing w:before="0" w:after="283"/>
              <w:rPr/>
            </w:pPr>
            <w:r>
              <w:rPr/>
              <w:t> </w:t>
            </w:r>
          </w:p>
        </w:tc>
        <w:tc>
          <w:tcPr>
            <w:tcW w:w="846" w:type="dxa"/>
            <w:tcBorders>
              <w:bottom w:val="single" w:sz="8" w:space="0" w:color="B94831"/>
            </w:tcBorders>
            <w:shd w:fill="auto" w:val="clear"/>
            <w:tcMar>
              <w:bottom w:w="40" w:type="dxa"/>
            </w:tcMar>
            <w:vAlign w:val="bottom"/>
          </w:tcPr>
          <w:p>
            <w:pPr>
              <w:pStyle w:val="TableContents"/>
              <w:spacing w:before="0" w:after="283"/>
              <w:jc w:val="right"/>
              <w:rPr/>
            </w:pPr>
            <w:r>
              <w:rPr/>
              <w:t>$75.96</w:t>
            </w:r>
          </w:p>
        </w:tc>
        <w:tc>
          <w:tcPr>
            <w:tcW w:w="361" w:type="dxa"/>
            <w:tcBorders>
              <w:bottom w:val="single" w:sz="8" w:space="0" w:color="B94831"/>
            </w:tcBorders>
            <w:shd w:fill="auto" w:val="clear"/>
            <w:tcMar>
              <w:bottom w:w="40" w:type="dxa"/>
            </w:tcMar>
            <w:vAlign w:val="bottom"/>
          </w:tcPr>
          <w:p>
            <w:pPr>
              <w:pStyle w:val="TableContents"/>
              <w:spacing w:before="0" w:after="283"/>
              <w:rPr/>
            </w:pPr>
            <w:r>
              <w:rPr/>
              <w:t> </w:t>
            </w:r>
          </w:p>
        </w:tc>
        <w:tc>
          <w:tcPr>
            <w:tcW w:w="35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4" w:type="dxa"/>
            <w:tcBorders>
              <w:bottom w:val="single" w:sz="8" w:space="0" w:color="B94831"/>
            </w:tcBorders>
            <w:shd w:fill="auto" w:val="clear"/>
            <w:tcMar>
              <w:bottom w:w="40" w:type="dxa"/>
            </w:tcMar>
            <w:vAlign w:val="bottom"/>
          </w:tcPr>
          <w:p>
            <w:pPr>
              <w:pStyle w:val="TableContents"/>
              <w:spacing w:before="0" w:after="283"/>
              <w:rPr/>
            </w:pPr>
            <w:r>
              <w:rPr/>
              <w:t> </w:t>
            </w:r>
          </w:p>
        </w:tc>
        <w:tc>
          <w:tcPr>
            <w:tcW w:w="721" w:type="dxa"/>
            <w:tcBorders>
              <w:bottom w:val="single" w:sz="8" w:space="0" w:color="B94831"/>
            </w:tcBorders>
            <w:shd w:fill="auto" w:val="clear"/>
            <w:tcMar>
              <w:bottom w:w="40" w:type="dxa"/>
            </w:tcMar>
            <w:vAlign w:val="bottom"/>
          </w:tcPr>
          <w:p>
            <w:pPr>
              <w:pStyle w:val="TableContents"/>
              <w:spacing w:before="0" w:after="283"/>
              <w:jc w:val="right"/>
              <w:rPr/>
            </w:pPr>
            <w:r>
              <w:rPr/>
              <w:t>8.86</w:t>
            </w:r>
          </w:p>
        </w:tc>
        <w:tc>
          <w:tcPr>
            <w:tcW w:w="501" w:type="dxa"/>
            <w:tcBorders>
              <w:bottom w:val="single" w:sz="8" w:space="0" w:color="B94831"/>
            </w:tcBorders>
            <w:shd w:fill="auto" w:val="clear"/>
            <w:tcMar>
              <w:bottom w:w="40" w:type="dxa"/>
            </w:tcMar>
            <w:vAlign w:val="bottom"/>
          </w:tcPr>
          <w:p>
            <w:pPr>
              <w:pStyle w:val="TableContents"/>
              <w:spacing w:before="0" w:after="283"/>
              <w:rPr/>
            </w:pPr>
            <w:r>
              <w:rPr/>
              <w:t>%</w:t>
            </w:r>
          </w:p>
        </w:tc>
      </w:tr>
    </w:tbl>
    <w:p>
      <w:pPr>
        <w:pStyle w:val="TextBody"/>
        <w:spacing w:before="120" w:after="0"/>
        <w:jc w:val="left"/>
        <w:rPr>
          <w:rFonts w:ascii="arial" w:hAnsi="arial"/>
          <w:sz w:val="15"/>
        </w:rPr>
      </w:pPr>
      <w:r>
        <w:rPr>
          <w:rFonts w:ascii="arial" w:hAnsi="arial"/>
          <w:sz w:val="15"/>
        </w:rPr>
        <w:t xml:space="preserve">The number of stock options granted to each named executive officer that were outstanding as of December 31, 2022 is set forth in the Incentive Plan Awards subsection that follows later in this circular.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96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4</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Annual cash incentive payouts are with respect to performance during 2022, 2021 and 2020. Payouts were made in the first quarter of 2023, 2022 and 2021, respectively, following certification of the achievement of applicable performance goals. Additional information is provided in the Compensation Discussion and Analysis section of this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r>
              <w:rPr/>
              <w:t>5</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Pension value represents the compensatory portion of the change in the accrued defined benefit pension obligation. Additional information is provided in the Pension and Other Retirement Benefits section of this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6</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All other compensation for 2022 for our named executive officers also includes the following perquisites: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7"/>
        <w:gridCol w:w="235"/>
        <w:gridCol w:w="109"/>
        <w:gridCol w:w="9554"/>
      </w:tblGrid>
      <w:tr>
        <w:trPr/>
        <w:tc>
          <w:tcPr>
            <w:tcW w:w="307"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54" w:type="dxa"/>
            <w:tcBorders/>
            <w:shd w:fill="auto" w:val="clear"/>
          </w:tcPr>
          <w:p>
            <w:pPr>
              <w:pStyle w:val="TableContents"/>
              <w:spacing w:before="0" w:after="0"/>
              <w:jc w:val="left"/>
              <w:rPr>
                <w:rFonts w:ascii="arial" w:hAnsi="arial"/>
                <w:sz w:val="15"/>
              </w:rPr>
            </w:pPr>
            <w:r>
              <w:rPr>
                <w:rFonts w:ascii="arial" w:hAnsi="arial"/>
                <w:sz w:val="15"/>
              </w:rPr>
              <w:t xml:space="preserve">For Steve Hasker, a supplemental retirement plan allocation of $172,003; </w:t>
            </w:r>
          </w:p>
        </w:tc>
      </w:tr>
    </w:tbl>
    <w:tbl>
      <w:tblPr>
        <w:tblW w:w="5000" w:type="pct"/>
        <w:jc w:val="left"/>
        <w:tblInd w:w="0" w:type="dxa"/>
        <w:tblCellMar>
          <w:top w:w="0" w:type="dxa"/>
          <w:left w:w="0" w:type="dxa"/>
          <w:bottom w:w="0" w:type="dxa"/>
          <w:right w:w="0" w:type="dxa"/>
        </w:tblCellMar>
      </w:tblPr>
      <w:tblGrid>
        <w:gridCol w:w="307"/>
        <w:gridCol w:w="235"/>
        <w:gridCol w:w="109"/>
        <w:gridCol w:w="9554"/>
      </w:tblGrid>
      <w:tr>
        <w:trPr/>
        <w:tc>
          <w:tcPr>
            <w:tcW w:w="307"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54" w:type="dxa"/>
            <w:tcBorders/>
            <w:shd w:fill="auto" w:val="clear"/>
          </w:tcPr>
          <w:p>
            <w:pPr>
              <w:pStyle w:val="TableContents"/>
              <w:spacing w:before="0" w:after="0"/>
              <w:jc w:val="left"/>
              <w:rPr>
                <w:rFonts w:ascii="arial" w:hAnsi="arial"/>
                <w:sz w:val="15"/>
              </w:rPr>
            </w:pPr>
            <w:r>
              <w:rPr>
                <w:rFonts w:ascii="arial" w:hAnsi="arial"/>
                <w:sz w:val="15"/>
              </w:rPr>
              <w:t xml:space="preserve">For Mike Eastwood, a supplemental retirement plan allocation of $106,423; </w:t>
            </w:r>
          </w:p>
        </w:tc>
      </w:tr>
    </w:tbl>
    <w:tbl>
      <w:tblPr>
        <w:tblW w:w="5000" w:type="pct"/>
        <w:jc w:val="left"/>
        <w:tblInd w:w="0" w:type="dxa"/>
        <w:tblCellMar>
          <w:top w:w="0" w:type="dxa"/>
          <w:left w:w="0" w:type="dxa"/>
          <w:bottom w:w="0" w:type="dxa"/>
          <w:right w:w="0" w:type="dxa"/>
        </w:tblCellMar>
      </w:tblPr>
      <w:tblGrid>
        <w:gridCol w:w="309"/>
        <w:gridCol w:w="236"/>
        <w:gridCol w:w="109"/>
        <w:gridCol w:w="9551"/>
      </w:tblGrid>
      <w:tr>
        <w:trPr/>
        <w:tc>
          <w:tcPr>
            <w:tcW w:w="309" w:type="dxa"/>
            <w:tcBorders/>
            <w:shd w:fill="auto" w:val="clear"/>
            <w:vAlign w:val="center"/>
          </w:tcPr>
          <w:p>
            <w:pPr>
              <w:pStyle w:val="TableContents"/>
              <w:spacing w:before="0" w:after="283"/>
              <w:rPr/>
            </w:pPr>
            <w:r>
              <w:rPr/>
              <w:t> </w:t>
            </w:r>
          </w:p>
        </w:tc>
        <w:tc>
          <w:tcPr>
            <w:tcW w:w="236"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51" w:type="dxa"/>
            <w:tcBorders/>
            <w:shd w:fill="auto" w:val="clear"/>
          </w:tcPr>
          <w:p>
            <w:pPr>
              <w:pStyle w:val="TableContents"/>
              <w:spacing w:before="0" w:after="0"/>
              <w:jc w:val="left"/>
              <w:rPr>
                <w:rFonts w:ascii="arial" w:hAnsi="arial"/>
                <w:sz w:val="15"/>
              </w:rPr>
            </w:pPr>
            <w:r>
              <w:rPr>
                <w:rFonts w:ascii="arial" w:hAnsi="arial"/>
                <w:sz w:val="15"/>
              </w:rPr>
              <w:t xml:space="preserve">For Brian Peccarelli, financial planning of $25,900; </w:t>
            </w:r>
          </w:p>
        </w:tc>
      </w:tr>
    </w:tbl>
    <w:tbl>
      <w:tblPr>
        <w:tblW w:w="5000" w:type="pct"/>
        <w:jc w:val="left"/>
        <w:tblInd w:w="0" w:type="dxa"/>
        <w:tblCellMar>
          <w:top w:w="0" w:type="dxa"/>
          <w:left w:w="0" w:type="dxa"/>
          <w:bottom w:w="0" w:type="dxa"/>
          <w:right w:w="0" w:type="dxa"/>
        </w:tblCellMar>
      </w:tblPr>
      <w:tblGrid>
        <w:gridCol w:w="309"/>
        <w:gridCol w:w="239"/>
        <w:gridCol w:w="110"/>
        <w:gridCol w:w="9547"/>
      </w:tblGrid>
      <w:tr>
        <w:trPr/>
        <w:tc>
          <w:tcPr>
            <w:tcW w:w="309"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547" w:type="dxa"/>
            <w:tcBorders/>
            <w:shd w:fill="auto" w:val="clear"/>
          </w:tcPr>
          <w:p>
            <w:pPr>
              <w:pStyle w:val="TableContents"/>
              <w:spacing w:before="0" w:after="0"/>
              <w:jc w:val="left"/>
              <w:rPr>
                <w:rFonts w:ascii="arial" w:hAnsi="arial"/>
                <w:sz w:val="15"/>
              </w:rPr>
            </w:pPr>
            <w:r>
              <w:rPr>
                <w:rFonts w:ascii="arial" w:hAnsi="arial"/>
                <w:sz w:val="15"/>
              </w:rPr>
              <w:t xml:space="preserve">For Kirsty Roth, executive physical of $4,091 and financial planning of $1,946; and </w:t>
            </w:r>
          </w:p>
        </w:tc>
      </w:tr>
    </w:tbl>
    <w:tbl>
      <w:tblPr>
        <w:tblW w:w="5000" w:type="pct"/>
        <w:jc w:val="left"/>
        <w:tblInd w:w="0" w:type="dxa"/>
        <w:tblCellMar>
          <w:top w:w="0" w:type="dxa"/>
          <w:left w:w="0" w:type="dxa"/>
          <w:bottom w:w="0" w:type="dxa"/>
          <w:right w:w="0" w:type="dxa"/>
        </w:tblCellMar>
      </w:tblPr>
      <w:tblGrid>
        <w:gridCol w:w="307"/>
        <w:gridCol w:w="235"/>
        <w:gridCol w:w="109"/>
        <w:gridCol w:w="9554"/>
      </w:tblGrid>
      <w:tr>
        <w:trPr/>
        <w:tc>
          <w:tcPr>
            <w:tcW w:w="307"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54" w:type="dxa"/>
            <w:tcBorders/>
            <w:shd w:fill="auto" w:val="clear"/>
          </w:tcPr>
          <w:p>
            <w:pPr>
              <w:pStyle w:val="TableContents"/>
              <w:spacing w:before="0" w:after="0"/>
              <w:jc w:val="left"/>
              <w:rPr>
                <w:rFonts w:ascii="arial" w:hAnsi="arial"/>
                <w:sz w:val="15"/>
              </w:rPr>
            </w:pPr>
            <w:r>
              <w:rPr>
                <w:rFonts w:ascii="arial" w:hAnsi="arial"/>
                <w:sz w:val="15"/>
              </w:rPr>
              <w:t xml:space="preserve">For David Wong, a supplemental retirement plan allocation of $91,121. </w:t>
            </w:r>
          </w:p>
        </w:tc>
      </w:tr>
    </w:tbl>
    <w:p>
      <w:pPr>
        <w:pStyle w:val="TextBody"/>
        <w:spacing w:before="120" w:after="0"/>
        <w:jc w:val="left"/>
        <w:rPr>
          <w:rFonts w:ascii="arial" w:hAnsi="arial"/>
          <w:sz w:val="15"/>
        </w:rPr>
      </w:pPr>
      <w:r>
        <w:rPr>
          <w:rFonts w:ascii="arial" w:hAnsi="arial"/>
          <w:sz w:val="15"/>
        </w:rPr>
        <w:t xml:space="preserve">For additional information regarding the supplemental retirement plan allocations, please see the Pension and Other Retirement Benefits section of this circular.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7</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Brian Peccarellis last day of employment with our company was April 3, 2023. For additional information regarding severance-related amounts and benefits that are payable to Brian, please see the Termination Benefits section of this circular. </w:t>
            </w:r>
          </w:p>
        </w:tc>
      </w:tr>
    </w:tbl>
    <w:p>
      <w:pPr>
        <w:pStyle w:val="TextBody"/>
        <w:spacing w:before="120" w:after="0"/>
        <w:jc w:val="left"/>
        <w:rPr>
          <w:rFonts w:ascii="arial" w:hAnsi="arial"/>
          <w:sz w:val="15"/>
        </w:rPr>
      </w:pPr>
      <w:r>
        <w:rPr>
          <w:rFonts w:ascii="arial" w:hAnsi="arial"/>
          <w:sz w:val="15"/>
        </w:rPr>
        <w:t xml:space="preserve">In 2020, we paid Steve Hasker a sign-on cash bonus of C$2,990,000 in connection with joining our company. The bonus represented a one-time payment to incentivize Steve to join Thomson Reuters and was also in lieu of our company providing him with certain standard relocation benefits. </w:t>
      </w:r>
    </w:p>
    <w:p>
      <w:pPr>
        <w:pStyle w:val="TextBody"/>
        <w:spacing w:before="120" w:after="0"/>
        <w:jc w:val="left"/>
        <w:rPr>
          <w:rFonts w:ascii="arial" w:hAnsi="arial"/>
          <w:sz w:val="15"/>
        </w:rPr>
      </w:pPr>
      <w:r>
        <w:rPr>
          <w:rFonts w:ascii="arial" w:hAnsi="arial"/>
          <w:sz w:val="15"/>
        </w:rPr>
        <w:t xml:space="preserve">The value of DSU and RSU dividend equivalents credited or paid to named executive officers is not included within All other compensation as the right to receive dividends has been factored into the reported grant date fair value of the awards. </w:t>
      </w:r>
    </w:p>
    <w:p>
      <w:pPr>
        <w:pStyle w:val="TextBody"/>
        <w:spacing w:before="120" w:after="0"/>
        <w:jc w:val="left"/>
        <w:rPr>
          <w:rFonts w:ascii="arial" w:hAnsi="arial"/>
          <w:sz w:val="15"/>
        </w:rPr>
      </w:pPr>
      <w:r>
        <w:rPr>
          <w:rFonts w:ascii="arial" w:hAnsi="arial"/>
          <w:sz w:val="15"/>
        </w:rPr>
        <w:t xml:space="preserve">Steve Hasker does not receive additional compensation for serving on our Board of Directors.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72" w:name="tx494196_48"/>
      <w:bookmarkEnd w:id="72"/>
      <w:r>
        <w:rPr>
          <w:rFonts w:ascii="Arial" w:hAnsi="Arial"/>
          <w:b/>
          <w:sz w:val="28"/>
        </w:rPr>
        <w:t xml:space="preserve">Incentive Plan Awards </w:t>
      </w:r>
    </w:p>
    <w:p>
      <w:pPr>
        <w:pStyle w:val="TextBody"/>
        <w:spacing w:before="120" w:after="0"/>
        <w:jc w:val="left"/>
        <w:rPr>
          <w:rFonts w:ascii="arial" w:hAnsi="arial"/>
          <w:color w:val="B94831"/>
          <w:sz w:val="28"/>
        </w:rPr>
      </w:pPr>
      <w:r>
        <w:rPr>
          <w:rFonts w:ascii="arial" w:hAnsi="arial"/>
          <w:color w:val="B94831"/>
          <w:sz w:val="28"/>
        </w:rPr>
        <w:t xml:space="preserve">Outstanding Share-Based Awards and Option-Based Awards </w:t>
      </w:r>
    </w:p>
    <w:p>
      <w:pPr>
        <w:pStyle w:val="TextBody"/>
        <w:spacing w:before="40" w:after="0"/>
        <w:jc w:val="left"/>
        <w:rPr>
          <w:rFonts w:ascii="arial" w:hAnsi="arial"/>
          <w:sz w:val="20"/>
        </w:rPr>
      </w:pPr>
      <w:r>
        <w:rPr>
          <w:rFonts w:ascii="arial" w:hAnsi="arial"/>
          <w:sz w:val="20"/>
        </w:rPr>
        <w:t xml:space="preserve">The following table sets forth certain information regarding outstanding stock option and RSU awards granted to our named executive officers as of December 31, 2022. The value of unexercised in-the-money options is based on the difference between the closing price of our common shares on the NYSE on December 31, 2022 and the exercise price of the applicable option. The market or payout value of share-based awards that have not vested is based on the total of TRSUs and the target amount of PRSUs granted for long-term incentive awards, using the closing price of our common shares on the NYSE on December 31, 2022. PRSU awards may or may not pay out, depending on our companys performance against targets. For more information regarding these awards, please see the Compensation Discussion and Analysis section of this circular. </w:t>
      </w:r>
    </w:p>
    <w:p>
      <w:pPr>
        <w:pStyle w:val="TextBody"/>
        <w:spacing w:before="0" w:after="0"/>
        <w:jc w:val="left"/>
        <w:rPr/>
      </w:pPr>
      <w:r>
        <w:rPr/>
        <w:t> </w:t>
      </w:r>
    </w:p>
    <w:tbl>
      <w:tblPr>
        <w:tblW w:w="13120" w:type="dxa"/>
        <w:jc w:val="center"/>
        <w:tblInd w:w="0" w:type="dxa"/>
        <w:tblCellMar>
          <w:top w:w="0" w:type="dxa"/>
          <w:left w:w="0" w:type="dxa"/>
          <w:bottom w:w="0" w:type="dxa"/>
          <w:right w:w="0" w:type="dxa"/>
        </w:tblCellMar>
      </w:tblPr>
      <w:tblGrid>
        <w:gridCol w:w="815"/>
        <w:gridCol w:w="60"/>
        <w:gridCol w:w="101"/>
        <w:gridCol w:w="1359"/>
        <w:gridCol w:w="60"/>
        <w:gridCol w:w="60"/>
        <w:gridCol w:w="313"/>
        <w:gridCol w:w="1522"/>
        <w:gridCol w:w="60"/>
        <w:gridCol w:w="60"/>
        <w:gridCol w:w="190"/>
        <w:gridCol w:w="1585"/>
        <w:gridCol w:w="60"/>
        <w:gridCol w:w="60"/>
        <w:gridCol w:w="197"/>
        <w:gridCol w:w="1383"/>
        <w:gridCol w:w="60"/>
        <w:gridCol w:w="60"/>
        <w:gridCol w:w="124"/>
        <w:gridCol w:w="1666"/>
        <w:gridCol w:w="60"/>
        <w:gridCol w:w="60"/>
        <w:gridCol w:w="205"/>
        <w:gridCol w:w="1615"/>
        <w:gridCol w:w="60"/>
        <w:gridCol w:w="60"/>
        <w:gridCol w:w="1265"/>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7130" w:type="dxa"/>
            <w:gridSpan w:val="16"/>
            <w:tcBorders>
              <w:left w:val="single" w:sz="2" w:space="0" w:color="FFFFFF"/>
            </w:tcBorders>
            <w:shd w:fill="BFBFBF" w:val="clear"/>
            <w:tcMar>
              <w:left w:w="28" w:type="dxa"/>
            </w:tcMar>
            <w:vAlign w:val="center"/>
          </w:tcPr>
          <w:p>
            <w:pPr>
              <w:pStyle w:val="TableContents"/>
              <w:spacing w:before="0" w:after="283"/>
              <w:rPr/>
            </w:pPr>
            <w:r>
              <w:rPr/>
              <w:t> </w:t>
            </w:r>
          </w:p>
        </w:tc>
        <w:tc>
          <w:tcPr>
            <w:tcW w:w="5175" w:type="dxa"/>
            <w:gridSpan w:val="10"/>
            <w:tcBorders>
              <w:left w:val="single" w:sz="2" w:space="0" w:color="FFFFFF"/>
            </w:tcBorders>
            <w:shd w:fill="BFBFBF" w:val="clear"/>
            <w:tcMar>
              <w:left w:w="28" w:type="dxa"/>
            </w:tcMar>
            <w:vAlign w:val="center"/>
          </w:tcPr>
          <w:p>
            <w:pPr>
              <w:pStyle w:val="TableContents"/>
              <w:spacing w:before="0" w:after="283"/>
              <w:rPr/>
            </w:pPr>
            <w:r>
              <w:rPr/>
              <w:t> </w:t>
            </w:r>
          </w:p>
        </w:tc>
      </w:tr>
      <w:tr>
        <w:trPr/>
        <w:tc>
          <w:tcPr>
            <w:tcW w:w="815" w:type="dxa"/>
            <w:tcBorders/>
            <w:shd w:fill="auto" w:val="clear"/>
            <w:vAlign w:val="bottom"/>
          </w:tcPr>
          <w:p>
            <w:pPr>
              <w:pStyle w:val="TableContents"/>
              <w:rPr/>
            </w:pPr>
            <w:r>
              <w:rPr/>
              <w:t> </w:t>
            </w:r>
          </w:p>
          <w:p>
            <w:pPr>
              <w:pStyle w:val="TableContents"/>
              <w:spacing w:before="0" w:after="0"/>
              <w:rPr/>
            </w:pPr>
            <w:r>
              <w:rPr/>
              <w:t> </w:t>
            </w:r>
          </w:p>
        </w:tc>
        <w:tc>
          <w:tcPr>
            <w:tcW w:w="60" w:type="dxa"/>
            <w:tcBorders>
              <w:left w:val="single" w:sz="2" w:space="0" w:color="FFFFFF"/>
            </w:tcBorders>
            <w:shd w:fill="BFBFBF" w:val="clear"/>
            <w:tcMar>
              <w:left w:w="28" w:type="dxa"/>
            </w:tcMar>
            <w:vAlign w:val="bottom"/>
          </w:tcPr>
          <w:p>
            <w:pPr>
              <w:pStyle w:val="TableContents"/>
              <w:spacing w:before="0" w:after="283"/>
              <w:rPr/>
            </w:pPr>
            <w:r>
              <w:rPr/>
              <w:t> </w:t>
            </w:r>
          </w:p>
        </w:tc>
        <w:tc>
          <w:tcPr>
            <w:tcW w:w="7010" w:type="dxa"/>
            <w:gridSpan w:val="14"/>
            <w:tcBorders/>
            <w:shd w:fill="BFBFBF" w:val="clear"/>
            <w:vAlign w:val="bottom"/>
          </w:tcPr>
          <w:p>
            <w:pPr>
              <w:pStyle w:val="TableContents"/>
              <w:spacing w:before="0" w:after="283"/>
              <w:jc w:val="center"/>
              <w:rPr>
                <w:rFonts w:ascii="Arial" w:hAnsi="Arial"/>
                <w:b/>
              </w:rPr>
            </w:pPr>
            <w:r>
              <w:rPr>
                <w:rFonts w:ascii="Arial" w:hAnsi="Arial"/>
                <w:b/>
              </w:rPr>
              <w:t>Option-Based Awards</w:t>
            </w:r>
          </w:p>
        </w:tc>
        <w:tc>
          <w:tcPr>
            <w:tcW w:w="60" w:type="dxa"/>
            <w:tcBorders/>
            <w:shd w:fill="BFBFBF" w:val="clear"/>
            <w:vAlign w:val="bottom"/>
          </w:tcPr>
          <w:p>
            <w:pPr>
              <w:pStyle w:val="TableContents"/>
              <w:spacing w:before="0" w:after="283"/>
              <w:rPr/>
            </w:pPr>
            <w:r>
              <w:rPr/>
              <w:t> </w:t>
            </w:r>
          </w:p>
        </w:tc>
        <w:tc>
          <w:tcPr>
            <w:tcW w:w="60" w:type="dxa"/>
            <w:tcBorders>
              <w:left w:val="single" w:sz="2" w:space="0" w:color="FFFFFF"/>
            </w:tcBorders>
            <w:shd w:fill="BFBFBF" w:val="clear"/>
            <w:tcMar>
              <w:left w:w="28" w:type="dxa"/>
            </w:tcMar>
            <w:vAlign w:val="bottom"/>
          </w:tcPr>
          <w:p>
            <w:pPr>
              <w:pStyle w:val="TableContents"/>
              <w:spacing w:before="0" w:after="283"/>
              <w:rPr/>
            </w:pPr>
            <w:r>
              <w:rPr/>
              <w:t> </w:t>
            </w:r>
          </w:p>
        </w:tc>
        <w:tc>
          <w:tcPr>
            <w:tcW w:w="5115" w:type="dxa"/>
            <w:gridSpan w:val="9"/>
            <w:tcBorders/>
            <w:shd w:fill="BFBFBF" w:val="clear"/>
            <w:vAlign w:val="bottom"/>
          </w:tcPr>
          <w:p>
            <w:pPr>
              <w:pStyle w:val="TableContents"/>
              <w:spacing w:before="0" w:after="283"/>
              <w:jc w:val="center"/>
              <w:rPr>
                <w:rFonts w:ascii="Arial" w:hAnsi="Arial"/>
                <w:b/>
              </w:rPr>
            </w:pPr>
            <w:r>
              <w:rPr>
                <w:rFonts w:ascii="Arial" w:hAnsi="Arial"/>
                <w:b/>
              </w:rPr>
              <w:t>Share-Based Awards</w:t>
            </w:r>
          </w:p>
        </w:tc>
      </w:tr>
      <w:tr>
        <w:trPr>
          <w:trHeight w:val="60" w:hRule="atLeast"/>
        </w:trPr>
        <w:tc>
          <w:tcPr>
            <w:tcW w:w="815" w:type="dxa"/>
            <w:tcBorders/>
            <w:shd w:fill="262626" w:val="clear"/>
            <w:vAlign w:val="center"/>
          </w:tcPr>
          <w:p>
            <w:pPr>
              <w:pStyle w:val="TableContents"/>
              <w:spacing w:before="0" w:after="283"/>
              <w:rPr>
                <w:sz w:val="4"/>
                <w:szCs w:val="4"/>
              </w:rPr>
            </w:pPr>
            <w:r>
              <w:rPr>
                <w:sz w:val="4"/>
                <w:szCs w:val="4"/>
              </w:rPr>
            </w:r>
          </w:p>
        </w:tc>
        <w:tc>
          <w:tcPr>
            <w:tcW w:w="158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95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89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70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91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94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325"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815"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46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Number of</w:t>
              <w:br/>
              <w:t>Securities</w:t>
              <w:br/>
              <w:t>Underlying</w:t>
              <w:br/>
              <w:t>Unexercised</w:t>
              <w:br/>
              <w:t>Options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835"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Option Exercise</w:t>
              <w:br/>
              <w:t>Price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775"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Option</w:t>
              <w:br/>
              <w:t>Expiration Date</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58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Value of</w:t>
              <w:br/>
              <w:t>Unexercised</w:t>
              <w:br/>
              <w:t>In-The-Money</w:t>
              <w:br/>
              <w:t>Options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79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Number of</w:t>
              <w:br/>
              <w:t>Shares or Units</w:t>
              <w:br/>
              <w:t>of Shares That</w:t>
              <w:br/>
              <w:t>Have Not</w:t>
              <w:br/>
              <w:t>Vested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820" w:type="dxa"/>
            <w:gridSpan w:val="2"/>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Market or</w:t>
              <w:br/>
              <w:t>Payout Value of</w:t>
              <w:br/>
              <w:t>Share-Based</w:t>
              <w:br/>
              <w:t>Awards That</w:t>
              <w:br/>
              <w:t>Have Not</w:t>
              <w:br/>
              <w:t>Vested ($)</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265" w:type="dxa"/>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Market or</w:t>
              <w:br/>
              <w:t>Payout Value of</w:t>
              <w:br/>
              <w:t>Vested Share-</w:t>
              <w:br/>
              <w:t>Based</w:t>
              <w:br/>
              <w:t>Awards Not</w:t>
              <w:br/>
              <w:t>Paid Out or</w:t>
              <w:br/>
              <w:t>Distributed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rFonts w:ascii="Arial" w:hAnsi="Arial"/>
                <w:b/>
                <w:sz w:val="16"/>
              </w:rPr>
            </w:pPr>
            <w:r>
              <w:rPr>
                <w:rFonts w:ascii="Arial" w:hAnsi="Arial"/>
                <w:b/>
                <w:sz w:val="16"/>
              </w:rPr>
              <w:t>Steve Hasker</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234,956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75.96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3/4/2030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8,954,173</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spacing w:before="0" w:after="283"/>
              <w:jc w:val="right"/>
              <w:rPr/>
            </w:pPr>
            <w:r>
              <w:rPr/>
              <w:t>170,627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1615" w:type="dxa"/>
            <w:tcBorders/>
            <w:shd w:fill="auto" w:val="clear"/>
            <w:vAlign w:val="bottom"/>
          </w:tcPr>
          <w:p>
            <w:pPr>
              <w:pStyle w:val="TableContents"/>
              <w:spacing w:before="0" w:after="283"/>
              <w:jc w:val="right"/>
              <w:rPr/>
            </w:pPr>
            <w:r>
              <w:rPr/>
              <w:t>19,463,422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center"/>
              <w:rPr/>
            </w:pPr>
            <w:r>
              <w:rPr/>
              <w:t></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141,911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3/3/2031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3,576,157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bottom w:val="single" w:sz="2" w:space="0" w:color="AFAFAF"/>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103,721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102.00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3/2/2032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1,251,912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66"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1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rFonts w:ascii="Arial" w:hAnsi="Arial"/>
                <w:b/>
                <w:sz w:val="16"/>
              </w:rPr>
            </w:pPr>
            <w:r>
              <w:rPr>
                <w:rFonts w:ascii="Arial" w:hAnsi="Arial"/>
                <w:b/>
                <w:sz w:val="16"/>
              </w:rPr>
              <w:t>Mike Eastwood</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14,129</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54.36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3/6/2029</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843,643</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spacing w:before="0" w:after="283"/>
              <w:jc w:val="right"/>
              <w:rPr/>
            </w:pPr>
            <w:r>
              <w:rPr/>
              <w:t>43,231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1615" w:type="dxa"/>
            <w:tcBorders/>
            <w:shd w:fill="auto" w:val="clear"/>
            <w:vAlign w:val="bottom"/>
          </w:tcPr>
          <w:p>
            <w:pPr>
              <w:pStyle w:val="TableContents"/>
              <w:spacing w:before="0" w:after="283"/>
              <w:jc w:val="right"/>
              <w:rPr/>
            </w:pPr>
            <w:r>
              <w:rPr/>
              <w:t>4,931,360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center"/>
              <w:rPr/>
            </w:pPr>
            <w:r>
              <w:rPr/>
              <w:t></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8,237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63.26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5/10/2029</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418,522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59,621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75.96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3/4/2030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2,272,156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35,920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3/3/2031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905,184</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bottom w:val="single" w:sz="2" w:space="0" w:color="AFAFAF"/>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26,254</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102.00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3/2/2032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316,886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66"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1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rFonts w:ascii="Arial" w:hAnsi="Arial"/>
                <w:b/>
                <w:sz w:val="16"/>
              </w:rPr>
            </w:pPr>
            <w:r>
              <w:rPr>
                <w:rFonts w:ascii="Arial" w:hAnsi="Arial"/>
                <w:b/>
                <w:sz w:val="16"/>
              </w:rPr>
              <w:t>Brian Peccarelli</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12,467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54.36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3/6/2029</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744,405</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spacing w:before="0" w:after="283"/>
              <w:jc w:val="right"/>
              <w:rPr/>
            </w:pPr>
            <w:r>
              <w:rPr/>
              <w:t>149,363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1615" w:type="dxa"/>
            <w:tcBorders/>
            <w:shd w:fill="auto" w:val="clear"/>
            <w:vAlign w:val="bottom"/>
          </w:tcPr>
          <w:p>
            <w:pPr>
              <w:pStyle w:val="TableContents"/>
              <w:spacing w:before="0" w:after="283"/>
              <w:jc w:val="right"/>
              <w:rPr/>
            </w:pPr>
            <w:r>
              <w:rPr/>
              <w:t>17,037,837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center"/>
              <w:rPr/>
            </w:pPr>
            <w:r>
              <w:rPr/>
              <w:t></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27,861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75.96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3/4/2030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1,061,783</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24,737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3/3/2031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623,372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0"/>
              <w:rPr/>
            </w:pPr>
            <w:r>
              <w:rPr/>
              <w:t> </w:t>
            </w:r>
          </w:p>
        </w:tc>
        <w:tc>
          <w:tcPr>
            <w:tcW w:w="1666"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rPr/>
            </w:pPr>
            <w:r>
              <w:rPr/>
              <w:t> </w:t>
            </w:r>
          </w:p>
        </w:tc>
        <w:tc>
          <w:tcPr>
            <w:tcW w:w="161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bottom w:val="single" w:sz="2" w:space="0" w:color="AFAFAF"/>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23,901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102.00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3/2/2032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288,485</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66"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1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rFonts w:ascii="Arial" w:hAnsi="Arial"/>
                <w:b/>
                <w:sz w:val="16"/>
              </w:rPr>
            </w:pPr>
            <w:r>
              <w:rPr>
                <w:rFonts w:ascii="Arial" w:hAnsi="Arial"/>
                <w:b/>
                <w:sz w:val="16"/>
              </w:rPr>
              <w:t>Kirsty Roth</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28,334</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3/3/2031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714,017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spacing w:before="0" w:after="283"/>
              <w:jc w:val="right"/>
              <w:rPr/>
            </w:pPr>
            <w:r>
              <w:rPr/>
              <w:t>32,154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1615" w:type="dxa"/>
            <w:tcBorders/>
            <w:shd w:fill="auto" w:val="clear"/>
            <w:vAlign w:val="bottom"/>
          </w:tcPr>
          <w:p>
            <w:pPr>
              <w:pStyle w:val="TableContents"/>
              <w:spacing w:before="0" w:after="283"/>
              <w:jc w:val="right"/>
              <w:rPr/>
            </w:pPr>
            <w:r>
              <w:rPr/>
              <w:t>3,667,807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center"/>
              <w:rPr/>
            </w:pPr>
            <w:r>
              <w:rPr/>
              <w:t></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bottom w:val="single" w:sz="2" w:space="0" w:color="AFAFAF"/>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29,511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102.00</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3/2/2032</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356,198</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66"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1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rPr/>
            </w:pPr>
            <w:r>
              <w:rPr/>
              <w:t xml:space="preserve">  </w:t>
            </w:r>
          </w:p>
          <w:p>
            <w:pPr>
              <w:pStyle w:val="TableContents"/>
              <w:spacing w:before="0" w:after="0"/>
              <w:rPr/>
            </w:pPr>
            <w:r>
              <w:rPr/>
              <w:t> </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0"/>
              <w:rPr>
                <w:rFonts w:ascii="Arial" w:hAnsi="Arial"/>
                <w:b/>
                <w:sz w:val="16"/>
              </w:rPr>
            </w:pPr>
            <w:r>
              <w:rPr>
                <w:rFonts w:ascii="Arial" w:hAnsi="Arial"/>
                <w:b/>
                <w:sz w:val="16"/>
              </w:rPr>
              <w:t>David Wong</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01" w:type="dxa"/>
            <w:tcBorders>
              <w:bottom w:val="single" w:sz="2" w:space="0" w:color="AFAFAF"/>
            </w:tcBorders>
            <w:shd w:fill="auto" w:val="clear"/>
            <w:tcMar>
              <w:bottom w:w="40" w:type="dxa"/>
            </w:tcMar>
            <w:vAlign w:val="bottom"/>
          </w:tcPr>
          <w:p>
            <w:pPr>
              <w:pStyle w:val="TableContents"/>
              <w:spacing w:before="0" w:after="283"/>
              <w:rPr/>
            </w:pPr>
            <w:r>
              <w:rPr/>
              <w:t> </w:t>
            </w:r>
          </w:p>
        </w:tc>
        <w:tc>
          <w:tcPr>
            <w:tcW w:w="1359" w:type="dxa"/>
            <w:tcBorders>
              <w:bottom w:val="single" w:sz="2" w:space="0" w:color="AFAFAF"/>
            </w:tcBorders>
            <w:shd w:fill="auto" w:val="clear"/>
            <w:tcMar>
              <w:bottom w:w="40" w:type="dxa"/>
            </w:tcMar>
            <w:vAlign w:val="bottom"/>
          </w:tcPr>
          <w:p>
            <w:pPr>
              <w:pStyle w:val="TableContents"/>
              <w:spacing w:before="0" w:after="283"/>
              <w:jc w:val="right"/>
              <w:rPr/>
            </w:pPr>
            <w:r>
              <w:rPr/>
              <w:t>30,756</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313" w:type="dxa"/>
            <w:tcBorders>
              <w:bottom w:val="single" w:sz="2" w:space="0" w:color="AFAFAF"/>
            </w:tcBorders>
            <w:shd w:fill="auto" w:val="clear"/>
            <w:tcMar>
              <w:bottom w:w="40" w:type="dxa"/>
            </w:tcMar>
            <w:vAlign w:val="bottom"/>
          </w:tcPr>
          <w:p>
            <w:pPr>
              <w:pStyle w:val="TableContents"/>
              <w:spacing w:before="0" w:after="283"/>
              <w:rPr/>
            </w:pPr>
            <w:r>
              <w:rPr/>
              <w:t>$</w:t>
            </w:r>
          </w:p>
        </w:tc>
        <w:tc>
          <w:tcPr>
            <w:tcW w:w="1522"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0" w:type="dxa"/>
            <w:tcBorders>
              <w:bottom w:val="single" w:sz="2" w:space="0" w:color="AFAFAF"/>
            </w:tcBorders>
            <w:shd w:fill="auto" w:val="clear"/>
            <w:tcMar>
              <w:bottom w:w="40" w:type="dxa"/>
            </w:tcMar>
            <w:vAlign w:val="bottom"/>
          </w:tcPr>
          <w:p>
            <w:pPr>
              <w:pStyle w:val="TableContents"/>
              <w:spacing w:before="0" w:after="283"/>
              <w:rPr/>
            </w:pPr>
            <w:r>
              <w:rPr/>
              <w:t> </w:t>
            </w:r>
          </w:p>
        </w:tc>
        <w:tc>
          <w:tcPr>
            <w:tcW w:w="1585" w:type="dxa"/>
            <w:tcBorders>
              <w:bottom w:val="single" w:sz="2" w:space="0" w:color="AFAFAF"/>
            </w:tcBorders>
            <w:shd w:fill="auto" w:val="clear"/>
            <w:tcMar>
              <w:bottom w:w="40" w:type="dxa"/>
            </w:tcMar>
            <w:vAlign w:val="bottom"/>
          </w:tcPr>
          <w:p>
            <w:pPr>
              <w:pStyle w:val="TableContents"/>
              <w:spacing w:before="0" w:after="283"/>
              <w:jc w:val="right"/>
              <w:rPr/>
            </w:pPr>
            <w:r>
              <w:rPr/>
              <w:t>3/3/2031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97" w:type="dxa"/>
            <w:tcBorders>
              <w:bottom w:val="single" w:sz="2" w:space="0" w:color="AFAFAF"/>
            </w:tcBorders>
            <w:shd w:fill="auto" w:val="clear"/>
            <w:tcMar>
              <w:bottom w:w="40" w:type="dxa"/>
            </w:tcMar>
            <w:vAlign w:val="bottom"/>
          </w:tcPr>
          <w:p>
            <w:pPr>
              <w:pStyle w:val="TableContents"/>
              <w:spacing w:before="0" w:after="283"/>
              <w:rPr/>
            </w:pPr>
            <w:r>
              <w:rPr/>
              <w:t>$</w:t>
            </w:r>
          </w:p>
        </w:tc>
        <w:tc>
          <w:tcPr>
            <w:tcW w:w="1383" w:type="dxa"/>
            <w:tcBorders>
              <w:bottom w:val="single" w:sz="2" w:space="0" w:color="AFAFAF"/>
            </w:tcBorders>
            <w:shd w:fill="auto" w:val="clear"/>
            <w:tcMar>
              <w:bottom w:w="40" w:type="dxa"/>
            </w:tcMar>
            <w:vAlign w:val="bottom"/>
          </w:tcPr>
          <w:p>
            <w:pPr>
              <w:pStyle w:val="TableContents"/>
              <w:spacing w:before="0" w:after="283"/>
              <w:jc w:val="right"/>
              <w:rPr/>
            </w:pPr>
            <w:r>
              <w:rPr/>
              <w:t>775,051</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66" w:type="dxa"/>
            <w:tcBorders/>
            <w:shd w:fill="auto" w:val="clear"/>
            <w:vAlign w:val="bottom"/>
          </w:tcPr>
          <w:p>
            <w:pPr>
              <w:pStyle w:val="TableContents"/>
              <w:spacing w:before="0" w:after="283"/>
              <w:jc w:val="right"/>
              <w:rPr/>
            </w:pPr>
            <w:r>
              <w:rPr/>
              <w:t>22,693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1615" w:type="dxa"/>
            <w:tcBorders/>
            <w:shd w:fill="auto" w:val="clear"/>
            <w:vAlign w:val="bottom"/>
          </w:tcPr>
          <w:p>
            <w:pPr>
              <w:pStyle w:val="TableContents"/>
              <w:spacing w:before="0" w:after="283"/>
              <w:jc w:val="right"/>
              <w:rPr/>
            </w:pPr>
            <w:r>
              <w:rPr/>
              <w:t>2,588,591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5" w:type="dxa"/>
            <w:tcBorders/>
            <w:shd w:fill="auto" w:val="clear"/>
            <w:vAlign w:val="bottom"/>
          </w:tcPr>
          <w:p>
            <w:pPr>
              <w:pStyle w:val="TableContents"/>
              <w:spacing w:before="0" w:after="283"/>
              <w:jc w:val="center"/>
              <w:rPr/>
            </w:pPr>
            <w:r>
              <w:rPr/>
              <w:t></w:t>
            </w:r>
          </w:p>
        </w:tc>
      </w:tr>
      <w:tr>
        <w:trPr>
          <w:trHeight w:val="60" w:hRule="atLeast"/>
        </w:trPr>
        <w:tc>
          <w:tcPr>
            <w:tcW w:w="815" w:type="dxa"/>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895" w:type="dxa"/>
            <w:gridSpan w:val="4"/>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910" w:type="dxa"/>
            <w:gridSpan w:val="4"/>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1325"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bottom w:val="single" w:sz="8" w:space="0" w:color="B94831"/>
            </w:tcBorders>
            <w:shd w:fill="auto" w:val="clear"/>
            <w:tcMar>
              <w:bottom w:w="28" w:type="dxa"/>
            </w:tcMar>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01" w:type="dxa"/>
            <w:tcBorders>
              <w:bottom w:val="single" w:sz="8" w:space="0" w:color="B94831"/>
            </w:tcBorders>
            <w:shd w:fill="auto" w:val="clear"/>
            <w:tcMar>
              <w:bottom w:w="40" w:type="dxa"/>
            </w:tcMar>
            <w:vAlign w:val="bottom"/>
          </w:tcPr>
          <w:p>
            <w:pPr>
              <w:pStyle w:val="TableContents"/>
              <w:spacing w:before="0" w:after="283"/>
              <w:rPr/>
            </w:pPr>
            <w:r>
              <w:rPr/>
              <w:t> </w:t>
            </w:r>
          </w:p>
        </w:tc>
        <w:tc>
          <w:tcPr>
            <w:tcW w:w="1359" w:type="dxa"/>
            <w:tcBorders>
              <w:bottom w:val="single" w:sz="8" w:space="0" w:color="B94831"/>
            </w:tcBorders>
            <w:shd w:fill="auto" w:val="clear"/>
            <w:tcMar>
              <w:bottom w:w="40" w:type="dxa"/>
            </w:tcMar>
            <w:vAlign w:val="bottom"/>
          </w:tcPr>
          <w:p>
            <w:pPr>
              <w:pStyle w:val="TableContents"/>
              <w:spacing w:before="0" w:after="283"/>
              <w:jc w:val="right"/>
              <w:rPr/>
            </w:pPr>
            <w:r>
              <w:rPr/>
              <w:t>22,479</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313" w:type="dxa"/>
            <w:tcBorders>
              <w:bottom w:val="single" w:sz="8" w:space="0" w:color="B94831"/>
            </w:tcBorders>
            <w:shd w:fill="auto" w:val="clear"/>
            <w:tcMar>
              <w:bottom w:w="40" w:type="dxa"/>
            </w:tcMar>
            <w:vAlign w:val="bottom"/>
          </w:tcPr>
          <w:p>
            <w:pPr>
              <w:pStyle w:val="TableContents"/>
              <w:spacing w:before="0" w:after="283"/>
              <w:rPr/>
            </w:pPr>
            <w:r>
              <w:rPr/>
              <w:t>$</w:t>
            </w:r>
          </w:p>
        </w:tc>
        <w:tc>
          <w:tcPr>
            <w:tcW w:w="1522" w:type="dxa"/>
            <w:tcBorders>
              <w:bottom w:val="single" w:sz="8" w:space="0" w:color="B94831"/>
            </w:tcBorders>
            <w:shd w:fill="auto" w:val="clear"/>
            <w:tcMar>
              <w:bottom w:w="40" w:type="dxa"/>
            </w:tcMar>
            <w:vAlign w:val="bottom"/>
          </w:tcPr>
          <w:p>
            <w:pPr>
              <w:pStyle w:val="TableContents"/>
              <w:spacing w:before="0" w:after="283"/>
              <w:jc w:val="right"/>
              <w:rPr/>
            </w:pPr>
            <w:r>
              <w:rPr/>
              <w:t>102.00</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90" w:type="dxa"/>
            <w:tcBorders>
              <w:bottom w:val="single" w:sz="8" w:space="0" w:color="B94831"/>
            </w:tcBorders>
            <w:shd w:fill="auto" w:val="clear"/>
            <w:tcMar>
              <w:bottom w:w="40" w:type="dxa"/>
            </w:tcMar>
            <w:vAlign w:val="bottom"/>
          </w:tcPr>
          <w:p>
            <w:pPr>
              <w:pStyle w:val="TableContents"/>
              <w:spacing w:before="0" w:after="283"/>
              <w:rPr/>
            </w:pPr>
            <w:r>
              <w:rPr/>
              <w:t> </w:t>
            </w:r>
          </w:p>
        </w:tc>
        <w:tc>
          <w:tcPr>
            <w:tcW w:w="1585" w:type="dxa"/>
            <w:tcBorders>
              <w:bottom w:val="single" w:sz="8" w:space="0" w:color="B94831"/>
            </w:tcBorders>
            <w:shd w:fill="auto" w:val="clear"/>
            <w:tcMar>
              <w:bottom w:w="40" w:type="dxa"/>
            </w:tcMar>
            <w:vAlign w:val="bottom"/>
          </w:tcPr>
          <w:p>
            <w:pPr>
              <w:pStyle w:val="TableContents"/>
              <w:spacing w:before="0" w:after="283"/>
              <w:jc w:val="right"/>
              <w:rPr/>
            </w:pPr>
            <w:r>
              <w:rPr/>
              <w:t>3/2/2032</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97" w:type="dxa"/>
            <w:tcBorders>
              <w:bottom w:val="single" w:sz="8" w:space="0" w:color="B94831"/>
            </w:tcBorders>
            <w:shd w:fill="auto" w:val="clear"/>
            <w:tcMar>
              <w:bottom w:w="40" w:type="dxa"/>
            </w:tcMar>
            <w:vAlign w:val="bottom"/>
          </w:tcPr>
          <w:p>
            <w:pPr>
              <w:pStyle w:val="TableContents"/>
              <w:spacing w:before="0" w:after="283"/>
              <w:rPr/>
            </w:pPr>
            <w:r>
              <w:rPr/>
              <w:t>$</w:t>
            </w:r>
          </w:p>
        </w:tc>
        <w:tc>
          <w:tcPr>
            <w:tcW w:w="1383" w:type="dxa"/>
            <w:tcBorders>
              <w:bottom w:val="single" w:sz="8" w:space="0" w:color="B94831"/>
            </w:tcBorders>
            <w:shd w:fill="auto" w:val="clear"/>
            <w:tcMar>
              <w:bottom w:w="40" w:type="dxa"/>
            </w:tcMar>
            <w:vAlign w:val="bottom"/>
          </w:tcPr>
          <w:p>
            <w:pPr>
              <w:pStyle w:val="TableContents"/>
              <w:spacing w:before="0" w:after="283"/>
              <w:jc w:val="right"/>
              <w:rPr/>
            </w:pPr>
            <w:r>
              <w:rPr/>
              <w:t>271,322</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24"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66"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05"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1615"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rPr/>
            </w:pPr>
            <w:r>
              <w:rPr/>
              <w:t xml:space="preserve">  </w:t>
            </w:r>
          </w:p>
          <w:p>
            <w:pPr>
              <w:pStyle w:val="TableContents"/>
              <w:spacing w:before="0" w:after="0"/>
              <w:rPr/>
            </w:pPr>
            <w:r>
              <w:rPr/>
              <w:t> </w:t>
            </w:r>
          </w:p>
        </w:tc>
      </w:tr>
    </w:tbl>
    <w:p>
      <w:pPr>
        <w:pStyle w:val="TextBody"/>
        <w:spacing w:before="120" w:after="0"/>
        <w:jc w:val="left"/>
        <w:rPr>
          <w:rFonts w:ascii="arial" w:hAnsi="arial"/>
          <w:sz w:val="20"/>
        </w:rPr>
      </w:pPr>
      <w:r>
        <w:rPr>
          <w:rFonts w:ascii="arial" w:hAnsi="arial"/>
          <w:sz w:val="20"/>
        </w:rPr>
        <w:t xml:space="preserve">The closing price of our common shares on December 31, 2022 on the NYSE was $114.07. During 2022, the high and low closing prices for our common shares on the NYSE were $117.84 and $92.58, respectively.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98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Restricted Share Units  Aggregate Number and Value </w:t>
      </w:r>
    </w:p>
    <w:p>
      <w:pPr>
        <w:pStyle w:val="TextBody"/>
        <w:spacing w:before="120" w:after="0"/>
        <w:jc w:val="left"/>
        <w:rPr>
          <w:rFonts w:ascii="arial" w:hAnsi="arial"/>
          <w:sz w:val="20"/>
        </w:rPr>
      </w:pPr>
      <w:r>
        <w:rPr>
          <w:rFonts w:ascii="arial" w:hAnsi="arial"/>
          <w:sz w:val="20"/>
        </w:rPr>
        <w:t xml:space="preserve">The following table sets forth the aggregate number and the value of RSUs held by our named executive officers as of December 31, 2022, based on the closing price of our common shares on the NYSE on that day. RSU amounts below include additional units received from notional dividend equivalents. In 2022, we granted the following additional units from notional dividend equivalents to our named executive officers: Steve Hasker  2,623; Mike Eastwood  679; Brian Peccarelli  2,450; Kirsty Roth  516; and David Wong  494. Those additional units do not vest until the underlying RSUs vest. For additional information about our RSUs, please see the Compensation Discussion and Analysis section of this circular.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08"/>
        <w:gridCol w:w="120"/>
        <w:gridCol w:w="60"/>
        <w:gridCol w:w="1179"/>
        <w:gridCol w:w="94"/>
        <w:gridCol w:w="139"/>
        <w:gridCol w:w="60"/>
        <w:gridCol w:w="1307"/>
        <w:gridCol w:w="143"/>
        <w:gridCol w:w="139"/>
        <w:gridCol w:w="60"/>
        <w:gridCol w:w="1804"/>
        <w:gridCol w:w="143"/>
        <w:gridCol w:w="139"/>
        <w:gridCol w:w="140"/>
        <w:gridCol w:w="1122"/>
        <w:gridCol w:w="148"/>
      </w:tblGrid>
      <w:tr>
        <w:trPr/>
        <w:tc>
          <w:tcPr>
            <w:tcW w:w="34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3408" w:type="dxa"/>
            <w:tcBorders/>
            <w:shd w:fill="262626" w:val="clear"/>
            <w:vAlign w:val="center"/>
          </w:tcPr>
          <w:p>
            <w:pPr>
              <w:pStyle w:val="TableContents"/>
              <w:spacing w:before="0" w:after="283"/>
              <w:rPr>
                <w:sz w:val="4"/>
                <w:szCs w:val="4"/>
              </w:rPr>
            </w:pPr>
            <w:r>
              <w:rPr>
                <w:sz w:val="4"/>
                <w:szCs w:val="4"/>
              </w:rPr>
            </w:r>
          </w:p>
        </w:tc>
        <w:tc>
          <w:tcPr>
            <w:tcW w:w="1453"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649"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2146"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549"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408"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12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179"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TRSUs (#)</w:t>
            </w:r>
          </w:p>
        </w:tc>
        <w:tc>
          <w:tcPr>
            <w:tcW w:w="94"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3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307"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PRSUs (#)*</w:t>
            </w:r>
          </w:p>
        </w:tc>
        <w:tc>
          <w:tcPr>
            <w:tcW w:w="143"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3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804"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Total RSUs (#)*</w:t>
            </w:r>
          </w:p>
        </w:tc>
        <w:tc>
          <w:tcPr>
            <w:tcW w:w="143"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39"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4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122"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Value ($)*</w:t>
            </w:r>
          </w:p>
        </w:tc>
        <w:tc>
          <w:tcPr>
            <w:tcW w:w="148"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r>
      <w:tr>
        <w:trPr>
          <w:trHeight w:val="60" w:hRule="atLeast"/>
        </w:trPr>
        <w:tc>
          <w:tcPr>
            <w:tcW w:w="3408" w:type="dxa"/>
            <w:tcBorders/>
            <w:shd w:fill="auto" w:val="clear"/>
            <w:vAlign w:val="center"/>
          </w:tcPr>
          <w:p>
            <w:pPr>
              <w:pStyle w:val="TableContents"/>
              <w:spacing w:before="0" w:after="283"/>
              <w:rPr>
                <w:sz w:val="4"/>
                <w:szCs w:val="4"/>
              </w:rPr>
            </w:pPr>
            <w:r>
              <w:rPr>
                <w:sz w:val="4"/>
                <w:szCs w:val="4"/>
              </w:rPr>
            </w:r>
          </w:p>
        </w:tc>
        <w:tc>
          <w:tcPr>
            <w:tcW w:w="1453"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9"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2146"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549"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3408"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Steve Hasker</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179" w:type="dxa"/>
            <w:tcBorders>
              <w:bottom w:val="single" w:sz="2" w:space="0" w:color="AFAFAF"/>
            </w:tcBorders>
            <w:shd w:fill="auto" w:val="clear"/>
            <w:tcMar>
              <w:bottom w:w="40" w:type="dxa"/>
            </w:tcMar>
            <w:vAlign w:val="bottom"/>
          </w:tcPr>
          <w:p>
            <w:pPr>
              <w:pStyle w:val="TableContents"/>
              <w:spacing w:before="0" w:after="283"/>
              <w:jc w:val="right"/>
              <w:rPr/>
            </w:pPr>
            <w:r>
              <w:rPr/>
              <w:t>56,875</w:t>
            </w:r>
          </w:p>
        </w:tc>
        <w:tc>
          <w:tcPr>
            <w:tcW w:w="94"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307" w:type="dxa"/>
            <w:tcBorders>
              <w:bottom w:val="single" w:sz="2" w:space="0" w:color="AFAFAF"/>
            </w:tcBorders>
            <w:shd w:fill="auto" w:val="clear"/>
            <w:tcMar>
              <w:bottom w:w="40" w:type="dxa"/>
            </w:tcMar>
            <w:vAlign w:val="bottom"/>
          </w:tcPr>
          <w:p>
            <w:pPr>
              <w:pStyle w:val="TableContents"/>
              <w:spacing w:before="0" w:after="283"/>
              <w:jc w:val="right"/>
              <w:rPr/>
            </w:pPr>
            <w:r>
              <w:rPr/>
              <w:t>113,752</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804" w:type="dxa"/>
            <w:tcBorders>
              <w:bottom w:val="single" w:sz="2" w:space="0" w:color="AFAFAF"/>
            </w:tcBorders>
            <w:shd w:fill="auto" w:val="clear"/>
            <w:tcMar>
              <w:bottom w:w="40" w:type="dxa"/>
            </w:tcMar>
            <w:vAlign w:val="bottom"/>
          </w:tcPr>
          <w:p>
            <w:pPr>
              <w:pStyle w:val="TableContents"/>
              <w:spacing w:before="0" w:after="283"/>
              <w:jc w:val="right"/>
              <w:rPr/>
            </w:pPr>
            <w:r>
              <w:rPr/>
              <w:t>170,627</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122" w:type="dxa"/>
            <w:tcBorders>
              <w:bottom w:val="single" w:sz="2" w:space="0" w:color="AFAFAF"/>
            </w:tcBorders>
            <w:shd w:fill="auto" w:val="clear"/>
            <w:tcMar>
              <w:bottom w:w="40" w:type="dxa"/>
            </w:tcMar>
            <w:vAlign w:val="bottom"/>
          </w:tcPr>
          <w:p>
            <w:pPr>
              <w:pStyle w:val="TableContents"/>
              <w:spacing w:before="0" w:after="283"/>
              <w:jc w:val="right"/>
              <w:rPr/>
            </w:pPr>
            <w:r>
              <w:rPr/>
              <w:t>19,463,422</w:t>
            </w:r>
          </w:p>
        </w:tc>
        <w:tc>
          <w:tcPr>
            <w:tcW w:w="148"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3408" w:type="dxa"/>
            <w:tcBorders/>
            <w:shd w:fill="auto" w:val="clear"/>
            <w:vAlign w:val="center"/>
          </w:tcPr>
          <w:p>
            <w:pPr>
              <w:pStyle w:val="TableContents"/>
              <w:spacing w:before="0" w:after="283"/>
              <w:rPr>
                <w:sz w:val="4"/>
                <w:szCs w:val="4"/>
              </w:rPr>
            </w:pPr>
            <w:r>
              <w:rPr>
                <w:sz w:val="4"/>
                <w:szCs w:val="4"/>
              </w:rPr>
            </w:r>
          </w:p>
        </w:tc>
        <w:tc>
          <w:tcPr>
            <w:tcW w:w="1453"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9"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2146"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549"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3408"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Mike Eastwood</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179" w:type="dxa"/>
            <w:tcBorders>
              <w:bottom w:val="single" w:sz="2" w:space="0" w:color="AFAFAF"/>
            </w:tcBorders>
            <w:shd w:fill="auto" w:val="clear"/>
            <w:tcMar>
              <w:bottom w:w="40" w:type="dxa"/>
            </w:tcMar>
            <w:vAlign w:val="bottom"/>
          </w:tcPr>
          <w:p>
            <w:pPr>
              <w:pStyle w:val="TableContents"/>
              <w:spacing w:before="0" w:after="283"/>
              <w:jc w:val="right"/>
              <w:rPr/>
            </w:pPr>
            <w:r>
              <w:rPr/>
              <w:t>14,411</w:t>
            </w:r>
          </w:p>
        </w:tc>
        <w:tc>
          <w:tcPr>
            <w:tcW w:w="94"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307" w:type="dxa"/>
            <w:tcBorders>
              <w:bottom w:val="single" w:sz="2" w:space="0" w:color="AFAFAF"/>
            </w:tcBorders>
            <w:shd w:fill="auto" w:val="clear"/>
            <w:tcMar>
              <w:bottom w:w="40" w:type="dxa"/>
            </w:tcMar>
            <w:vAlign w:val="bottom"/>
          </w:tcPr>
          <w:p>
            <w:pPr>
              <w:pStyle w:val="TableContents"/>
              <w:spacing w:before="0" w:after="283"/>
              <w:jc w:val="right"/>
              <w:rPr/>
            </w:pPr>
            <w:r>
              <w:rPr/>
              <w:t>28,820</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804" w:type="dxa"/>
            <w:tcBorders>
              <w:bottom w:val="single" w:sz="2" w:space="0" w:color="AFAFAF"/>
            </w:tcBorders>
            <w:shd w:fill="auto" w:val="clear"/>
            <w:tcMar>
              <w:bottom w:w="40" w:type="dxa"/>
            </w:tcMar>
            <w:vAlign w:val="bottom"/>
          </w:tcPr>
          <w:p>
            <w:pPr>
              <w:pStyle w:val="TableContents"/>
              <w:spacing w:before="0" w:after="283"/>
              <w:jc w:val="right"/>
              <w:rPr/>
            </w:pPr>
            <w:r>
              <w:rPr/>
              <w:t>43,231</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122" w:type="dxa"/>
            <w:tcBorders>
              <w:bottom w:val="single" w:sz="2" w:space="0" w:color="AFAFAF"/>
            </w:tcBorders>
            <w:shd w:fill="auto" w:val="clear"/>
            <w:tcMar>
              <w:bottom w:w="40" w:type="dxa"/>
            </w:tcMar>
            <w:vAlign w:val="bottom"/>
          </w:tcPr>
          <w:p>
            <w:pPr>
              <w:pStyle w:val="TableContents"/>
              <w:spacing w:before="0" w:after="283"/>
              <w:jc w:val="right"/>
              <w:rPr/>
            </w:pPr>
            <w:r>
              <w:rPr/>
              <w:t>4,931,360</w:t>
            </w:r>
          </w:p>
        </w:tc>
        <w:tc>
          <w:tcPr>
            <w:tcW w:w="148"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3408" w:type="dxa"/>
            <w:tcBorders/>
            <w:shd w:fill="auto" w:val="clear"/>
            <w:vAlign w:val="center"/>
          </w:tcPr>
          <w:p>
            <w:pPr>
              <w:pStyle w:val="TableContents"/>
              <w:spacing w:before="0" w:after="283"/>
              <w:rPr>
                <w:sz w:val="4"/>
                <w:szCs w:val="4"/>
              </w:rPr>
            </w:pPr>
            <w:r>
              <w:rPr>
                <w:sz w:val="4"/>
                <w:szCs w:val="4"/>
              </w:rPr>
            </w:r>
          </w:p>
        </w:tc>
        <w:tc>
          <w:tcPr>
            <w:tcW w:w="1453"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9"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2146"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549"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3408"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Brian Peccarelli</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179" w:type="dxa"/>
            <w:tcBorders>
              <w:bottom w:val="single" w:sz="2" w:space="0" w:color="AFAFAF"/>
            </w:tcBorders>
            <w:shd w:fill="auto" w:val="clear"/>
            <w:tcMar>
              <w:bottom w:w="40" w:type="dxa"/>
            </w:tcMar>
            <w:vAlign w:val="bottom"/>
          </w:tcPr>
          <w:p>
            <w:pPr>
              <w:pStyle w:val="TableContents"/>
              <w:spacing w:before="0" w:after="283"/>
              <w:jc w:val="right"/>
              <w:rPr/>
            </w:pPr>
            <w:r>
              <w:rPr/>
              <w:t>122,782</w:t>
            </w:r>
          </w:p>
        </w:tc>
        <w:tc>
          <w:tcPr>
            <w:tcW w:w="94"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307" w:type="dxa"/>
            <w:tcBorders>
              <w:bottom w:val="single" w:sz="2" w:space="0" w:color="AFAFAF"/>
            </w:tcBorders>
            <w:shd w:fill="auto" w:val="clear"/>
            <w:tcMar>
              <w:bottom w:w="40" w:type="dxa"/>
            </w:tcMar>
            <w:vAlign w:val="bottom"/>
          </w:tcPr>
          <w:p>
            <w:pPr>
              <w:pStyle w:val="TableContents"/>
              <w:spacing w:before="0" w:after="283"/>
              <w:jc w:val="right"/>
              <w:rPr/>
            </w:pPr>
            <w:r>
              <w:rPr/>
              <w:t>26,581</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804" w:type="dxa"/>
            <w:tcBorders>
              <w:bottom w:val="single" w:sz="2" w:space="0" w:color="AFAFAF"/>
            </w:tcBorders>
            <w:shd w:fill="auto" w:val="clear"/>
            <w:tcMar>
              <w:bottom w:w="40" w:type="dxa"/>
            </w:tcMar>
            <w:vAlign w:val="bottom"/>
          </w:tcPr>
          <w:p>
            <w:pPr>
              <w:pStyle w:val="TableContents"/>
              <w:spacing w:before="0" w:after="283"/>
              <w:jc w:val="right"/>
              <w:rPr/>
            </w:pPr>
            <w:r>
              <w:rPr/>
              <w:t>149,363</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122" w:type="dxa"/>
            <w:tcBorders>
              <w:bottom w:val="single" w:sz="2" w:space="0" w:color="AFAFAF"/>
            </w:tcBorders>
            <w:shd w:fill="auto" w:val="clear"/>
            <w:tcMar>
              <w:bottom w:w="40" w:type="dxa"/>
            </w:tcMar>
            <w:vAlign w:val="bottom"/>
          </w:tcPr>
          <w:p>
            <w:pPr>
              <w:pStyle w:val="TableContents"/>
              <w:spacing w:before="0" w:after="283"/>
              <w:jc w:val="right"/>
              <w:rPr/>
            </w:pPr>
            <w:r>
              <w:rPr/>
              <w:t>17,037,837</w:t>
            </w:r>
          </w:p>
        </w:tc>
        <w:tc>
          <w:tcPr>
            <w:tcW w:w="148"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3408" w:type="dxa"/>
            <w:tcBorders/>
            <w:shd w:fill="auto" w:val="clear"/>
            <w:vAlign w:val="center"/>
          </w:tcPr>
          <w:p>
            <w:pPr>
              <w:pStyle w:val="TableContents"/>
              <w:spacing w:before="0" w:after="283"/>
              <w:rPr>
                <w:sz w:val="4"/>
                <w:szCs w:val="4"/>
              </w:rPr>
            </w:pPr>
            <w:r>
              <w:rPr>
                <w:sz w:val="4"/>
                <w:szCs w:val="4"/>
              </w:rPr>
            </w:r>
          </w:p>
        </w:tc>
        <w:tc>
          <w:tcPr>
            <w:tcW w:w="1453"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9"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2146"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549"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3408"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Kirsty Roth</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179" w:type="dxa"/>
            <w:tcBorders>
              <w:bottom w:val="single" w:sz="2" w:space="0" w:color="AFAFAF"/>
            </w:tcBorders>
            <w:shd w:fill="auto" w:val="clear"/>
            <w:tcMar>
              <w:bottom w:w="40" w:type="dxa"/>
            </w:tcMar>
            <w:vAlign w:val="bottom"/>
          </w:tcPr>
          <w:p>
            <w:pPr>
              <w:pStyle w:val="TableContents"/>
              <w:spacing w:before="0" w:after="283"/>
              <w:jc w:val="right"/>
              <w:rPr/>
            </w:pPr>
            <w:r>
              <w:rPr/>
              <w:t>12,979</w:t>
            </w:r>
          </w:p>
        </w:tc>
        <w:tc>
          <w:tcPr>
            <w:tcW w:w="94"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307" w:type="dxa"/>
            <w:tcBorders>
              <w:bottom w:val="single" w:sz="2" w:space="0" w:color="AFAFAF"/>
            </w:tcBorders>
            <w:shd w:fill="auto" w:val="clear"/>
            <w:tcMar>
              <w:bottom w:w="40" w:type="dxa"/>
            </w:tcMar>
            <w:vAlign w:val="bottom"/>
          </w:tcPr>
          <w:p>
            <w:pPr>
              <w:pStyle w:val="TableContents"/>
              <w:spacing w:before="0" w:after="283"/>
              <w:jc w:val="right"/>
              <w:rPr/>
            </w:pPr>
            <w:r>
              <w:rPr/>
              <w:t>19,175</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804" w:type="dxa"/>
            <w:tcBorders>
              <w:bottom w:val="single" w:sz="2" w:space="0" w:color="AFAFAF"/>
            </w:tcBorders>
            <w:shd w:fill="auto" w:val="clear"/>
            <w:tcMar>
              <w:bottom w:w="40" w:type="dxa"/>
            </w:tcMar>
            <w:vAlign w:val="bottom"/>
          </w:tcPr>
          <w:p>
            <w:pPr>
              <w:pStyle w:val="TableContents"/>
              <w:spacing w:before="0" w:after="283"/>
              <w:jc w:val="right"/>
              <w:rPr/>
            </w:pPr>
            <w:r>
              <w:rPr/>
              <w:t>32,154</w:t>
            </w:r>
          </w:p>
        </w:tc>
        <w:tc>
          <w:tcPr>
            <w:tcW w:w="143" w:type="dxa"/>
            <w:tcBorders>
              <w:bottom w:val="single" w:sz="2" w:space="0" w:color="AFAFAF"/>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122" w:type="dxa"/>
            <w:tcBorders>
              <w:bottom w:val="single" w:sz="2" w:space="0" w:color="AFAFAF"/>
            </w:tcBorders>
            <w:shd w:fill="auto" w:val="clear"/>
            <w:tcMar>
              <w:bottom w:w="40" w:type="dxa"/>
            </w:tcMar>
            <w:vAlign w:val="bottom"/>
          </w:tcPr>
          <w:p>
            <w:pPr>
              <w:pStyle w:val="TableContents"/>
              <w:spacing w:before="0" w:after="283"/>
              <w:jc w:val="right"/>
              <w:rPr/>
            </w:pPr>
            <w:r>
              <w:rPr/>
              <w:t>3,667,807</w:t>
            </w:r>
          </w:p>
        </w:tc>
        <w:tc>
          <w:tcPr>
            <w:tcW w:w="148"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3408" w:type="dxa"/>
            <w:tcBorders/>
            <w:shd w:fill="auto" w:val="clear"/>
            <w:vAlign w:val="center"/>
          </w:tcPr>
          <w:p>
            <w:pPr>
              <w:pStyle w:val="TableContents"/>
              <w:spacing w:before="0" w:after="283"/>
              <w:rPr>
                <w:sz w:val="4"/>
                <w:szCs w:val="4"/>
              </w:rPr>
            </w:pPr>
            <w:r>
              <w:rPr>
                <w:sz w:val="4"/>
                <w:szCs w:val="4"/>
              </w:rPr>
            </w:r>
          </w:p>
        </w:tc>
        <w:tc>
          <w:tcPr>
            <w:tcW w:w="1453"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649"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2146"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1549"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3408" w:type="dxa"/>
            <w:tcBorders>
              <w:bottom w:val="single" w:sz="8" w:space="0" w:color="B94831"/>
            </w:tcBorders>
            <w:shd w:fill="auto" w:val="clear"/>
            <w:tcMar>
              <w:bottom w:w="40" w:type="dxa"/>
            </w:tcMar>
          </w:tcPr>
          <w:p>
            <w:pPr>
              <w:pStyle w:val="TableContents"/>
              <w:spacing w:before="0" w:after="0"/>
              <w:rPr>
                <w:rFonts w:ascii="Arial" w:hAnsi="Arial"/>
                <w:b/>
                <w:sz w:val="16"/>
              </w:rPr>
            </w:pPr>
            <w:r>
              <w:rPr>
                <w:rFonts w:ascii="Arial" w:hAnsi="Arial"/>
                <w:b/>
                <w:sz w:val="16"/>
              </w:rPr>
              <w:t>David Wong</w:t>
            </w:r>
          </w:p>
        </w:tc>
        <w:tc>
          <w:tcPr>
            <w:tcW w:w="12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179" w:type="dxa"/>
            <w:tcBorders>
              <w:bottom w:val="single" w:sz="8" w:space="0" w:color="B94831"/>
            </w:tcBorders>
            <w:shd w:fill="auto" w:val="clear"/>
            <w:tcMar>
              <w:bottom w:w="40" w:type="dxa"/>
            </w:tcMar>
            <w:vAlign w:val="bottom"/>
          </w:tcPr>
          <w:p>
            <w:pPr>
              <w:pStyle w:val="TableContents"/>
              <w:spacing w:before="0" w:after="283"/>
              <w:jc w:val="right"/>
              <w:rPr/>
            </w:pPr>
            <w:r>
              <w:rPr/>
              <w:t>7,564</w:t>
            </w:r>
          </w:p>
        </w:tc>
        <w:tc>
          <w:tcPr>
            <w:tcW w:w="94" w:type="dxa"/>
            <w:tcBorders>
              <w:bottom w:val="single" w:sz="8" w:space="0" w:color="B94831"/>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307" w:type="dxa"/>
            <w:tcBorders>
              <w:bottom w:val="single" w:sz="8" w:space="0" w:color="B94831"/>
            </w:tcBorders>
            <w:shd w:fill="auto" w:val="clear"/>
            <w:tcMar>
              <w:bottom w:w="40" w:type="dxa"/>
            </w:tcMar>
            <w:vAlign w:val="bottom"/>
          </w:tcPr>
          <w:p>
            <w:pPr>
              <w:pStyle w:val="TableContents"/>
              <w:spacing w:before="0" w:after="283"/>
              <w:jc w:val="right"/>
              <w:rPr/>
            </w:pPr>
            <w:r>
              <w:rPr/>
              <w:t>15,129</w:t>
            </w:r>
          </w:p>
        </w:tc>
        <w:tc>
          <w:tcPr>
            <w:tcW w:w="143" w:type="dxa"/>
            <w:tcBorders>
              <w:bottom w:val="single" w:sz="8" w:space="0" w:color="B94831"/>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804" w:type="dxa"/>
            <w:tcBorders>
              <w:bottom w:val="single" w:sz="8" w:space="0" w:color="B94831"/>
            </w:tcBorders>
            <w:shd w:fill="auto" w:val="clear"/>
            <w:tcMar>
              <w:bottom w:w="40" w:type="dxa"/>
            </w:tcMar>
            <w:vAlign w:val="bottom"/>
          </w:tcPr>
          <w:p>
            <w:pPr>
              <w:pStyle w:val="TableContents"/>
              <w:spacing w:before="0" w:after="283"/>
              <w:jc w:val="right"/>
              <w:rPr/>
            </w:pPr>
            <w:r>
              <w:rPr/>
              <w:t>22,693</w:t>
            </w:r>
          </w:p>
        </w:tc>
        <w:tc>
          <w:tcPr>
            <w:tcW w:w="143" w:type="dxa"/>
            <w:tcBorders>
              <w:bottom w:val="single" w:sz="8" w:space="0" w:color="B94831"/>
            </w:tcBorders>
            <w:shd w:fill="auto" w:val="clear"/>
            <w:tcMar>
              <w:bottom w:w="40" w:type="dxa"/>
            </w:tcMar>
            <w:vAlign w:val="bottom"/>
          </w:tcPr>
          <w:p>
            <w:pPr>
              <w:pStyle w:val="TableContents"/>
              <w:spacing w:before="0" w:after="283"/>
              <w:rPr/>
            </w:pPr>
            <w:r>
              <w:rPr/>
              <w:t> </w:t>
            </w:r>
          </w:p>
        </w:tc>
        <w:tc>
          <w:tcPr>
            <w:tcW w:w="139"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40" w:type="dxa"/>
            </w:tcMar>
            <w:vAlign w:val="bottom"/>
          </w:tcPr>
          <w:p>
            <w:pPr>
              <w:pStyle w:val="TableContents"/>
              <w:spacing w:before="0" w:after="283"/>
              <w:rPr/>
            </w:pPr>
            <w:r>
              <w:rPr/>
              <w:t>$</w:t>
            </w:r>
          </w:p>
        </w:tc>
        <w:tc>
          <w:tcPr>
            <w:tcW w:w="1122" w:type="dxa"/>
            <w:tcBorders>
              <w:bottom w:val="single" w:sz="8" w:space="0" w:color="B94831"/>
            </w:tcBorders>
            <w:shd w:fill="auto" w:val="clear"/>
            <w:tcMar>
              <w:bottom w:w="40" w:type="dxa"/>
            </w:tcMar>
            <w:vAlign w:val="bottom"/>
          </w:tcPr>
          <w:p>
            <w:pPr>
              <w:pStyle w:val="TableContents"/>
              <w:spacing w:before="0" w:after="283"/>
              <w:jc w:val="right"/>
              <w:rPr/>
            </w:pPr>
            <w:r>
              <w:rPr/>
              <w:t>2,588,591</w:t>
            </w:r>
          </w:p>
        </w:tc>
        <w:tc>
          <w:tcPr>
            <w:tcW w:w="148" w:type="dxa"/>
            <w:tcBorders>
              <w:bottom w:val="single" w:sz="8" w:space="0" w:color="B94831"/>
            </w:tcBorders>
            <w:shd w:fill="auto" w:val="clear"/>
            <w:tcMar>
              <w:bottom w:w="40" w:type="dxa"/>
            </w:tcMar>
            <w:vAlign w:val="bottom"/>
          </w:tcPr>
          <w:p>
            <w:pPr>
              <w:pStyle w:val="TableContents"/>
              <w:spacing w:before="0" w:after="283"/>
              <w:rPr/>
            </w:pPr>
            <w:r>
              <w:rPr/>
              <w:t> </w:t>
            </w:r>
          </w:p>
        </w:tc>
      </w:tr>
    </w:tbl>
    <w:p>
      <w:pPr>
        <w:pStyle w:val="TextBody"/>
        <w:spacing w:before="120" w:after="0"/>
        <w:jc w:val="left"/>
        <w:rPr>
          <w:rFonts w:ascii="arial" w:hAnsi="arial"/>
          <w:sz w:val="16"/>
        </w:rPr>
      </w:pPr>
      <w:r>
        <w:rPr>
          <w:rFonts w:ascii="arial" w:hAnsi="arial"/>
          <w:sz w:val="16"/>
        </w:rPr>
        <w:t xml:space="preserve">* Assumes vesting of PRSUs at the target amount (100%). </w:t>
      </w:r>
    </w:p>
    <w:p>
      <w:pPr>
        <w:pStyle w:val="TextBody"/>
        <w:spacing w:before="120" w:after="0"/>
        <w:jc w:val="left"/>
        <w:rPr>
          <w:rFonts w:ascii="arial" w:hAnsi="arial"/>
          <w:color w:val="B94831"/>
          <w:sz w:val="28"/>
        </w:rPr>
      </w:pPr>
      <w:r>
        <w:rPr>
          <w:rFonts w:ascii="arial" w:hAnsi="arial"/>
          <w:color w:val="B94831"/>
          <w:sz w:val="28"/>
        </w:rPr>
        <w:t xml:space="preserve">Incentive Plan Awards  Value Vested or Earned in 2022 </w:t>
      </w:r>
    </w:p>
    <w:p>
      <w:pPr>
        <w:pStyle w:val="TextBody"/>
        <w:spacing w:before="40" w:after="0"/>
        <w:jc w:val="left"/>
        <w:rPr>
          <w:rFonts w:ascii="arial" w:hAnsi="arial"/>
          <w:sz w:val="20"/>
        </w:rPr>
      </w:pPr>
      <w:r>
        <w:rPr>
          <w:rFonts w:ascii="arial" w:hAnsi="arial"/>
          <w:sz w:val="20"/>
        </w:rPr>
        <w:t xml:space="preserve">The following table sets forth information regarding incentive plan awards that vested or were earned in 2022. The dollar value of share-based awards (PRSUs and TRSUs) reflects the number of units vested multiplied by the closing price of our common shares on the NYSE on the vesting date. The dollar value of vested options reflects the difference between the closing price of our common shares on the NYSE on the vesting date and the exercise price of the applicable options. Non-equity incentive plan compensation reflects the value of annual cash incentive awards earned for 2022. For more information regarding these awards, please see the Compensation Discussion and Analysis section of this circular.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10"/>
        <w:gridCol w:w="204"/>
        <w:gridCol w:w="136"/>
        <w:gridCol w:w="2226"/>
        <w:gridCol w:w="155"/>
        <w:gridCol w:w="214"/>
        <w:gridCol w:w="162"/>
        <w:gridCol w:w="2666"/>
        <w:gridCol w:w="155"/>
        <w:gridCol w:w="214"/>
        <w:gridCol w:w="167"/>
        <w:gridCol w:w="2735"/>
        <w:gridCol w:w="161"/>
      </w:tblGrid>
      <w:tr>
        <w:trPr/>
        <w:tc>
          <w:tcPr>
            <w:tcW w:w="101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6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1010" w:type="dxa"/>
            <w:tcBorders/>
            <w:shd w:fill="262626" w:val="clear"/>
            <w:vAlign w:val="center"/>
          </w:tcPr>
          <w:p>
            <w:pPr>
              <w:pStyle w:val="TableContents"/>
              <w:spacing w:before="0" w:after="283"/>
              <w:rPr>
                <w:sz w:val="4"/>
                <w:szCs w:val="4"/>
              </w:rPr>
            </w:pPr>
            <w:r>
              <w:rPr>
                <w:sz w:val="4"/>
                <w:szCs w:val="4"/>
              </w:rPr>
            </w:r>
          </w:p>
        </w:tc>
        <w:tc>
          <w:tcPr>
            <w:tcW w:w="2721"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3197"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3277"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010"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20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362"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Option-based awards  value</w:t>
            </w:r>
          </w:p>
          <w:p>
            <w:pPr>
              <w:pStyle w:val="TableContents"/>
              <w:spacing w:before="0" w:after="20"/>
              <w:jc w:val="right"/>
              <w:rPr>
                <w:rFonts w:ascii="Arial" w:hAnsi="Arial"/>
                <w:b/>
                <w:color w:val="FFFFFF"/>
                <w:sz w:val="17"/>
              </w:rPr>
            </w:pPr>
            <w:r>
              <w:rPr>
                <w:rFonts w:ascii="Arial" w:hAnsi="Arial"/>
                <w:b/>
                <w:color w:val="FFFFFF"/>
                <w:sz w:val="17"/>
              </w:rPr>
              <w:t>vested during the year ($)</w:t>
            </w:r>
          </w:p>
        </w:tc>
        <w:tc>
          <w:tcPr>
            <w:tcW w:w="155" w:type="dxa"/>
            <w:tcBorders>
              <w:bottom w:val="single" w:sz="2" w:space="0" w:color="B94831"/>
            </w:tcBorders>
            <w:shd w:fill="262626" w:val="clear"/>
            <w:tcMar>
              <w:bottom w:w="28" w:type="dxa"/>
            </w:tcMar>
            <w:vAlign w:val="bottom"/>
          </w:tcPr>
          <w:p>
            <w:pPr>
              <w:pStyle w:val="TableContents"/>
              <w:spacing w:before="0" w:after="283"/>
              <w:rPr/>
            </w:pPr>
            <w:r>
              <w:rPr/>
              <w:t> </w:t>
            </w:r>
          </w:p>
        </w:tc>
        <w:tc>
          <w:tcPr>
            <w:tcW w:w="21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828"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Share-based awards  value vested</w:t>
            </w:r>
          </w:p>
          <w:p>
            <w:pPr>
              <w:pStyle w:val="TableContents"/>
              <w:spacing w:before="0" w:after="20"/>
              <w:jc w:val="right"/>
              <w:rPr>
                <w:rFonts w:ascii="Arial" w:hAnsi="Arial"/>
                <w:b/>
                <w:color w:val="FFFFFF"/>
                <w:sz w:val="17"/>
              </w:rPr>
            </w:pPr>
            <w:r>
              <w:rPr>
                <w:rFonts w:ascii="Arial" w:hAnsi="Arial"/>
                <w:b/>
                <w:color w:val="FFFFFF"/>
                <w:sz w:val="17"/>
              </w:rPr>
              <w:t>during the year ($)</w:t>
            </w:r>
          </w:p>
        </w:tc>
        <w:tc>
          <w:tcPr>
            <w:tcW w:w="155" w:type="dxa"/>
            <w:tcBorders>
              <w:bottom w:val="single" w:sz="2" w:space="0" w:color="B94831"/>
            </w:tcBorders>
            <w:shd w:fill="262626" w:val="clear"/>
            <w:tcMar>
              <w:bottom w:w="28" w:type="dxa"/>
            </w:tcMar>
            <w:vAlign w:val="bottom"/>
          </w:tcPr>
          <w:p>
            <w:pPr>
              <w:pStyle w:val="TableContents"/>
              <w:spacing w:before="0" w:after="283"/>
              <w:rPr/>
            </w:pPr>
            <w:r>
              <w:rPr/>
              <w:t> </w:t>
            </w:r>
          </w:p>
        </w:tc>
        <w:tc>
          <w:tcPr>
            <w:tcW w:w="21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902" w:type="dxa"/>
            <w:gridSpan w:val="2"/>
            <w:tcBorders>
              <w:bottom w:val="single" w:sz="2" w:space="0" w:color="B94831"/>
            </w:tcBorders>
            <w:shd w:fill="262626" w:val="clear"/>
            <w:tcMar>
              <w:bottom w:w="40" w:type="dxa"/>
            </w:tcMar>
            <w:vAlign w:val="bottom"/>
          </w:tcPr>
          <w:p>
            <w:pPr>
              <w:pStyle w:val="TableContents"/>
              <w:spacing w:before="0" w:after="0"/>
              <w:jc w:val="right"/>
              <w:rPr>
                <w:rFonts w:ascii="Arial" w:hAnsi="Arial"/>
                <w:b/>
                <w:color w:val="FFFFFF"/>
                <w:sz w:val="17"/>
              </w:rPr>
            </w:pPr>
            <w:r>
              <w:rPr>
                <w:rFonts w:ascii="Arial" w:hAnsi="Arial"/>
                <w:b/>
                <w:color w:val="FFFFFF"/>
                <w:sz w:val="17"/>
              </w:rPr>
              <w:t>Non-equity incentive plan</w:t>
            </w:r>
          </w:p>
          <w:p>
            <w:pPr>
              <w:pStyle w:val="TableContents"/>
              <w:spacing w:before="0" w:after="0"/>
              <w:jc w:val="right"/>
              <w:rPr>
                <w:rFonts w:ascii="Arial" w:hAnsi="Arial"/>
                <w:b/>
                <w:color w:val="FFFFFF"/>
                <w:sz w:val="17"/>
              </w:rPr>
            </w:pPr>
            <w:r>
              <w:rPr>
                <w:rFonts w:ascii="Arial" w:hAnsi="Arial"/>
                <w:b/>
                <w:color w:val="FFFFFF"/>
                <w:sz w:val="17"/>
              </w:rPr>
              <w:t>compensation value earned during</w:t>
            </w:r>
          </w:p>
          <w:p>
            <w:pPr>
              <w:pStyle w:val="TableContents"/>
              <w:spacing w:before="0" w:after="20"/>
              <w:jc w:val="right"/>
              <w:rPr>
                <w:rFonts w:ascii="Arial" w:hAnsi="Arial"/>
                <w:b/>
                <w:color w:val="FFFFFF"/>
                <w:sz w:val="17"/>
              </w:rPr>
            </w:pPr>
            <w:r>
              <w:rPr>
                <w:rFonts w:ascii="Arial" w:hAnsi="Arial"/>
                <w:b/>
                <w:color w:val="FFFFFF"/>
                <w:sz w:val="17"/>
              </w:rPr>
              <w:t>the year ($)</w:t>
            </w:r>
          </w:p>
        </w:tc>
        <w:tc>
          <w:tcPr>
            <w:tcW w:w="161" w:type="dxa"/>
            <w:tcBorders>
              <w:bottom w:val="single" w:sz="2" w:space="0" w:color="B94831"/>
            </w:tcBorders>
            <w:shd w:fill="262626" w:val="clear"/>
            <w:tcMar>
              <w:bottom w:w="28" w:type="dxa"/>
            </w:tcMar>
            <w:vAlign w:val="bottom"/>
          </w:tcPr>
          <w:p>
            <w:pPr>
              <w:pStyle w:val="TableContents"/>
              <w:spacing w:before="0" w:after="283"/>
              <w:rPr/>
            </w:pPr>
            <w:r>
              <w:rPr/>
              <w:t> </w:t>
            </w:r>
          </w:p>
        </w:tc>
      </w:tr>
      <w:tr>
        <w:trPr>
          <w:trHeight w:val="60" w:hRule="atLeast"/>
        </w:trPr>
        <w:tc>
          <w:tcPr>
            <w:tcW w:w="1010" w:type="dxa"/>
            <w:tcBorders/>
            <w:shd w:fill="auto" w:val="clear"/>
            <w:vAlign w:val="center"/>
          </w:tcPr>
          <w:p>
            <w:pPr>
              <w:pStyle w:val="TableContents"/>
              <w:spacing w:before="0" w:after="283"/>
              <w:rPr>
                <w:sz w:val="4"/>
                <w:szCs w:val="4"/>
              </w:rPr>
            </w:pPr>
            <w:r>
              <w:rPr>
                <w:sz w:val="4"/>
                <w:szCs w:val="4"/>
              </w:rPr>
            </w:r>
          </w:p>
        </w:tc>
        <w:tc>
          <w:tcPr>
            <w:tcW w:w="27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197"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27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1010"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Steve Hasker</w:t>
            </w:r>
          </w:p>
        </w:tc>
        <w:tc>
          <w:tcPr>
            <w:tcW w:w="20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36" w:type="dxa"/>
            <w:tcBorders>
              <w:bottom w:val="single" w:sz="2" w:space="0" w:color="AFAFAF"/>
            </w:tcBorders>
            <w:shd w:fill="auto" w:val="clear"/>
            <w:tcMar>
              <w:bottom w:w="40" w:type="dxa"/>
            </w:tcMar>
            <w:vAlign w:val="bottom"/>
          </w:tcPr>
          <w:p>
            <w:pPr>
              <w:pStyle w:val="TableContents"/>
              <w:spacing w:before="0" w:after="283"/>
              <w:rPr/>
            </w:pPr>
            <w:r>
              <w:rPr/>
              <w:t> </w:t>
            </w:r>
          </w:p>
        </w:tc>
        <w:tc>
          <w:tcPr>
            <w:tcW w:w="2226" w:type="dxa"/>
            <w:tcBorders>
              <w:bottom w:val="single" w:sz="2" w:space="0" w:color="AFAFAF"/>
            </w:tcBorders>
            <w:shd w:fill="auto" w:val="clear"/>
            <w:tcMar>
              <w:bottom w:w="40" w:type="dxa"/>
            </w:tcMar>
            <w:vAlign w:val="bottom"/>
          </w:tcPr>
          <w:p>
            <w:pPr>
              <w:pStyle w:val="TableContents"/>
              <w:spacing w:before="0" w:after="283"/>
              <w:jc w:val="right"/>
              <w:rPr/>
            </w:pPr>
            <w:r>
              <w:rPr/>
              <w:t>2,116,915</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2" w:type="dxa"/>
            <w:tcBorders>
              <w:bottom w:val="single" w:sz="2" w:space="0" w:color="AFAFAF"/>
            </w:tcBorders>
            <w:shd w:fill="auto" w:val="clear"/>
            <w:tcMar>
              <w:bottom w:w="40" w:type="dxa"/>
            </w:tcMar>
            <w:vAlign w:val="bottom"/>
          </w:tcPr>
          <w:p>
            <w:pPr>
              <w:pStyle w:val="TableContents"/>
              <w:spacing w:before="0" w:after="283"/>
              <w:rPr/>
            </w:pPr>
            <w:r>
              <w:rPr/>
              <w:t> </w:t>
            </w:r>
          </w:p>
        </w:tc>
        <w:tc>
          <w:tcPr>
            <w:tcW w:w="2666"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7" w:type="dxa"/>
            <w:tcBorders>
              <w:bottom w:val="single" w:sz="2" w:space="0" w:color="AFAFAF"/>
            </w:tcBorders>
            <w:shd w:fill="auto" w:val="clear"/>
            <w:tcMar>
              <w:bottom w:w="40" w:type="dxa"/>
            </w:tcMar>
            <w:vAlign w:val="bottom"/>
          </w:tcPr>
          <w:p>
            <w:pPr>
              <w:pStyle w:val="TableContents"/>
              <w:spacing w:before="0" w:after="283"/>
              <w:rPr/>
            </w:pPr>
            <w:r>
              <w:rPr/>
              <w:t> </w:t>
            </w:r>
          </w:p>
        </w:tc>
        <w:tc>
          <w:tcPr>
            <w:tcW w:w="2735" w:type="dxa"/>
            <w:tcBorders>
              <w:bottom w:val="single" w:sz="2" w:space="0" w:color="AFAFAF"/>
            </w:tcBorders>
            <w:shd w:fill="auto" w:val="clear"/>
            <w:tcMar>
              <w:bottom w:w="40" w:type="dxa"/>
            </w:tcMar>
            <w:vAlign w:val="bottom"/>
          </w:tcPr>
          <w:p>
            <w:pPr>
              <w:pStyle w:val="TableContents"/>
              <w:spacing w:before="0" w:after="283"/>
              <w:jc w:val="right"/>
              <w:rPr/>
            </w:pPr>
            <w:r>
              <w:rPr/>
              <w:t>2,752,044</w:t>
            </w:r>
          </w:p>
        </w:tc>
        <w:tc>
          <w:tcPr>
            <w:tcW w:w="161"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1010" w:type="dxa"/>
            <w:tcBorders/>
            <w:shd w:fill="auto" w:val="clear"/>
            <w:vAlign w:val="center"/>
          </w:tcPr>
          <w:p>
            <w:pPr>
              <w:pStyle w:val="TableContents"/>
              <w:spacing w:before="0" w:after="283"/>
              <w:rPr>
                <w:sz w:val="4"/>
                <w:szCs w:val="4"/>
              </w:rPr>
            </w:pPr>
            <w:r>
              <w:rPr>
                <w:sz w:val="4"/>
                <w:szCs w:val="4"/>
              </w:rPr>
            </w:r>
          </w:p>
        </w:tc>
        <w:tc>
          <w:tcPr>
            <w:tcW w:w="27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197"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27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1010"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Mike Eastwood</w:t>
            </w:r>
          </w:p>
        </w:tc>
        <w:tc>
          <w:tcPr>
            <w:tcW w:w="20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36" w:type="dxa"/>
            <w:tcBorders>
              <w:bottom w:val="single" w:sz="2" w:space="0" w:color="AFAFAF"/>
            </w:tcBorders>
            <w:shd w:fill="auto" w:val="clear"/>
            <w:tcMar>
              <w:bottom w:w="40" w:type="dxa"/>
            </w:tcMar>
            <w:vAlign w:val="bottom"/>
          </w:tcPr>
          <w:p>
            <w:pPr>
              <w:pStyle w:val="TableContents"/>
              <w:spacing w:before="0" w:after="283"/>
              <w:rPr/>
            </w:pPr>
            <w:r>
              <w:rPr/>
              <w:t> </w:t>
            </w:r>
          </w:p>
        </w:tc>
        <w:tc>
          <w:tcPr>
            <w:tcW w:w="2226" w:type="dxa"/>
            <w:tcBorders>
              <w:bottom w:val="single" w:sz="2" w:space="0" w:color="AFAFAF"/>
            </w:tcBorders>
            <w:shd w:fill="auto" w:val="clear"/>
            <w:tcMar>
              <w:bottom w:w="40" w:type="dxa"/>
            </w:tcMar>
            <w:vAlign w:val="bottom"/>
          </w:tcPr>
          <w:p>
            <w:pPr>
              <w:pStyle w:val="TableContents"/>
              <w:spacing w:before="0" w:after="283"/>
              <w:jc w:val="right"/>
              <w:rPr/>
            </w:pPr>
            <w:r>
              <w:rPr/>
              <w:t>792,088</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2" w:type="dxa"/>
            <w:tcBorders>
              <w:bottom w:val="single" w:sz="2" w:space="0" w:color="AFAFAF"/>
            </w:tcBorders>
            <w:shd w:fill="auto" w:val="clear"/>
            <w:tcMar>
              <w:bottom w:w="40" w:type="dxa"/>
            </w:tcMar>
            <w:vAlign w:val="bottom"/>
          </w:tcPr>
          <w:p>
            <w:pPr>
              <w:pStyle w:val="TableContents"/>
              <w:spacing w:before="0" w:after="283"/>
              <w:rPr/>
            </w:pPr>
            <w:r>
              <w:rPr/>
              <w:t> </w:t>
            </w:r>
          </w:p>
        </w:tc>
        <w:tc>
          <w:tcPr>
            <w:tcW w:w="2666" w:type="dxa"/>
            <w:tcBorders>
              <w:bottom w:val="single" w:sz="2" w:space="0" w:color="AFAFAF"/>
            </w:tcBorders>
            <w:shd w:fill="auto" w:val="clear"/>
            <w:tcMar>
              <w:bottom w:w="40" w:type="dxa"/>
            </w:tcMar>
            <w:vAlign w:val="bottom"/>
          </w:tcPr>
          <w:p>
            <w:pPr>
              <w:pStyle w:val="TableContents"/>
              <w:spacing w:before="0" w:after="283"/>
              <w:jc w:val="right"/>
              <w:rPr/>
            </w:pPr>
            <w:r>
              <w:rPr/>
              <w:t>900,636</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7" w:type="dxa"/>
            <w:tcBorders>
              <w:bottom w:val="single" w:sz="2" w:space="0" w:color="AFAFAF"/>
            </w:tcBorders>
            <w:shd w:fill="auto" w:val="clear"/>
            <w:tcMar>
              <w:bottom w:w="40" w:type="dxa"/>
            </w:tcMar>
            <w:vAlign w:val="bottom"/>
          </w:tcPr>
          <w:p>
            <w:pPr>
              <w:pStyle w:val="TableContents"/>
              <w:spacing w:before="0" w:after="283"/>
              <w:rPr/>
            </w:pPr>
            <w:r>
              <w:rPr/>
              <w:t> </w:t>
            </w:r>
          </w:p>
        </w:tc>
        <w:tc>
          <w:tcPr>
            <w:tcW w:w="2735" w:type="dxa"/>
            <w:tcBorders>
              <w:bottom w:val="single" w:sz="2" w:space="0" w:color="AFAFAF"/>
            </w:tcBorders>
            <w:shd w:fill="auto" w:val="clear"/>
            <w:tcMar>
              <w:bottom w:w="40" w:type="dxa"/>
            </w:tcMar>
            <w:vAlign w:val="bottom"/>
          </w:tcPr>
          <w:p>
            <w:pPr>
              <w:pStyle w:val="TableContents"/>
              <w:spacing w:before="0" w:after="283"/>
              <w:jc w:val="right"/>
              <w:rPr/>
            </w:pPr>
            <w:r>
              <w:rPr/>
              <w:t>1,064,231</w:t>
            </w:r>
          </w:p>
        </w:tc>
        <w:tc>
          <w:tcPr>
            <w:tcW w:w="161"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1010" w:type="dxa"/>
            <w:tcBorders/>
            <w:shd w:fill="auto" w:val="clear"/>
            <w:vAlign w:val="center"/>
          </w:tcPr>
          <w:p>
            <w:pPr>
              <w:pStyle w:val="TableContents"/>
              <w:spacing w:before="0" w:after="283"/>
              <w:rPr>
                <w:sz w:val="4"/>
                <w:szCs w:val="4"/>
              </w:rPr>
            </w:pPr>
            <w:r>
              <w:rPr>
                <w:sz w:val="4"/>
                <w:szCs w:val="4"/>
              </w:rPr>
            </w:r>
          </w:p>
        </w:tc>
        <w:tc>
          <w:tcPr>
            <w:tcW w:w="27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197"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27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1010"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Brian Peccarelli</w:t>
            </w:r>
          </w:p>
        </w:tc>
        <w:tc>
          <w:tcPr>
            <w:tcW w:w="20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36" w:type="dxa"/>
            <w:tcBorders>
              <w:bottom w:val="single" w:sz="2" w:space="0" w:color="AFAFAF"/>
            </w:tcBorders>
            <w:shd w:fill="auto" w:val="clear"/>
            <w:tcMar>
              <w:bottom w:w="40" w:type="dxa"/>
            </w:tcMar>
            <w:vAlign w:val="bottom"/>
          </w:tcPr>
          <w:p>
            <w:pPr>
              <w:pStyle w:val="TableContents"/>
              <w:spacing w:before="0" w:after="283"/>
              <w:rPr/>
            </w:pPr>
            <w:r>
              <w:rPr/>
              <w:t> </w:t>
            </w:r>
          </w:p>
        </w:tc>
        <w:tc>
          <w:tcPr>
            <w:tcW w:w="2226" w:type="dxa"/>
            <w:tcBorders>
              <w:bottom w:val="single" w:sz="2" w:space="0" w:color="AFAFAF"/>
            </w:tcBorders>
            <w:shd w:fill="auto" w:val="clear"/>
            <w:tcMar>
              <w:bottom w:w="40" w:type="dxa"/>
            </w:tcMar>
            <w:vAlign w:val="bottom"/>
          </w:tcPr>
          <w:p>
            <w:pPr>
              <w:pStyle w:val="TableContents"/>
              <w:spacing w:before="0" w:after="283"/>
              <w:jc w:val="right"/>
              <w:rPr/>
            </w:pPr>
            <w:r>
              <w:rPr/>
              <w:t>3,282,000</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2" w:type="dxa"/>
            <w:tcBorders>
              <w:bottom w:val="single" w:sz="2" w:space="0" w:color="AFAFAF"/>
            </w:tcBorders>
            <w:shd w:fill="auto" w:val="clear"/>
            <w:tcMar>
              <w:bottom w:w="40" w:type="dxa"/>
            </w:tcMar>
            <w:vAlign w:val="bottom"/>
          </w:tcPr>
          <w:p>
            <w:pPr>
              <w:pStyle w:val="TableContents"/>
              <w:spacing w:before="0" w:after="283"/>
              <w:rPr/>
            </w:pPr>
            <w:r>
              <w:rPr/>
              <w:t> </w:t>
            </w:r>
          </w:p>
        </w:tc>
        <w:tc>
          <w:tcPr>
            <w:tcW w:w="2666" w:type="dxa"/>
            <w:tcBorders>
              <w:bottom w:val="single" w:sz="2" w:space="0" w:color="AFAFAF"/>
            </w:tcBorders>
            <w:shd w:fill="auto" w:val="clear"/>
            <w:tcMar>
              <w:bottom w:w="40" w:type="dxa"/>
            </w:tcMar>
            <w:vAlign w:val="bottom"/>
          </w:tcPr>
          <w:p>
            <w:pPr>
              <w:pStyle w:val="TableContents"/>
              <w:spacing w:before="0" w:after="283"/>
              <w:jc w:val="right"/>
              <w:rPr/>
            </w:pPr>
            <w:r>
              <w:rPr/>
              <w:t>1,806,129</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7" w:type="dxa"/>
            <w:tcBorders>
              <w:bottom w:val="single" w:sz="2" w:space="0" w:color="AFAFAF"/>
            </w:tcBorders>
            <w:shd w:fill="auto" w:val="clear"/>
            <w:tcMar>
              <w:bottom w:w="40" w:type="dxa"/>
            </w:tcMar>
            <w:vAlign w:val="bottom"/>
          </w:tcPr>
          <w:p>
            <w:pPr>
              <w:pStyle w:val="TableContents"/>
              <w:spacing w:before="0" w:after="283"/>
              <w:rPr/>
            </w:pPr>
            <w:r>
              <w:rPr/>
              <w:t> </w:t>
            </w:r>
          </w:p>
        </w:tc>
        <w:tc>
          <w:tcPr>
            <w:tcW w:w="2735" w:type="dxa"/>
            <w:tcBorders>
              <w:bottom w:val="single" w:sz="2" w:space="0" w:color="AFAFAF"/>
            </w:tcBorders>
            <w:shd w:fill="auto" w:val="clear"/>
            <w:tcMar>
              <w:bottom w:w="40" w:type="dxa"/>
            </w:tcMar>
            <w:vAlign w:val="bottom"/>
          </w:tcPr>
          <w:p>
            <w:pPr>
              <w:pStyle w:val="TableContents"/>
              <w:spacing w:before="0" w:after="283"/>
              <w:jc w:val="right"/>
              <w:rPr/>
            </w:pPr>
            <w:r>
              <w:rPr/>
              <w:t>1,575,000</w:t>
            </w:r>
          </w:p>
        </w:tc>
        <w:tc>
          <w:tcPr>
            <w:tcW w:w="161"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1010" w:type="dxa"/>
            <w:tcBorders/>
            <w:shd w:fill="auto" w:val="clear"/>
            <w:vAlign w:val="center"/>
          </w:tcPr>
          <w:p>
            <w:pPr>
              <w:pStyle w:val="TableContents"/>
              <w:spacing w:before="0" w:after="283"/>
              <w:rPr>
                <w:sz w:val="4"/>
                <w:szCs w:val="4"/>
              </w:rPr>
            </w:pPr>
            <w:r>
              <w:rPr>
                <w:sz w:val="4"/>
                <w:szCs w:val="4"/>
              </w:rPr>
            </w:r>
          </w:p>
        </w:tc>
        <w:tc>
          <w:tcPr>
            <w:tcW w:w="27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197"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27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1010" w:type="dxa"/>
            <w:tcBorders>
              <w:bottom w:val="single" w:sz="2" w:space="0" w:color="AFAFAF"/>
            </w:tcBorders>
            <w:shd w:fill="auto" w:val="clear"/>
            <w:tcMar>
              <w:bottom w:w="40" w:type="dxa"/>
            </w:tcMar>
          </w:tcPr>
          <w:p>
            <w:pPr>
              <w:pStyle w:val="TableContents"/>
              <w:spacing w:before="0" w:after="0"/>
              <w:rPr>
                <w:rFonts w:ascii="Arial" w:hAnsi="Arial"/>
                <w:b/>
                <w:sz w:val="16"/>
              </w:rPr>
            </w:pPr>
            <w:r>
              <w:rPr>
                <w:rFonts w:ascii="Arial" w:hAnsi="Arial"/>
                <w:b/>
                <w:sz w:val="16"/>
              </w:rPr>
              <w:t>Kirsty Roth</w:t>
            </w:r>
          </w:p>
        </w:tc>
        <w:tc>
          <w:tcPr>
            <w:tcW w:w="20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36" w:type="dxa"/>
            <w:tcBorders>
              <w:bottom w:val="single" w:sz="2" w:space="0" w:color="AFAFAF"/>
            </w:tcBorders>
            <w:shd w:fill="auto" w:val="clear"/>
            <w:tcMar>
              <w:bottom w:w="40" w:type="dxa"/>
            </w:tcMar>
            <w:vAlign w:val="bottom"/>
          </w:tcPr>
          <w:p>
            <w:pPr>
              <w:pStyle w:val="TableContents"/>
              <w:spacing w:before="0" w:after="283"/>
              <w:rPr/>
            </w:pPr>
            <w:r>
              <w:rPr/>
              <w:t> </w:t>
            </w:r>
          </w:p>
        </w:tc>
        <w:tc>
          <w:tcPr>
            <w:tcW w:w="2226" w:type="dxa"/>
            <w:tcBorders>
              <w:bottom w:val="single" w:sz="2" w:space="0" w:color="AFAFAF"/>
            </w:tcBorders>
            <w:shd w:fill="auto" w:val="clear"/>
            <w:tcMar>
              <w:bottom w:w="40" w:type="dxa"/>
            </w:tcMar>
            <w:vAlign w:val="bottom"/>
          </w:tcPr>
          <w:p>
            <w:pPr>
              <w:pStyle w:val="TableContents"/>
              <w:spacing w:before="0" w:after="283"/>
              <w:jc w:val="right"/>
              <w:rPr/>
            </w:pPr>
            <w:r>
              <w:rPr/>
              <w:t>136,182</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2" w:type="dxa"/>
            <w:tcBorders>
              <w:bottom w:val="single" w:sz="2" w:space="0" w:color="AFAFAF"/>
            </w:tcBorders>
            <w:shd w:fill="auto" w:val="clear"/>
            <w:tcMar>
              <w:bottom w:w="40" w:type="dxa"/>
            </w:tcMar>
            <w:vAlign w:val="bottom"/>
          </w:tcPr>
          <w:p>
            <w:pPr>
              <w:pStyle w:val="TableContents"/>
              <w:spacing w:before="0" w:after="283"/>
              <w:rPr/>
            </w:pPr>
            <w:r>
              <w:rPr/>
              <w:t> </w:t>
            </w:r>
          </w:p>
        </w:tc>
        <w:tc>
          <w:tcPr>
            <w:tcW w:w="2666" w:type="dxa"/>
            <w:tcBorders>
              <w:bottom w:val="single" w:sz="2" w:space="0" w:color="AFAFAF"/>
            </w:tcBorders>
            <w:shd w:fill="auto" w:val="clear"/>
            <w:tcMar>
              <w:bottom w:w="40" w:type="dxa"/>
            </w:tcMar>
            <w:vAlign w:val="bottom"/>
          </w:tcPr>
          <w:p>
            <w:pPr>
              <w:pStyle w:val="TableContents"/>
              <w:spacing w:before="0" w:after="283"/>
              <w:jc w:val="right"/>
              <w:rPr/>
            </w:pPr>
            <w:r>
              <w:rPr/>
              <w:t>378,818</w:t>
            </w:r>
          </w:p>
        </w:tc>
        <w:tc>
          <w:tcPr>
            <w:tcW w:w="155" w:type="dxa"/>
            <w:tcBorders>
              <w:bottom w:val="single" w:sz="2" w:space="0" w:color="AFAFAF"/>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7" w:type="dxa"/>
            <w:tcBorders>
              <w:bottom w:val="single" w:sz="2" w:space="0" w:color="AFAFAF"/>
            </w:tcBorders>
            <w:shd w:fill="auto" w:val="clear"/>
            <w:tcMar>
              <w:bottom w:w="40" w:type="dxa"/>
            </w:tcMar>
            <w:vAlign w:val="bottom"/>
          </w:tcPr>
          <w:p>
            <w:pPr>
              <w:pStyle w:val="TableContents"/>
              <w:spacing w:before="0" w:after="283"/>
              <w:rPr/>
            </w:pPr>
            <w:r>
              <w:rPr/>
              <w:t> </w:t>
            </w:r>
          </w:p>
        </w:tc>
        <w:tc>
          <w:tcPr>
            <w:tcW w:w="2735" w:type="dxa"/>
            <w:tcBorders>
              <w:bottom w:val="single" w:sz="2" w:space="0" w:color="AFAFAF"/>
            </w:tcBorders>
            <w:shd w:fill="auto" w:val="clear"/>
            <w:tcMar>
              <w:bottom w:w="40" w:type="dxa"/>
            </w:tcMar>
            <w:vAlign w:val="bottom"/>
          </w:tcPr>
          <w:p>
            <w:pPr>
              <w:pStyle w:val="TableContents"/>
              <w:spacing w:before="0" w:after="283"/>
              <w:jc w:val="right"/>
              <w:rPr/>
            </w:pPr>
            <w:r>
              <w:rPr/>
              <w:t>1,074,056</w:t>
            </w:r>
          </w:p>
        </w:tc>
        <w:tc>
          <w:tcPr>
            <w:tcW w:w="161" w:type="dxa"/>
            <w:tcBorders>
              <w:bottom w:val="single" w:sz="2" w:space="0" w:color="AFAFAF"/>
            </w:tcBorders>
            <w:shd w:fill="auto" w:val="clear"/>
            <w:tcMar>
              <w:bottom w:w="40" w:type="dxa"/>
            </w:tcMar>
            <w:vAlign w:val="bottom"/>
          </w:tcPr>
          <w:p>
            <w:pPr>
              <w:pStyle w:val="TableContents"/>
              <w:spacing w:before="0" w:after="283"/>
              <w:rPr/>
            </w:pPr>
            <w:r>
              <w:rPr/>
              <w:t> </w:t>
            </w:r>
          </w:p>
        </w:tc>
      </w:tr>
      <w:tr>
        <w:trPr>
          <w:trHeight w:val="60" w:hRule="atLeast"/>
        </w:trPr>
        <w:tc>
          <w:tcPr>
            <w:tcW w:w="1010" w:type="dxa"/>
            <w:tcBorders/>
            <w:shd w:fill="auto" w:val="clear"/>
            <w:vAlign w:val="center"/>
          </w:tcPr>
          <w:p>
            <w:pPr>
              <w:pStyle w:val="TableContents"/>
              <w:spacing w:before="0" w:after="283"/>
              <w:rPr>
                <w:sz w:val="4"/>
                <w:szCs w:val="4"/>
              </w:rPr>
            </w:pPr>
            <w:r>
              <w:rPr>
                <w:sz w:val="4"/>
                <w:szCs w:val="4"/>
              </w:rPr>
            </w:r>
          </w:p>
        </w:tc>
        <w:tc>
          <w:tcPr>
            <w:tcW w:w="2721"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197" w:type="dxa"/>
            <w:gridSpan w:val="4"/>
            <w:tcBorders>
              <w:left w:val="single" w:sz="2" w:space="0" w:color="AFAFAF"/>
            </w:tcBorders>
            <w:shd w:fill="auto" w:val="clear"/>
            <w:tcMar>
              <w:left w:w="28" w:type="dxa"/>
            </w:tcMar>
            <w:vAlign w:val="center"/>
          </w:tcPr>
          <w:p>
            <w:pPr>
              <w:pStyle w:val="TableContents"/>
              <w:spacing w:before="0" w:after="283"/>
              <w:rPr/>
            </w:pPr>
            <w:r>
              <w:rPr/>
              <w:t> </w:t>
            </w:r>
          </w:p>
        </w:tc>
        <w:tc>
          <w:tcPr>
            <w:tcW w:w="3277" w:type="dxa"/>
            <w:gridSpan w:val="4"/>
            <w:tcBorders>
              <w:left w:val="single" w:sz="2" w:space="0" w:color="AFAFAF"/>
            </w:tcBorders>
            <w:shd w:fill="auto" w:val="clear"/>
            <w:tcMar>
              <w:left w:w="28" w:type="dxa"/>
            </w:tcMar>
            <w:vAlign w:val="center"/>
          </w:tcPr>
          <w:p>
            <w:pPr>
              <w:pStyle w:val="TableContents"/>
              <w:spacing w:before="0" w:after="283"/>
              <w:rPr/>
            </w:pPr>
            <w:r>
              <w:rPr/>
              <w:t> </w:t>
            </w:r>
          </w:p>
        </w:tc>
      </w:tr>
      <w:tr>
        <w:trPr/>
        <w:tc>
          <w:tcPr>
            <w:tcW w:w="1010" w:type="dxa"/>
            <w:tcBorders>
              <w:bottom w:val="single" w:sz="8" w:space="0" w:color="B94831"/>
            </w:tcBorders>
            <w:shd w:fill="auto" w:val="clear"/>
            <w:tcMar>
              <w:bottom w:w="40" w:type="dxa"/>
            </w:tcMar>
          </w:tcPr>
          <w:p>
            <w:pPr>
              <w:pStyle w:val="TableContents"/>
              <w:spacing w:before="0" w:after="0"/>
              <w:rPr>
                <w:rFonts w:ascii="Arial" w:hAnsi="Arial"/>
                <w:b/>
                <w:sz w:val="16"/>
              </w:rPr>
            </w:pPr>
            <w:r>
              <w:rPr>
                <w:rFonts w:ascii="Arial" w:hAnsi="Arial"/>
                <w:b/>
                <w:sz w:val="16"/>
              </w:rPr>
              <w:t>David Wong</w:t>
            </w:r>
          </w:p>
        </w:tc>
        <w:tc>
          <w:tcPr>
            <w:tcW w:w="20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36" w:type="dxa"/>
            <w:tcBorders>
              <w:bottom w:val="single" w:sz="8" w:space="0" w:color="B94831"/>
            </w:tcBorders>
            <w:shd w:fill="auto" w:val="clear"/>
            <w:tcMar>
              <w:bottom w:w="40" w:type="dxa"/>
            </w:tcMar>
            <w:vAlign w:val="bottom"/>
          </w:tcPr>
          <w:p>
            <w:pPr>
              <w:pStyle w:val="TableContents"/>
              <w:spacing w:before="0" w:after="283"/>
              <w:rPr/>
            </w:pPr>
            <w:r>
              <w:rPr/>
              <w:t> </w:t>
            </w:r>
          </w:p>
        </w:tc>
        <w:tc>
          <w:tcPr>
            <w:tcW w:w="2226" w:type="dxa"/>
            <w:tcBorders>
              <w:bottom w:val="single" w:sz="8" w:space="0" w:color="B94831"/>
            </w:tcBorders>
            <w:shd w:fill="auto" w:val="clear"/>
            <w:tcMar>
              <w:bottom w:w="40" w:type="dxa"/>
            </w:tcMar>
            <w:vAlign w:val="bottom"/>
          </w:tcPr>
          <w:p>
            <w:pPr>
              <w:pStyle w:val="TableContents"/>
              <w:spacing w:before="0" w:after="283"/>
              <w:jc w:val="right"/>
              <w:rPr/>
            </w:pPr>
            <w:r>
              <w:rPr/>
              <w:t>110,875</w:t>
            </w:r>
          </w:p>
        </w:tc>
        <w:tc>
          <w:tcPr>
            <w:tcW w:w="155" w:type="dxa"/>
            <w:tcBorders>
              <w:bottom w:val="single" w:sz="8" w:space="0" w:color="B94831"/>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2" w:type="dxa"/>
            <w:tcBorders>
              <w:bottom w:val="single" w:sz="8" w:space="0" w:color="B94831"/>
            </w:tcBorders>
            <w:shd w:fill="auto" w:val="clear"/>
            <w:tcMar>
              <w:bottom w:w="40" w:type="dxa"/>
            </w:tcMar>
            <w:vAlign w:val="bottom"/>
          </w:tcPr>
          <w:p>
            <w:pPr>
              <w:pStyle w:val="TableContents"/>
              <w:spacing w:before="0" w:after="283"/>
              <w:rPr/>
            </w:pPr>
            <w:r>
              <w:rPr/>
              <w:t> </w:t>
            </w:r>
          </w:p>
        </w:tc>
        <w:tc>
          <w:tcPr>
            <w:tcW w:w="2666" w:type="dxa"/>
            <w:tcBorders>
              <w:bottom w:val="single" w:sz="8" w:space="0" w:color="B94831"/>
            </w:tcBorders>
            <w:shd w:fill="auto" w:val="clear"/>
            <w:tcMar>
              <w:bottom w:w="40" w:type="dxa"/>
            </w:tcMar>
            <w:vAlign w:val="bottom"/>
          </w:tcPr>
          <w:p>
            <w:pPr>
              <w:pStyle w:val="TableContents"/>
              <w:spacing w:before="0" w:after="283"/>
              <w:jc w:val="right"/>
              <w:rPr/>
            </w:pPr>
            <w:r>
              <w:rPr/>
              <w:t>2,153,489</w:t>
            </w:r>
          </w:p>
        </w:tc>
        <w:tc>
          <w:tcPr>
            <w:tcW w:w="155" w:type="dxa"/>
            <w:tcBorders>
              <w:bottom w:val="single" w:sz="8" w:space="0" w:color="B94831"/>
            </w:tcBorders>
            <w:shd w:fill="auto" w:val="clear"/>
            <w:tcMar>
              <w:bottom w:w="40" w:type="dxa"/>
            </w:tcMar>
            <w:vAlign w:val="bottom"/>
          </w:tcPr>
          <w:p>
            <w:pPr>
              <w:pStyle w:val="TableContents"/>
              <w:spacing w:before="0" w:after="283"/>
              <w:rPr/>
            </w:pPr>
            <w:r>
              <w:rPr/>
              <w:t> </w:t>
            </w:r>
          </w:p>
        </w:tc>
        <w:tc>
          <w:tcPr>
            <w:tcW w:w="21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7" w:type="dxa"/>
            <w:tcBorders>
              <w:bottom w:val="single" w:sz="8" w:space="0" w:color="B94831"/>
            </w:tcBorders>
            <w:shd w:fill="auto" w:val="clear"/>
            <w:tcMar>
              <w:bottom w:w="40" w:type="dxa"/>
            </w:tcMar>
            <w:vAlign w:val="bottom"/>
          </w:tcPr>
          <w:p>
            <w:pPr>
              <w:pStyle w:val="TableContents"/>
              <w:spacing w:before="0" w:after="283"/>
              <w:rPr/>
            </w:pPr>
            <w:r>
              <w:rPr/>
              <w:t> </w:t>
            </w:r>
          </w:p>
        </w:tc>
        <w:tc>
          <w:tcPr>
            <w:tcW w:w="2735" w:type="dxa"/>
            <w:tcBorders>
              <w:bottom w:val="single" w:sz="8" w:space="0" w:color="B94831"/>
            </w:tcBorders>
            <w:shd w:fill="auto" w:val="clear"/>
            <w:tcMar>
              <w:bottom w:w="40" w:type="dxa"/>
            </w:tcMar>
            <w:vAlign w:val="bottom"/>
          </w:tcPr>
          <w:p>
            <w:pPr>
              <w:pStyle w:val="TableContents"/>
              <w:spacing w:before="0" w:after="283"/>
              <w:jc w:val="right"/>
              <w:rPr/>
            </w:pPr>
            <w:r>
              <w:rPr/>
              <w:t>911,212</w:t>
            </w:r>
          </w:p>
        </w:tc>
        <w:tc>
          <w:tcPr>
            <w:tcW w:w="161" w:type="dxa"/>
            <w:tcBorders>
              <w:bottom w:val="single" w:sz="8" w:space="0" w:color="B94831"/>
            </w:tcBorders>
            <w:shd w:fill="auto" w:val="clear"/>
            <w:tcMar>
              <w:bottom w:w="40" w:type="dxa"/>
            </w:tcMar>
            <w:vAlign w:val="bottom"/>
          </w:tcPr>
          <w:p>
            <w:pPr>
              <w:pStyle w:val="TableContents"/>
              <w:spacing w:before="0" w:after="283"/>
              <w:rPr/>
            </w:pPr>
            <w:r>
              <w:rPr/>
              <w:t> </w:t>
            </w:r>
          </w:p>
        </w:tc>
      </w:tr>
    </w:tbl>
    <w:p>
      <w:pPr>
        <w:pStyle w:val="TextBody"/>
        <w:spacing w:before="120" w:after="0"/>
        <w:jc w:val="left"/>
        <w:rPr>
          <w:rFonts w:ascii="arial" w:hAnsi="arial"/>
          <w:color w:val="B94831"/>
          <w:sz w:val="28"/>
        </w:rPr>
      </w:pPr>
      <w:r>
        <w:rPr>
          <w:rFonts w:ascii="arial" w:hAnsi="arial"/>
          <w:color w:val="B94831"/>
          <w:sz w:val="28"/>
        </w:rPr>
        <w:t xml:space="preserve">Stock Options  Exercises in 2022 </w:t>
      </w:r>
    </w:p>
    <w:p>
      <w:pPr>
        <w:pStyle w:val="TextBody"/>
        <w:spacing w:before="40" w:after="0"/>
        <w:jc w:val="left"/>
        <w:rPr>
          <w:rFonts w:ascii="arial" w:hAnsi="arial"/>
          <w:sz w:val="20"/>
        </w:rPr>
      </w:pPr>
      <w:r>
        <w:rPr>
          <w:rFonts w:ascii="arial" w:hAnsi="arial"/>
          <w:sz w:val="20"/>
        </w:rPr>
        <w:t xml:space="preserve">As indicated in the table below, Brian Peccarelli and Kirsty Roth were the only named executive officers who exercised stock options in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67"/>
        <w:gridCol w:w="120"/>
        <w:gridCol w:w="60"/>
        <w:gridCol w:w="1911"/>
        <w:gridCol w:w="66"/>
        <w:gridCol w:w="124"/>
        <w:gridCol w:w="60"/>
        <w:gridCol w:w="1423"/>
        <w:gridCol w:w="76"/>
        <w:gridCol w:w="124"/>
        <w:gridCol w:w="60"/>
        <w:gridCol w:w="1226"/>
        <w:gridCol w:w="76"/>
        <w:gridCol w:w="124"/>
        <w:gridCol w:w="140"/>
        <w:gridCol w:w="1015"/>
        <w:gridCol w:w="76"/>
        <w:gridCol w:w="124"/>
        <w:gridCol w:w="140"/>
        <w:gridCol w:w="680"/>
        <w:gridCol w:w="76"/>
        <w:gridCol w:w="123"/>
        <w:gridCol w:w="140"/>
        <w:gridCol w:w="987"/>
        <w:gridCol w:w="87"/>
      </w:tblGrid>
      <w:tr>
        <w:trPr/>
        <w:tc>
          <w:tcPr>
            <w:tcW w:w="11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1167" w:type="dxa"/>
            <w:tcBorders/>
            <w:shd w:fill="262626" w:val="clear"/>
            <w:vAlign w:val="center"/>
          </w:tcPr>
          <w:p>
            <w:pPr>
              <w:pStyle w:val="TableContents"/>
              <w:spacing w:before="0" w:after="283"/>
              <w:rPr>
                <w:sz w:val="4"/>
                <w:szCs w:val="4"/>
              </w:rPr>
            </w:pPr>
            <w:r>
              <w:rPr>
                <w:sz w:val="4"/>
                <w:szCs w:val="4"/>
              </w:rPr>
            </w:r>
          </w:p>
        </w:tc>
        <w:tc>
          <w:tcPr>
            <w:tcW w:w="2157" w:type="dxa"/>
            <w:gridSpan w:val="4"/>
            <w:tcBorders/>
            <w:shd w:fill="262626" w:val="clear"/>
            <w:vAlign w:val="center"/>
          </w:tcPr>
          <w:p>
            <w:pPr>
              <w:pStyle w:val="TableContents"/>
              <w:spacing w:before="0" w:after="283"/>
              <w:rPr>
                <w:sz w:val="4"/>
                <w:szCs w:val="4"/>
              </w:rPr>
            </w:pPr>
            <w:r>
              <w:rPr>
                <w:sz w:val="4"/>
                <w:szCs w:val="4"/>
              </w:rPr>
            </w:r>
          </w:p>
        </w:tc>
        <w:tc>
          <w:tcPr>
            <w:tcW w:w="1683" w:type="dxa"/>
            <w:gridSpan w:val="4"/>
            <w:tcBorders/>
            <w:shd w:fill="262626" w:val="clear"/>
            <w:vAlign w:val="center"/>
          </w:tcPr>
          <w:p>
            <w:pPr>
              <w:pStyle w:val="TableContents"/>
              <w:spacing w:before="0" w:after="283"/>
              <w:rPr>
                <w:sz w:val="4"/>
                <w:szCs w:val="4"/>
              </w:rPr>
            </w:pPr>
            <w:r>
              <w:rPr>
                <w:sz w:val="4"/>
                <w:szCs w:val="4"/>
              </w:rPr>
            </w:r>
          </w:p>
        </w:tc>
        <w:tc>
          <w:tcPr>
            <w:tcW w:w="1486" w:type="dxa"/>
            <w:gridSpan w:val="4"/>
            <w:tcBorders/>
            <w:shd w:fill="262626" w:val="clear"/>
            <w:vAlign w:val="center"/>
          </w:tcPr>
          <w:p>
            <w:pPr>
              <w:pStyle w:val="TableContents"/>
              <w:spacing w:before="0" w:after="283"/>
              <w:rPr>
                <w:sz w:val="4"/>
                <w:szCs w:val="4"/>
              </w:rPr>
            </w:pPr>
            <w:r>
              <w:rPr>
                <w:sz w:val="4"/>
                <w:szCs w:val="4"/>
              </w:rPr>
            </w:r>
          </w:p>
        </w:tc>
        <w:tc>
          <w:tcPr>
            <w:tcW w:w="1355" w:type="dxa"/>
            <w:gridSpan w:val="4"/>
            <w:tcBorders/>
            <w:shd w:fill="262626" w:val="clear"/>
            <w:vAlign w:val="center"/>
          </w:tcPr>
          <w:p>
            <w:pPr>
              <w:pStyle w:val="TableContents"/>
              <w:spacing w:before="0" w:after="283"/>
              <w:rPr>
                <w:sz w:val="4"/>
                <w:szCs w:val="4"/>
              </w:rPr>
            </w:pPr>
            <w:r>
              <w:rPr>
                <w:sz w:val="4"/>
                <w:szCs w:val="4"/>
              </w:rPr>
            </w:r>
          </w:p>
        </w:tc>
        <w:tc>
          <w:tcPr>
            <w:tcW w:w="1020" w:type="dxa"/>
            <w:gridSpan w:val="4"/>
            <w:tcBorders/>
            <w:shd w:fill="262626" w:val="clear"/>
            <w:vAlign w:val="center"/>
          </w:tcPr>
          <w:p>
            <w:pPr>
              <w:pStyle w:val="TableContents"/>
              <w:spacing w:before="0" w:after="283"/>
              <w:rPr>
                <w:sz w:val="4"/>
                <w:szCs w:val="4"/>
              </w:rPr>
            </w:pPr>
            <w:r>
              <w:rPr>
                <w:sz w:val="4"/>
                <w:szCs w:val="4"/>
              </w:rPr>
            </w:r>
          </w:p>
        </w:tc>
        <w:tc>
          <w:tcPr>
            <w:tcW w:w="1337" w:type="dxa"/>
            <w:gridSpan w:val="4"/>
            <w:tcBorders/>
            <w:shd w:fill="262626" w:val="clear"/>
            <w:vAlign w:val="center"/>
          </w:tcPr>
          <w:p>
            <w:pPr>
              <w:pStyle w:val="TableContents"/>
              <w:spacing w:before="0" w:after="283"/>
              <w:rPr>
                <w:sz w:val="4"/>
                <w:szCs w:val="4"/>
              </w:rPr>
            </w:pPr>
            <w:r>
              <w:rPr>
                <w:sz w:val="4"/>
                <w:szCs w:val="4"/>
              </w:rPr>
            </w:r>
          </w:p>
        </w:tc>
      </w:tr>
      <w:tr>
        <w:trPr/>
        <w:tc>
          <w:tcPr>
            <w:tcW w:w="1167" w:type="dxa"/>
            <w:tcBorders>
              <w:bottom w:val="single" w:sz="2" w:space="0" w:color="B94831"/>
            </w:tcBorders>
            <w:shd w:fill="262626" w:val="clear"/>
            <w:tcMar>
              <w:bottom w:w="40"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12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911"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Exercise date</w:t>
            </w:r>
          </w:p>
        </w:tc>
        <w:tc>
          <w:tcPr>
            <w:tcW w:w="66"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24"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423"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Grant date</w:t>
            </w:r>
          </w:p>
        </w:tc>
        <w:tc>
          <w:tcPr>
            <w:tcW w:w="76"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24"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226"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Number of</w:t>
              <w:br/>
              <w:t>options</w:t>
            </w:r>
          </w:p>
        </w:tc>
        <w:tc>
          <w:tcPr>
            <w:tcW w:w="76"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r>
              <w:rPr>
                <w:rFonts w:ascii="Arial" w:hAnsi="Arial"/>
                <w:b/>
                <w:color w:val="FFFFFF"/>
              </w:rPr>
              <w:br/>
              <w:t> </w:t>
            </w:r>
          </w:p>
        </w:tc>
        <w:tc>
          <w:tcPr>
            <w:tcW w:w="124" w:type="dxa"/>
            <w:tcBorders>
              <w:bottom w:val="single" w:sz="2"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1015"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Exercise</w:t>
              <w:br/>
              <w:t>price</w:t>
            </w:r>
          </w:p>
        </w:tc>
        <w:tc>
          <w:tcPr>
            <w:tcW w:w="76"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r>
              <w:rPr>
                <w:rFonts w:ascii="Arial" w:hAnsi="Arial"/>
                <w:b/>
                <w:color w:val="FFFFFF"/>
              </w:rPr>
              <w:br/>
              <w:t> </w:t>
            </w:r>
          </w:p>
        </w:tc>
        <w:tc>
          <w:tcPr>
            <w:tcW w:w="124" w:type="dxa"/>
            <w:tcBorders>
              <w:bottom w:val="single" w:sz="2"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680" w:type="dxa"/>
            <w:tcBorders>
              <w:bottom w:val="single" w:sz="2" w:space="0" w:color="B94831"/>
            </w:tcBorders>
            <w:shd w:fill="262626" w:val="clear"/>
            <w:tcMar>
              <w:bottom w:w="40" w:type="dxa"/>
            </w:tcMar>
            <w:vAlign w:val="bottom"/>
          </w:tcPr>
          <w:p>
            <w:pPr>
              <w:pStyle w:val="TableContents"/>
              <w:jc w:val="right"/>
              <w:rPr>
                <w:rFonts w:ascii="Arial" w:hAnsi="Arial"/>
                <w:b/>
                <w:color w:val="FFFFFF"/>
              </w:rPr>
            </w:pPr>
            <w:r>
              <w:rPr>
                <w:rFonts w:ascii="Arial" w:hAnsi="Arial"/>
                <w:b/>
                <w:color w:val="FFFFFF"/>
              </w:rPr>
              <w:t>Sale</w:t>
            </w:r>
          </w:p>
          <w:p>
            <w:pPr>
              <w:pStyle w:val="TableContents"/>
              <w:spacing w:before="0" w:after="20"/>
              <w:jc w:val="right"/>
              <w:rPr>
                <w:rFonts w:ascii="Arial" w:hAnsi="Arial"/>
                <w:b/>
                <w:color w:val="FFFFFF"/>
                <w:sz w:val="17"/>
              </w:rPr>
            </w:pPr>
            <w:r>
              <w:rPr>
                <w:rFonts w:ascii="Arial" w:hAnsi="Arial"/>
                <w:b/>
                <w:color w:val="FFFFFF"/>
                <w:sz w:val="17"/>
              </w:rPr>
              <w:t>Price</w:t>
            </w:r>
          </w:p>
        </w:tc>
        <w:tc>
          <w:tcPr>
            <w:tcW w:w="76" w:type="dxa"/>
            <w:tcBorders>
              <w:bottom w:val="single" w:sz="2" w:space="0" w:color="B94831"/>
            </w:tcBorders>
            <w:shd w:fill="262626" w:val="clear"/>
            <w:tcMar>
              <w:bottom w:w="40" w:type="dxa"/>
            </w:tcMar>
            <w:vAlign w:val="bottom"/>
          </w:tcPr>
          <w:p>
            <w:pPr>
              <w:pStyle w:val="TableContents"/>
              <w:rPr>
                <w:color w:val="FFFFFF"/>
              </w:rPr>
            </w:pPr>
            <w:r>
              <w:rPr>
                <w:color w:val="FFFFFF"/>
              </w:rPr>
              <w:t> </w:t>
            </w:r>
          </w:p>
          <w:p>
            <w:pPr>
              <w:pStyle w:val="TableContents"/>
              <w:spacing w:before="0" w:after="20"/>
              <w:rPr>
                <w:color w:val="FFFFFF"/>
              </w:rPr>
            </w:pPr>
            <w:r>
              <w:rPr>
                <w:color w:val="FFFFFF"/>
              </w:rPr>
              <w:t> </w:t>
            </w:r>
          </w:p>
        </w:tc>
        <w:tc>
          <w:tcPr>
            <w:tcW w:w="123" w:type="dxa"/>
            <w:tcBorders>
              <w:bottom w:val="single" w:sz="2" w:space="0" w:color="B94831"/>
            </w:tcBorders>
            <w:shd w:fill="262626" w:val="clear"/>
            <w:tcMar>
              <w:bottom w:w="28" w:type="dxa"/>
            </w:tcMar>
            <w:vAlign w:val="bottom"/>
          </w:tcPr>
          <w:p>
            <w:pPr>
              <w:pStyle w:val="TableContents"/>
              <w:spacing w:before="0" w:after="283"/>
              <w:rPr/>
            </w:pPr>
            <w:r>
              <w:rPr/>
              <w:t>  </w:t>
            </w:r>
          </w:p>
        </w:tc>
        <w:tc>
          <w:tcPr>
            <w:tcW w:w="140"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c>
          <w:tcPr>
            <w:tcW w:w="987" w:type="dxa"/>
            <w:tcBorders>
              <w:bottom w:val="single" w:sz="2" w:space="0" w:color="B94831"/>
            </w:tcBorders>
            <w:shd w:fill="262626" w:val="clear"/>
            <w:tcMar>
              <w:bottom w:w="40" w:type="dxa"/>
            </w:tcMar>
            <w:vAlign w:val="bottom"/>
          </w:tcPr>
          <w:p>
            <w:pPr>
              <w:pStyle w:val="TableContents"/>
              <w:spacing w:before="0" w:after="283"/>
              <w:jc w:val="right"/>
              <w:rPr>
                <w:rFonts w:ascii="Arial" w:hAnsi="Arial"/>
                <w:b/>
                <w:color w:val="FFFFFF"/>
              </w:rPr>
            </w:pPr>
            <w:r>
              <w:rPr>
                <w:rFonts w:ascii="Arial" w:hAnsi="Arial"/>
                <w:b/>
                <w:color w:val="FFFFFF"/>
              </w:rPr>
              <w:t>Gain</w:t>
            </w:r>
          </w:p>
        </w:tc>
        <w:tc>
          <w:tcPr>
            <w:tcW w:w="87" w:type="dxa"/>
            <w:tcBorders>
              <w:bottom w:val="single" w:sz="2" w:space="0" w:color="B94831"/>
            </w:tcBorders>
            <w:shd w:fill="262626" w:val="clear"/>
            <w:tcMar>
              <w:bottom w:w="40" w:type="dxa"/>
            </w:tcMar>
            <w:vAlign w:val="bottom"/>
          </w:tcPr>
          <w:p>
            <w:pPr>
              <w:pStyle w:val="TableContents"/>
              <w:spacing w:before="0" w:after="283"/>
              <w:rPr>
                <w:color w:val="FFFFFF"/>
              </w:rPr>
            </w:pPr>
            <w:r>
              <w:rPr>
                <w:color w:val="FFFFFF"/>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bottom w:val="single" w:sz="2" w:space="0" w:color="AFAFAF"/>
              <w:right w:val="single" w:sz="2" w:space="0" w:color="AFAFAF"/>
            </w:tcBorders>
            <w:shd w:fill="auto" w:val="clear"/>
            <w:tcMar>
              <w:bottom w:w="40" w:type="dxa"/>
              <w:right w:w="28" w:type="dxa"/>
            </w:tcMar>
          </w:tcPr>
          <w:p>
            <w:pPr>
              <w:pStyle w:val="TableContents"/>
              <w:spacing w:before="0" w:after="0"/>
              <w:rPr>
                <w:rFonts w:ascii="Arial" w:hAnsi="Arial"/>
                <w:b/>
                <w:sz w:val="16"/>
              </w:rPr>
            </w:pPr>
            <w:r>
              <w:rPr>
                <w:rFonts w:ascii="Arial" w:hAnsi="Arial"/>
                <w:b/>
                <w:sz w:val="16"/>
              </w:rPr>
              <w:t>Steve Hasker</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bottom w:val="single" w:sz="2" w:space="0" w:color="AFAFAF"/>
              <w:right w:val="single" w:sz="2" w:space="0" w:color="AFAFAF"/>
            </w:tcBorders>
            <w:shd w:fill="auto" w:val="clear"/>
            <w:tcMar>
              <w:bottom w:w="40" w:type="dxa"/>
              <w:right w:w="28" w:type="dxa"/>
            </w:tcMar>
          </w:tcPr>
          <w:p>
            <w:pPr>
              <w:pStyle w:val="TableContents"/>
              <w:spacing w:before="0" w:after="0"/>
              <w:rPr>
                <w:rFonts w:ascii="Arial" w:hAnsi="Arial"/>
                <w:b/>
                <w:sz w:val="16"/>
              </w:rPr>
            </w:pPr>
            <w:r>
              <w:rPr>
                <w:rFonts w:ascii="Arial" w:hAnsi="Arial"/>
                <w:b/>
                <w:sz w:val="16"/>
              </w:rPr>
              <w:t>Mike Eastwood</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 </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right w:val="single" w:sz="2" w:space="0" w:color="AFAFAF"/>
            </w:tcBorders>
            <w:shd w:fill="auto" w:val="clear"/>
            <w:tcMar>
              <w:right w:w="28" w:type="dxa"/>
            </w:tcMar>
          </w:tcPr>
          <w:p>
            <w:pPr>
              <w:pStyle w:val="TableContents"/>
              <w:spacing w:before="0" w:after="0"/>
              <w:rPr>
                <w:rFonts w:ascii="Arial" w:hAnsi="Arial"/>
                <w:b/>
                <w:sz w:val="16"/>
              </w:rPr>
            </w:pPr>
            <w:r>
              <w:rPr>
                <w:rFonts w:ascii="Arial" w:hAnsi="Arial"/>
                <w:b/>
                <w:sz w:val="16"/>
              </w:rPr>
              <w:t>Brian Peccarelli</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August 19, 2022</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June 6, 2018</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116,199</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39.49</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116.02</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8,892,709</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right w:val="single" w:sz="2" w:space="0" w:color="AFAFAF"/>
            </w:tcBorders>
            <w:shd w:fill="auto" w:val="clear"/>
            <w:tcMar>
              <w:right w:w="28" w:type="dxa"/>
            </w:tcMar>
          </w:tcPr>
          <w:p>
            <w:pPr>
              <w:pStyle w:val="TableContents"/>
              <w:rPr/>
            </w:pPr>
            <w:r>
              <w:rPr/>
              <w:t xml:space="preserve">  </w:t>
            </w:r>
          </w:p>
          <w:p>
            <w:pPr>
              <w:pStyle w:val="TableContents"/>
              <w:spacing w:before="0" w:after="0"/>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December 20, 2022</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March 6, 2019</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12,467</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54.36</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111.76</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715,606</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right w:val="single" w:sz="2" w:space="0" w:color="AFAFAF"/>
            </w:tcBorders>
            <w:shd w:fill="auto" w:val="clear"/>
            <w:tcMar>
              <w:right w:w="28" w:type="dxa"/>
            </w:tcMar>
          </w:tcPr>
          <w:p>
            <w:pPr>
              <w:pStyle w:val="TableContents"/>
              <w:rPr/>
            </w:pPr>
            <w:r>
              <w:rPr/>
              <w:t xml:space="preserve">  </w:t>
            </w:r>
          </w:p>
          <w:p>
            <w:pPr>
              <w:pStyle w:val="TableContents"/>
              <w:spacing w:before="0" w:after="0"/>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December 20, 2022</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March 4, 2020</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27,860</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75.96</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111.76</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997,388</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bottom w:val="single" w:sz="2" w:space="0" w:color="AFAFAF"/>
              <w:right w:val="single" w:sz="2" w:space="0" w:color="AFAFAF"/>
            </w:tcBorders>
            <w:shd w:fill="auto" w:val="clear"/>
            <w:tcMar>
              <w:bottom w:w="28" w:type="dxa"/>
              <w:right w:w="28" w:type="dxa"/>
            </w:tcMar>
          </w:tcPr>
          <w:p>
            <w:pPr>
              <w:pStyle w:val="TableContents"/>
              <w:rPr/>
            </w:pPr>
            <w:r>
              <w:rPr/>
              <w:t xml:space="preserve">  </w:t>
            </w:r>
          </w:p>
          <w:p>
            <w:pPr>
              <w:pStyle w:val="TableContents"/>
              <w:spacing w:before="0" w:after="0"/>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December 20, 2022</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March 3, 2021</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8,245</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111.76</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188,728</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bottom w:val="single" w:sz="2" w:space="0" w:color="AFAFAF"/>
              <w:right w:val="single" w:sz="2" w:space="0" w:color="AFAFAF"/>
            </w:tcBorders>
            <w:shd w:fill="auto" w:val="clear"/>
            <w:tcMar>
              <w:bottom w:w="40" w:type="dxa"/>
              <w:right w:w="28" w:type="dxa"/>
            </w:tcMar>
          </w:tcPr>
          <w:p>
            <w:pPr>
              <w:pStyle w:val="TableContents"/>
              <w:spacing w:before="0" w:after="0"/>
              <w:rPr>
                <w:rFonts w:ascii="Arial" w:hAnsi="Arial"/>
                <w:b/>
                <w:sz w:val="16"/>
              </w:rPr>
            </w:pPr>
            <w:r>
              <w:rPr>
                <w:rFonts w:ascii="Arial" w:hAnsi="Arial"/>
                <w:b/>
                <w:sz w:val="16"/>
              </w:rPr>
              <w:t>Kirsty Roth</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911" w:type="dxa"/>
            <w:tcBorders>
              <w:bottom w:val="single" w:sz="2" w:space="0" w:color="AFAFAF"/>
            </w:tcBorders>
            <w:shd w:fill="auto" w:val="clear"/>
            <w:tcMar>
              <w:bottom w:w="40" w:type="dxa"/>
            </w:tcMar>
            <w:vAlign w:val="bottom"/>
          </w:tcPr>
          <w:p>
            <w:pPr>
              <w:pStyle w:val="TableContents"/>
              <w:spacing w:before="0" w:after="283"/>
              <w:jc w:val="right"/>
              <w:rPr/>
            </w:pPr>
            <w:r>
              <w:rPr/>
              <w:t>November 22, 2022</w:t>
            </w:r>
          </w:p>
        </w:tc>
        <w:tc>
          <w:tcPr>
            <w:tcW w:w="6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423" w:type="dxa"/>
            <w:tcBorders>
              <w:bottom w:val="single" w:sz="2" w:space="0" w:color="AFAFAF"/>
            </w:tcBorders>
            <w:shd w:fill="auto" w:val="clear"/>
            <w:tcMar>
              <w:bottom w:w="40" w:type="dxa"/>
            </w:tcMar>
            <w:vAlign w:val="bottom"/>
          </w:tcPr>
          <w:p>
            <w:pPr>
              <w:pStyle w:val="TableContents"/>
              <w:spacing w:before="0" w:after="283"/>
              <w:jc w:val="right"/>
              <w:rPr/>
            </w:pPr>
            <w:r>
              <w:rPr/>
              <w:t>March 3, 2021</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40" w:type="dxa"/>
            </w:tcMar>
            <w:vAlign w:val="bottom"/>
          </w:tcPr>
          <w:p>
            <w:pPr>
              <w:pStyle w:val="TableContents"/>
              <w:spacing w:before="0" w:after="283"/>
              <w:rPr/>
            </w:pPr>
            <w:r>
              <w:rPr/>
              <w:t> </w:t>
            </w:r>
          </w:p>
        </w:tc>
        <w:tc>
          <w:tcPr>
            <w:tcW w:w="1226" w:type="dxa"/>
            <w:tcBorders>
              <w:bottom w:val="single" w:sz="2" w:space="0" w:color="AFAFAF"/>
            </w:tcBorders>
            <w:shd w:fill="auto" w:val="clear"/>
            <w:tcMar>
              <w:bottom w:w="40" w:type="dxa"/>
            </w:tcMar>
            <w:vAlign w:val="bottom"/>
          </w:tcPr>
          <w:p>
            <w:pPr>
              <w:pStyle w:val="TableContents"/>
              <w:spacing w:before="0" w:after="283"/>
              <w:jc w:val="right"/>
              <w:rPr/>
            </w:pPr>
            <w:r>
              <w:rPr/>
              <w:t>9,444</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1015" w:type="dxa"/>
            <w:tcBorders>
              <w:bottom w:val="single" w:sz="2" w:space="0" w:color="AFAFAF"/>
            </w:tcBorders>
            <w:shd w:fill="auto" w:val="clear"/>
            <w:tcMar>
              <w:bottom w:w="40" w:type="dxa"/>
            </w:tcMar>
            <w:vAlign w:val="bottom"/>
          </w:tcPr>
          <w:p>
            <w:pPr>
              <w:pStyle w:val="TableContents"/>
              <w:spacing w:before="0" w:after="283"/>
              <w:jc w:val="right"/>
              <w:rPr/>
            </w:pPr>
            <w:r>
              <w:rPr/>
              <w:t>88.87</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680" w:type="dxa"/>
            <w:tcBorders>
              <w:bottom w:val="single" w:sz="2" w:space="0" w:color="AFAFAF"/>
            </w:tcBorders>
            <w:shd w:fill="auto" w:val="clear"/>
            <w:tcMar>
              <w:bottom w:w="40" w:type="dxa"/>
            </w:tcMar>
            <w:vAlign w:val="bottom"/>
          </w:tcPr>
          <w:p>
            <w:pPr>
              <w:pStyle w:val="TableContents"/>
              <w:spacing w:before="0" w:after="283"/>
              <w:jc w:val="right"/>
              <w:rPr/>
            </w:pPr>
            <w:r>
              <w:rPr/>
              <w:t>113.64</w:t>
            </w:r>
          </w:p>
        </w:tc>
        <w:tc>
          <w:tcPr>
            <w:tcW w:w="76" w:type="dxa"/>
            <w:tcBorders>
              <w:bottom w:val="single" w:sz="2" w:space="0" w:color="AFAFAF"/>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2" w:space="0" w:color="AFAFAF"/>
            </w:tcBorders>
            <w:shd w:fill="auto" w:val="clear"/>
            <w:tcMar>
              <w:bottom w:w="28" w:type="dxa"/>
            </w:tcMar>
            <w:vAlign w:val="bottom"/>
          </w:tcPr>
          <w:p>
            <w:pPr>
              <w:pStyle w:val="TableContents"/>
              <w:spacing w:before="0" w:after="283"/>
              <w:rPr/>
            </w:pPr>
            <w:r>
              <w:rPr/>
              <w:t>  </w:t>
            </w:r>
          </w:p>
        </w:tc>
        <w:tc>
          <w:tcPr>
            <w:tcW w:w="140" w:type="dxa"/>
            <w:tcBorders>
              <w:bottom w:val="single" w:sz="2" w:space="0" w:color="AFAFAF"/>
            </w:tcBorders>
            <w:shd w:fill="auto" w:val="clear"/>
            <w:tcMar>
              <w:bottom w:w="40" w:type="dxa"/>
            </w:tcMar>
            <w:vAlign w:val="bottom"/>
          </w:tcPr>
          <w:p>
            <w:pPr>
              <w:pStyle w:val="TableContents"/>
              <w:spacing w:before="0" w:after="283"/>
              <w:rPr/>
            </w:pPr>
            <w:r>
              <w:rPr/>
              <w:t>$</w:t>
            </w:r>
          </w:p>
        </w:tc>
        <w:tc>
          <w:tcPr>
            <w:tcW w:w="987" w:type="dxa"/>
            <w:tcBorders>
              <w:bottom w:val="single" w:sz="2" w:space="0" w:color="AFAFAF"/>
            </w:tcBorders>
            <w:shd w:fill="auto" w:val="clear"/>
            <w:tcMar>
              <w:bottom w:w="40" w:type="dxa"/>
            </w:tcMar>
            <w:vAlign w:val="bottom"/>
          </w:tcPr>
          <w:p>
            <w:pPr>
              <w:pStyle w:val="TableContents"/>
              <w:spacing w:before="0" w:after="283"/>
              <w:jc w:val="right"/>
              <w:rPr/>
            </w:pPr>
            <w:r>
              <w:rPr/>
              <w:t>233,928</w:t>
            </w:r>
          </w:p>
        </w:tc>
        <w:tc>
          <w:tcPr>
            <w:tcW w:w="87" w:type="dxa"/>
            <w:tcBorders>
              <w:bottom w:val="single" w:sz="2" w:space="0" w:color="AFAFAF"/>
              <w:right w:val="single" w:sz="2" w:space="0" w:color="AFAFAF"/>
            </w:tcBorders>
            <w:shd w:fill="auto" w:val="clear"/>
            <w:tcMar>
              <w:bottom w:w="40" w:type="dxa"/>
              <w:right w:w="40" w:type="dxa"/>
            </w:tcMar>
            <w:vAlign w:val="bottom"/>
          </w:tcPr>
          <w:p>
            <w:pPr>
              <w:pStyle w:val="TableContents"/>
              <w:spacing w:before="0" w:after="283"/>
              <w:rPr/>
            </w:pPr>
            <w:r>
              <w:rPr/>
              <w:t> </w:t>
            </w:r>
          </w:p>
        </w:tc>
      </w:tr>
      <w:tr>
        <w:trPr>
          <w:trHeight w:val="60" w:hRule="atLeast"/>
        </w:trPr>
        <w:tc>
          <w:tcPr>
            <w:tcW w:w="1167" w:type="dxa"/>
            <w:tcBorders>
              <w:right w:val="single" w:sz="2" w:space="0" w:color="AFAFAF"/>
            </w:tcBorders>
            <w:shd w:fill="auto" w:val="clear"/>
            <w:tcMar>
              <w:right w:w="28" w:type="dxa"/>
            </w:tcMar>
            <w:vAlign w:val="center"/>
          </w:tcPr>
          <w:p>
            <w:pPr>
              <w:pStyle w:val="TableContents"/>
              <w:spacing w:before="0" w:after="283"/>
              <w:rPr/>
            </w:pPr>
            <w:r>
              <w:rPr/>
              <w:t> </w:t>
            </w:r>
          </w:p>
        </w:tc>
        <w:tc>
          <w:tcPr>
            <w:tcW w:w="2157"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683"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486"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55"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020" w:type="dxa"/>
            <w:gridSpan w:val="4"/>
            <w:tcBorders>
              <w:right w:val="single" w:sz="2" w:space="0" w:color="AFAFAF"/>
            </w:tcBorders>
            <w:shd w:fill="auto" w:val="clear"/>
            <w:tcMar>
              <w:right w:w="28" w:type="dxa"/>
            </w:tcMar>
            <w:vAlign w:val="center"/>
          </w:tcPr>
          <w:p>
            <w:pPr>
              <w:pStyle w:val="TableContents"/>
              <w:spacing w:before="0" w:after="283"/>
              <w:rPr/>
            </w:pPr>
            <w:r>
              <w:rPr/>
              <w:t> </w:t>
            </w:r>
          </w:p>
        </w:tc>
        <w:tc>
          <w:tcPr>
            <w:tcW w:w="1337" w:type="dxa"/>
            <w:gridSpan w:val="4"/>
            <w:tcBorders>
              <w:right w:val="single" w:sz="2" w:space="0" w:color="AFAFAF"/>
            </w:tcBorders>
            <w:shd w:fill="auto" w:val="clear"/>
            <w:tcMar>
              <w:right w:w="28" w:type="dxa"/>
            </w:tcMar>
            <w:vAlign w:val="center"/>
          </w:tcPr>
          <w:p>
            <w:pPr>
              <w:pStyle w:val="TableContents"/>
              <w:spacing w:before="0" w:after="283"/>
              <w:rPr/>
            </w:pPr>
            <w:r>
              <w:rPr/>
              <w:t> </w:t>
            </w:r>
          </w:p>
        </w:tc>
      </w:tr>
      <w:tr>
        <w:trPr/>
        <w:tc>
          <w:tcPr>
            <w:tcW w:w="1167" w:type="dxa"/>
            <w:tcBorders>
              <w:bottom w:val="single" w:sz="8" w:space="0" w:color="B94831"/>
              <w:right w:val="single" w:sz="2" w:space="0" w:color="AFAFAF"/>
            </w:tcBorders>
            <w:shd w:fill="auto" w:val="clear"/>
            <w:tcMar>
              <w:bottom w:w="40" w:type="dxa"/>
              <w:right w:w="28" w:type="dxa"/>
            </w:tcMar>
          </w:tcPr>
          <w:p>
            <w:pPr>
              <w:pStyle w:val="TableContents"/>
              <w:spacing w:before="0" w:after="0"/>
              <w:rPr>
                <w:rFonts w:ascii="Arial" w:hAnsi="Arial"/>
                <w:b/>
                <w:sz w:val="16"/>
              </w:rPr>
            </w:pPr>
            <w:r>
              <w:rPr>
                <w:rFonts w:ascii="Arial" w:hAnsi="Arial"/>
                <w:b/>
                <w:sz w:val="16"/>
              </w:rPr>
              <w:t>David Wong</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911"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66" w:type="dxa"/>
            <w:tcBorders>
              <w:bottom w:val="single" w:sz="8" w:space="0" w:color="B94831"/>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423"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76" w:type="dxa"/>
            <w:tcBorders>
              <w:bottom w:val="single" w:sz="8" w:space="0" w:color="B94831"/>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40" w:type="dxa"/>
            </w:tcMar>
            <w:vAlign w:val="bottom"/>
          </w:tcPr>
          <w:p>
            <w:pPr>
              <w:pStyle w:val="TableContents"/>
              <w:spacing w:before="0" w:after="283"/>
              <w:rPr/>
            </w:pPr>
            <w:r>
              <w:rPr/>
              <w:t> </w:t>
            </w:r>
          </w:p>
        </w:tc>
        <w:tc>
          <w:tcPr>
            <w:tcW w:w="1226"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76" w:type="dxa"/>
            <w:tcBorders>
              <w:bottom w:val="single" w:sz="8" w:space="0" w:color="B94831"/>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40" w:type="dxa"/>
            </w:tcMar>
            <w:vAlign w:val="bottom"/>
          </w:tcPr>
          <w:p>
            <w:pPr>
              <w:pStyle w:val="TableContents"/>
              <w:spacing w:before="0" w:after="283"/>
              <w:rPr/>
            </w:pPr>
            <w:r>
              <w:rPr/>
              <w:t> </w:t>
            </w:r>
          </w:p>
        </w:tc>
        <w:tc>
          <w:tcPr>
            <w:tcW w:w="1015"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76" w:type="dxa"/>
            <w:tcBorders>
              <w:bottom w:val="single" w:sz="8" w:space="0" w:color="B94831"/>
              <w:right w:val="single" w:sz="2" w:space="0" w:color="AFAFAF"/>
            </w:tcBorders>
            <w:shd w:fill="auto" w:val="clear"/>
            <w:tcMar>
              <w:bottom w:w="40" w:type="dxa"/>
              <w:right w:w="28" w:type="dxa"/>
            </w:tcMar>
            <w:vAlign w:val="bottom"/>
          </w:tcPr>
          <w:p>
            <w:pPr>
              <w:pStyle w:val="TableContents"/>
              <w:spacing w:before="0" w:after="283"/>
              <w:rPr/>
            </w:pPr>
            <w:r>
              <w:rPr/>
              <w:t> </w:t>
            </w:r>
          </w:p>
        </w:tc>
        <w:tc>
          <w:tcPr>
            <w:tcW w:w="124"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40" w:type="dxa"/>
            </w:tcMar>
            <w:vAlign w:val="bottom"/>
          </w:tcPr>
          <w:p>
            <w:pPr>
              <w:pStyle w:val="TableContents"/>
              <w:spacing w:before="0" w:after="283"/>
              <w:rPr/>
            </w:pPr>
            <w:r>
              <w:rPr/>
              <w:t> </w:t>
            </w:r>
          </w:p>
        </w:tc>
        <w:tc>
          <w:tcPr>
            <w:tcW w:w="680"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76" w:type="dxa"/>
            <w:tcBorders>
              <w:bottom w:val="single" w:sz="8" w:space="0" w:color="B94831"/>
              <w:right w:val="single" w:sz="2" w:space="0" w:color="AFAFAF"/>
            </w:tcBorders>
            <w:shd w:fill="auto" w:val="clear"/>
            <w:tcMar>
              <w:bottom w:w="40" w:type="dxa"/>
              <w:right w:w="28" w:type="dxa"/>
            </w:tcMar>
            <w:vAlign w:val="bottom"/>
          </w:tcPr>
          <w:p>
            <w:pPr>
              <w:pStyle w:val="TableContents"/>
              <w:spacing w:before="0" w:after="283"/>
              <w:rPr/>
            </w:pPr>
            <w:r>
              <w:rPr/>
              <w:t> </w:t>
            </w:r>
          </w:p>
        </w:tc>
        <w:tc>
          <w:tcPr>
            <w:tcW w:w="123" w:type="dxa"/>
            <w:tcBorders>
              <w:bottom w:val="single" w:sz="8" w:space="0" w:color="B94831"/>
            </w:tcBorders>
            <w:shd w:fill="auto" w:val="clear"/>
            <w:tcMar>
              <w:bottom w:w="28" w:type="dxa"/>
            </w:tcMar>
            <w:vAlign w:val="bottom"/>
          </w:tcPr>
          <w:p>
            <w:pPr>
              <w:pStyle w:val="TableContents"/>
              <w:spacing w:before="0" w:after="283"/>
              <w:rPr/>
            </w:pPr>
            <w:r>
              <w:rPr/>
              <w:t>  </w:t>
            </w:r>
          </w:p>
        </w:tc>
        <w:tc>
          <w:tcPr>
            <w:tcW w:w="140" w:type="dxa"/>
            <w:tcBorders>
              <w:bottom w:val="single" w:sz="8" w:space="0" w:color="B94831"/>
            </w:tcBorders>
            <w:shd w:fill="auto" w:val="clear"/>
            <w:tcMar>
              <w:bottom w:w="40" w:type="dxa"/>
            </w:tcMar>
            <w:vAlign w:val="bottom"/>
          </w:tcPr>
          <w:p>
            <w:pPr>
              <w:pStyle w:val="TableContents"/>
              <w:spacing w:before="0" w:after="283"/>
              <w:rPr/>
            </w:pPr>
            <w:r>
              <w:rPr/>
              <w:t> </w:t>
            </w:r>
          </w:p>
        </w:tc>
        <w:tc>
          <w:tcPr>
            <w:tcW w:w="987" w:type="dxa"/>
            <w:tcBorders>
              <w:bottom w:val="single" w:sz="8" w:space="0" w:color="B94831"/>
            </w:tcBorders>
            <w:shd w:fill="auto" w:val="clear"/>
            <w:tcMar>
              <w:bottom w:w="40" w:type="dxa"/>
            </w:tcMar>
            <w:vAlign w:val="bottom"/>
          </w:tcPr>
          <w:p>
            <w:pPr>
              <w:pStyle w:val="TableContents"/>
              <w:spacing w:before="0" w:after="283"/>
              <w:jc w:val="right"/>
              <w:rPr/>
            </w:pPr>
            <w:r>
              <w:rPr/>
              <w:t></w:t>
            </w:r>
          </w:p>
        </w:tc>
        <w:tc>
          <w:tcPr>
            <w:tcW w:w="87" w:type="dxa"/>
            <w:tcBorders>
              <w:bottom w:val="single" w:sz="8" w:space="0" w:color="B94831"/>
              <w:right w:val="single" w:sz="2" w:space="0" w:color="AFAFAF"/>
            </w:tcBorders>
            <w:shd w:fill="auto" w:val="clear"/>
            <w:tcMar>
              <w:bottom w:w="40" w:type="dxa"/>
              <w:right w:w="40" w:type="dxa"/>
            </w:tcM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Equity Compensation Plan Information </w:t>
      </w:r>
    </w:p>
    <w:p>
      <w:pPr>
        <w:pStyle w:val="TextBody"/>
        <w:spacing w:before="40" w:after="0"/>
        <w:jc w:val="left"/>
        <w:rPr>
          <w:rFonts w:ascii="arial" w:hAnsi="arial"/>
          <w:sz w:val="20"/>
        </w:rPr>
      </w:pPr>
      <w:r>
        <w:rPr>
          <w:rFonts w:ascii="arial" w:hAnsi="arial"/>
          <w:sz w:val="20"/>
        </w:rPr>
        <w:t xml:space="preserve">The following table provides information as of December 31, 2022 regarding our common shares that may be issued under our stock incentive plan. For more information about our stock incentive plan and other plans under which we may issue common shares, please see the Description of Equity Compensation and Other Plans section below and Appendix A to this circular. </w:t>
      </w:r>
    </w:p>
    <w:p>
      <w:pPr>
        <w:pStyle w:val="TextBody"/>
        <w:spacing w:before="0" w:after="0"/>
        <w:jc w:val="left"/>
        <w:rPr/>
      </w:pPr>
      <w:r>
        <w:rPr/>
        <w:t> </w:t>
      </w:r>
    </w:p>
    <w:tbl>
      <w:tblPr>
        <w:tblW w:w="11860" w:type="dxa"/>
        <w:jc w:val="center"/>
        <w:tblInd w:w="0" w:type="dxa"/>
        <w:tblCellMar>
          <w:top w:w="0" w:type="dxa"/>
          <w:left w:w="0" w:type="dxa"/>
          <w:bottom w:w="0" w:type="dxa"/>
          <w:right w:w="0" w:type="dxa"/>
        </w:tblCellMar>
      </w:tblPr>
      <w:tblGrid>
        <w:gridCol w:w="2510"/>
        <w:gridCol w:w="60"/>
        <w:gridCol w:w="155"/>
        <w:gridCol w:w="2535"/>
        <w:gridCol w:w="60"/>
        <w:gridCol w:w="60"/>
        <w:gridCol w:w="299"/>
        <w:gridCol w:w="2796"/>
        <w:gridCol w:w="200"/>
        <w:gridCol w:w="60"/>
        <w:gridCol w:w="176"/>
        <w:gridCol w:w="2889"/>
        <w:gridCol w:w="60"/>
      </w:tblGrid>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2510" w:type="dxa"/>
            <w:tcBorders/>
            <w:shd w:fill="262626" w:val="clear"/>
            <w:vAlign w:val="center"/>
          </w:tcPr>
          <w:p>
            <w:pPr>
              <w:pStyle w:val="TableContents"/>
              <w:spacing w:before="0" w:after="283"/>
              <w:rPr>
                <w:sz w:val="4"/>
                <w:szCs w:val="4"/>
              </w:rPr>
            </w:pPr>
            <w:r>
              <w:rPr>
                <w:sz w:val="4"/>
                <w:szCs w:val="4"/>
              </w:rPr>
            </w:r>
          </w:p>
        </w:tc>
        <w:tc>
          <w:tcPr>
            <w:tcW w:w="281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335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3185"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510"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Plan category</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2690" w:type="dxa"/>
            <w:gridSpan w:val="2"/>
            <w:tcBorders>
              <w:bottom w:val="single" w:sz="2" w:space="0" w:color="B94831"/>
            </w:tcBorders>
            <w:shd w:fill="262626" w:val="clear"/>
            <w:tcMar>
              <w:bottom w:w="28" w:type="dxa"/>
            </w:tcMar>
            <w:vAlign w:val="bottom"/>
          </w:tcPr>
          <w:p>
            <w:pPr>
              <w:pStyle w:val="TableContents"/>
              <w:spacing w:before="0" w:after="0"/>
              <w:jc w:val="right"/>
              <w:rPr>
                <w:rFonts w:ascii="Arial" w:hAnsi="Arial"/>
                <w:b/>
                <w:color w:val="FFFFFF"/>
                <w:sz w:val="17"/>
              </w:rPr>
            </w:pPr>
            <w:r>
              <w:rPr>
                <w:rFonts w:ascii="Arial" w:hAnsi="Arial"/>
                <w:b/>
                <w:color w:val="FFFFFF"/>
                <w:sz w:val="17"/>
              </w:rPr>
              <w:t>(a)</w:t>
            </w:r>
          </w:p>
          <w:p>
            <w:pPr>
              <w:pStyle w:val="TableContents"/>
              <w:spacing w:before="0" w:after="0"/>
              <w:jc w:val="right"/>
              <w:rPr>
                <w:rFonts w:ascii="Arial" w:hAnsi="Arial"/>
                <w:b/>
                <w:color w:val="FFFFFF"/>
                <w:sz w:val="17"/>
              </w:rPr>
            </w:pPr>
            <w:r>
              <w:rPr>
                <w:rFonts w:ascii="Arial" w:hAnsi="Arial"/>
                <w:b/>
                <w:color w:val="FFFFFF"/>
                <w:sz w:val="17"/>
              </w:rPr>
              <w:t>Number of securities to be issued</w:t>
            </w:r>
          </w:p>
          <w:p>
            <w:pPr>
              <w:pStyle w:val="TableContents"/>
              <w:spacing w:before="0" w:after="20"/>
              <w:jc w:val="right"/>
              <w:rPr>
                <w:rFonts w:ascii="Arial" w:hAnsi="Arial"/>
                <w:b/>
                <w:color w:val="FFFFFF"/>
                <w:sz w:val="17"/>
              </w:rPr>
            </w:pPr>
            <w:r>
              <w:rPr>
                <w:rFonts w:ascii="Arial" w:hAnsi="Arial"/>
                <w:b/>
                <w:color w:val="FFFFFF"/>
                <w:sz w:val="17"/>
              </w:rPr>
              <w:t>upon exercise of outstanding</w:t>
              <w:br/>
              <w:t>options, warrants and rights</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309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(b)</w:t>
              <w:br/>
              <w:t>Weighted average exercise</w:t>
              <w:br/>
              <w:t>price of outstanding  options,</w:t>
              <w:br/>
              <w:t>warrants and rights</w:t>
            </w:r>
          </w:p>
        </w:tc>
        <w:tc>
          <w:tcPr>
            <w:tcW w:w="20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3065" w:type="dxa"/>
            <w:gridSpan w:val="2"/>
            <w:tcBorders>
              <w:bottom w:val="single" w:sz="2" w:space="0" w:color="B94831"/>
            </w:tcBorders>
            <w:shd w:fill="262626" w:val="clear"/>
            <w:tcMar>
              <w:bottom w:w="28" w:type="dxa"/>
            </w:tcMar>
            <w:vAlign w:val="bottom"/>
          </w:tcPr>
          <w:p>
            <w:pPr>
              <w:pStyle w:val="TableContents"/>
              <w:spacing w:before="0" w:after="0"/>
              <w:jc w:val="right"/>
              <w:rPr>
                <w:rFonts w:ascii="Arial" w:hAnsi="Arial"/>
                <w:b/>
                <w:color w:val="FFFFFF"/>
                <w:sz w:val="17"/>
              </w:rPr>
            </w:pPr>
            <w:r>
              <w:rPr>
                <w:rFonts w:ascii="Arial" w:hAnsi="Arial"/>
                <w:b/>
                <w:color w:val="FFFFFF"/>
                <w:sz w:val="17"/>
              </w:rPr>
              <w:t>(c)</w:t>
            </w:r>
          </w:p>
          <w:p>
            <w:pPr>
              <w:pStyle w:val="TableContents"/>
              <w:spacing w:before="0" w:after="20"/>
              <w:jc w:val="right"/>
              <w:rPr>
                <w:rFonts w:ascii="Arial" w:hAnsi="Arial"/>
                <w:b/>
                <w:color w:val="FFFFFF"/>
                <w:sz w:val="17"/>
              </w:rPr>
            </w:pPr>
            <w:r>
              <w:rPr>
                <w:rFonts w:ascii="Arial" w:hAnsi="Arial"/>
                <w:b/>
                <w:color w:val="FFFFFF"/>
                <w:sz w:val="17"/>
              </w:rPr>
              <w:t>Number of securities remaining</w:t>
              <w:br/>
              <w:t>available for future issuance under</w:t>
              <w:br/>
              <w:t>equity compensation plans (excluding</w:t>
              <w:br/>
              <w:t>securities reflected in column (a))</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r>
      <w:tr>
        <w:trPr/>
        <w:tc>
          <w:tcPr>
            <w:tcW w:w="251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Equity compensation plans approved by security holders:</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pPr>
            <w:r>
              <w:rPr/>
              <w:t> </w:t>
            </w:r>
          </w:p>
        </w:tc>
        <w:tc>
          <w:tcPr>
            <w:tcW w:w="253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99" w:type="dxa"/>
            <w:tcBorders>
              <w:bottom w:val="single" w:sz="2" w:space="0" w:color="AFAFAF"/>
            </w:tcBorders>
            <w:shd w:fill="auto" w:val="clear"/>
            <w:tcMar>
              <w:bottom w:w="28" w:type="dxa"/>
            </w:tcMar>
            <w:vAlign w:val="bottom"/>
          </w:tcPr>
          <w:p>
            <w:pPr>
              <w:pStyle w:val="TableContents"/>
              <w:spacing w:before="0" w:after="283"/>
              <w:rPr/>
            </w:pPr>
            <w:r>
              <w:rPr/>
              <w:t> </w:t>
            </w:r>
          </w:p>
        </w:tc>
        <w:tc>
          <w:tcPr>
            <w:tcW w:w="2796" w:type="dxa"/>
            <w:tcBorders>
              <w:bottom w:val="single" w:sz="2" w:space="0" w:color="AFAFAF"/>
            </w:tcBorders>
            <w:shd w:fill="auto" w:val="clear"/>
            <w:tcMar>
              <w:bottom w:w="28" w:type="dxa"/>
            </w:tcMar>
            <w:vAlign w:val="bottom"/>
          </w:tcPr>
          <w:p>
            <w:pPr>
              <w:pStyle w:val="TableContents"/>
              <w:spacing w:before="0" w:after="283"/>
              <w:rPr/>
            </w:pPr>
            <w:r>
              <w:rPr/>
              <w:t> </w:t>
            </w:r>
          </w:p>
        </w:tc>
        <w:tc>
          <w:tcPr>
            <w:tcW w:w="20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 w:type="dxa"/>
            <w:tcBorders>
              <w:bottom w:val="single" w:sz="2" w:space="0" w:color="AFAFAF"/>
            </w:tcBorders>
            <w:shd w:fill="auto" w:val="clear"/>
            <w:tcMar>
              <w:bottom w:w="28" w:type="dxa"/>
            </w:tcMar>
            <w:vAlign w:val="bottom"/>
          </w:tcPr>
          <w:p>
            <w:pPr>
              <w:pStyle w:val="TableContents"/>
              <w:spacing w:before="0" w:after="283"/>
              <w:rPr/>
            </w:pPr>
            <w:r>
              <w:rPr/>
              <w:t> </w:t>
            </w:r>
          </w:p>
        </w:tc>
        <w:tc>
          <w:tcPr>
            <w:tcW w:w="2889"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51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Stock options</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pPr>
            <w:r>
              <w:rPr/>
              <w:t> </w:t>
            </w:r>
          </w:p>
        </w:tc>
        <w:tc>
          <w:tcPr>
            <w:tcW w:w="2535" w:type="dxa"/>
            <w:tcBorders>
              <w:bottom w:val="single" w:sz="2" w:space="0" w:color="AFAFAF"/>
            </w:tcBorders>
            <w:shd w:fill="auto" w:val="clear"/>
            <w:tcMar>
              <w:bottom w:w="28" w:type="dxa"/>
            </w:tcMar>
            <w:vAlign w:val="bottom"/>
          </w:tcPr>
          <w:p>
            <w:pPr>
              <w:pStyle w:val="TableContents"/>
              <w:spacing w:before="0" w:after="283"/>
              <w:jc w:val="right"/>
              <w:rPr/>
            </w:pPr>
            <w:r>
              <w:rPr/>
              <w:t>1,908,088</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99" w:type="dxa"/>
            <w:tcBorders>
              <w:bottom w:val="single" w:sz="2" w:space="0" w:color="AFAFAF"/>
            </w:tcBorders>
            <w:shd w:fill="auto" w:val="clear"/>
            <w:tcMar>
              <w:bottom w:w="28" w:type="dxa"/>
            </w:tcMar>
            <w:vAlign w:val="bottom"/>
          </w:tcPr>
          <w:p>
            <w:pPr>
              <w:pStyle w:val="TableContents"/>
              <w:spacing w:before="0" w:after="283"/>
              <w:rPr/>
            </w:pPr>
            <w:r>
              <w:rPr/>
              <w:t> </w:t>
            </w:r>
          </w:p>
        </w:tc>
        <w:tc>
          <w:tcPr>
            <w:tcW w:w="2796" w:type="dxa"/>
            <w:tcBorders>
              <w:bottom w:val="single" w:sz="2" w:space="0" w:color="AFAFAF"/>
            </w:tcBorders>
            <w:shd w:fill="auto" w:val="clear"/>
            <w:tcMar>
              <w:bottom w:w="28" w:type="dxa"/>
            </w:tcMar>
            <w:vAlign w:val="bottom"/>
          </w:tcPr>
          <w:p>
            <w:pPr>
              <w:pStyle w:val="TableContents"/>
              <w:spacing w:before="0" w:after="283"/>
              <w:jc w:val="right"/>
              <w:rPr/>
            </w:pPr>
            <w:r>
              <w:rPr/>
              <w:t>US$78.06</w:t>
            </w:r>
          </w:p>
        </w:tc>
        <w:tc>
          <w:tcPr>
            <w:tcW w:w="20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 w:type="dxa"/>
            <w:tcBorders>
              <w:bottom w:val="single" w:sz="2" w:space="0" w:color="AFAFAF"/>
            </w:tcBorders>
            <w:shd w:fill="auto" w:val="clear"/>
            <w:tcMar>
              <w:bottom w:w="28" w:type="dxa"/>
            </w:tcMar>
            <w:vAlign w:val="bottom"/>
          </w:tcPr>
          <w:p>
            <w:pPr>
              <w:pStyle w:val="TableContents"/>
              <w:spacing w:before="0" w:after="283"/>
              <w:rPr/>
            </w:pPr>
            <w:r>
              <w:rPr/>
              <w:t> </w:t>
            </w:r>
          </w:p>
        </w:tc>
        <w:tc>
          <w:tcPr>
            <w:tcW w:w="2889"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51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TRSUs</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55" w:type="dxa"/>
            <w:tcBorders>
              <w:bottom w:val="single" w:sz="2" w:space="0" w:color="AFAFAF"/>
            </w:tcBorders>
            <w:shd w:fill="auto" w:val="clear"/>
            <w:tcMar>
              <w:bottom w:w="28" w:type="dxa"/>
            </w:tcMar>
            <w:vAlign w:val="bottom"/>
          </w:tcPr>
          <w:p>
            <w:pPr>
              <w:pStyle w:val="TableContents"/>
              <w:spacing w:before="0" w:after="283"/>
              <w:rPr/>
            </w:pPr>
            <w:r>
              <w:rPr/>
              <w:t> </w:t>
            </w:r>
          </w:p>
        </w:tc>
        <w:tc>
          <w:tcPr>
            <w:tcW w:w="2535" w:type="dxa"/>
            <w:tcBorders>
              <w:bottom w:val="single" w:sz="2" w:space="0" w:color="AFAFAF"/>
            </w:tcBorders>
            <w:shd w:fill="auto" w:val="clear"/>
            <w:tcMar>
              <w:bottom w:w="28" w:type="dxa"/>
            </w:tcMar>
            <w:vAlign w:val="bottom"/>
          </w:tcPr>
          <w:p>
            <w:pPr>
              <w:pStyle w:val="TableContents"/>
              <w:spacing w:before="0" w:after="283"/>
              <w:jc w:val="right"/>
              <w:rPr/>
            </w:pPr>
            <w:r>
              <w:rPr/>
              <w:t>1,385,013</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299" w:type="dxa"/>
            <w:tcBorders>
              <w:bottom w:val="single" w:sz="2" w:space="0" w:color="AFAFAF"/>
            </w:tcBorders>
            <w:shd w:fill="auto" w:val="clear"/>
            <w:tcMar>
              <w:bottom w:w="28" w:type="dxa"/>
            </w:tcMar>
            <w:vAlign w:val="bottom"/>
          </w:tcPr>
          <w:p>
            <w:pPr>
              <w:pStyle w:val="TableContents"/>
              <w:spacing w:before="0" w:after="283"/>
              <w:rPr/>
            </w:pPr>
            <w:r>
              <w:rPr/>
              <w:t> </w:t>
            </w:r>
          </w:p>
        </w:tc>
        <w:tc>
          <w:tcPr>
            <w:tcW w:w="2796" w:type="dxa"/>
            <w:tcBorders>
              <w:bottom w:val="single" w:sz="2" w:space="0" w:color="AFAFAF"/>
            </w:tcBorders>
            <w:shd w:fill="auto" w:val="clear"/>
            <w:tcMar>
              <w:bottom w:w="28" w:type="dxa"/>
            </w:tcMar>
            <w:vAlign w:val="bottom"/>
          </w:tcPr>
          <w:p>
            <w:pPr>
              <w:pStyle w:val="TableContents"/>
              <w:spacing w:before="0" w:after="283"/>
              <w:jc w:val="right"/>
              <w:rPr/>
            </w:pPr>
            <w:r>
              <w:rPr/>
              <w:t>N/A</w:t>
            </w:r>
          </w:p>
        </w:tc>
        <w:tc>
          <w:tcPr>
            <w:tcW w:w="200" w:type="dxa"/>
            <w:tcBorders>
              <w:bottom w:val="single" w:sz="2" w:space="0" w:color="AFAFAF"/>
            </w:tcBorders>
            <w:shd w:fill="auto" w:val="clear"/>
            <w:tcMar>
              <w:bottom w:w="28" w:type="dxa"/>
            </w:tcMar>
            <w:vAlign w:val="bottom"/>
          </w:tcPr>
          <w:p>
            <w:pPr>
              <w:pStyle w:val="TableContents"/>
              <w:spacing w:before="0" w:after="283"/>
              <w:rPr/>
            </w:pPr>
            <w:r>
              <w:rPr/>
              <w:t>1 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 w:type="dxa"/>
            <w:tcBorders>
              <w:bottom w:val="single" w:sz="2" w:space="0" w:color="AFAFAF"/>
            </w:tcBorders>
            <w:shd w:fill="auto" w:val="clear"/>
            <w:tcMar>
              <w:bottom w:w="28" w:type="dxa"/>
            </w:tcMar>
            <w:vAlign w:val="bottom"/>
          </w:tcPr>
          <w:p>
            <w:pPr>
              <w:pStyle w:val="TableContents"/>
              <w:spacing w:before="0" w:after="283"/>
              <w:rPr/>
            </w:pPr>
            <w:r>
              <w:rPr/>
              <w:t> </w:t>
            </w:r>
          </w:p>
        </w:tc>
        <w:tc>
          <w:tcPr>
            <w:tcW w:w="2889" w:type="dxa"/>
            <w:tcBorders>
              <w:bottom w:val="single" w:sz="2" w:space="0" w:color="AFAFAF"/>
            </w:tcBorders>
            <w:shd w:fill="auto" w:val="clear"/>
            <w:tcMar>
              <w:bottom w:w="28" w:type="dxa"/>
            </w:tcMar>
            <w:vAlign w:val="bottom"/>
          </w:tcPr>
          <w:p>
            <w:pPr>
              <w:pStyle w:val="TableContents"/>
              <w:spacing w:before="0" w:after="283"/>
              <w:jc w:val="right"/>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51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PRSUs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2535" w:type="dxa"/>
            <w:tcBorders>
              <w:bottom w:val="single" w:sz="8" w:space="0" w:color="B94831"/>
            </w:tcBorders>
            <w:shd w:fill="auto" w:val="clear"/>
            <w:tcMar>
              <w:bottom w:w="28" w:type="dxa"/>
            </w:tcMar>
            <w:vAlign w:val="bottom"/>
          </w:tcPr>
          <w:p>
            <w:pPr>
              <w:pStyle w:val="TableContents"/>
              <w:spacing w:before="0" w:after="283"/>
              <w:jc w:val="right"/>
              <w:rPr/>
            </w:pPr>
            <w:r>
              <w:rPr/>
              <w:t>795,272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9" w:type="dxa"/>
            <w:tcBorders>
              <w:bottom w:val="single" w:sz="8" w:space="0" w:color="B94831"/>
            </w:tcBorders>
            <w:shd w:fill="auto" w:val="clear"/>
            <w:tcMar>
              <w:bottom w:w="28" w:type="dxa"/>
            </w:tcMar>
            <w:vAlign w:val="bottom"/>
          </w:tcPr>
          <w:p>
            <w:pPr>
              <w:pStyle w:val="TableContents"/>
              <w:spacing w:before="0" w:after="283"/>
              <w:rPr/>
            </w:pPr>
            <w:r>
              <w:rPr/>
              <w:t> </w:t>
            </w:r>
          </w:p>
        </w:tc>
        <w:tc>
          <w:tcPr>
            <w:tcW w:w="2796" w:type="dxa"/>
            <w:tcBorders>
              <w:bottom w:val="single" w:sz="8" w:space="0" w:color="B94831"/>
            </w:tcBorders>
            <w:shd w:fill="auto" w:val="clear"/>
            <w:tcMar>
              <w:bottom w:w="28" w:type="dxa"/>
            </w:tcMar>
            <w:vAlign w:val="bottom"/>
          </w:tcPr>
          <w:p>
            <w:pPr>
              <w:pStyle w:val="TableContents"/>
              <w:spacing w:before="0" w:after="283"/>
              <w:jc w:val="right"/>
              <w:rPr/>
            </w:pPr>
            <w:r>
              <w:rPr/>
              <w:t>N/A</w:t>
            </w:r>
          </w:p>
        </w:tc>
        <w:tc>
          <w:tcPr>
            <w:tcW w:w="200" w:type="dxa"/>
            <w:tcBorders>
              <w:bottom w:val="single" w:sz="8" w:space="0" w:color="B94831"/>
            </w:tcBorders>
            <w:shd w:fill="auto" w:val="clear"/>
            <w:tcMar>
              <w:bottom w:w="28" w:type="dxa"/>
            </w:tcMar>
            <w:vAlign w:val="bottom"/>
          </w:tcPr>
          <w:p>
            <w:pPr>
              <w:pStyle w:val="TableContents"/>
              <w:spacing w:before="0" w:after="283"/>
              <w:rPr/>
            </w:pPr>
            <w:r>
              <w:rPr/>
              <w:t>1 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 w:type="dxa"/>
            <w:tcBorders>
              <w:bottom w:val="single" w:sz="8" w:space="0" w:color="B94831"/>
            </w:tcBorders>
            <w:shd w:fill="auto" w:val="clear"/>
            <w:tcMar>
              <w:bottom w:w="28" w:type="dxa"/>
            </w:tcMar>
            <w:vAlign w:val="bottom"/>
          </w:tcPr>
          <w:p>
            <w:pPr>
              <w:pStyle w:val="TableContents"/>
              <w:spacing w:before="0" w:after="283"/>
              <w:rPr/>
            </w:pPr>
            <w:r>
              <w:rPr/>
              <w:t> </w:t>
            </w:r>
          </w:p>
        </w:tc>
        <w:tc>
          <w:tcPr>
            <w:tcW w:w="2889"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251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2535" w:type="dxa"/>
            <w:tcBorders>
              <w:bottom w:val="single" w:sz="8" w:space="0" w:color="B94831"/>
            </w:tcBorders>
            <w:shd w:fill="auto" w:val="clear"/>
            <w:tcMar>
              <w:bottom w:w="28" w:type="dxa"/>
            </w:tcMar>
            <w:vAlign w:val="bottom"/>
          </w:tcPr>
          <w:p>
            <w:pPr>
              <w:pStyle w:val="TableContents"/>
              <w:spacing w:before="0" w:after="283"/>
              <w:jc w:val="right"/>
              <w:rPr/>
            </w:pPr>
            <w:r>
              <w:rPr/>
              <w:t>4,088,373</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9" w:type="dxa"/>
            <w:tcBorders>
              <w:bottom w:val="single" w:sz="8" w:space="0" w:color="B94831"/>
            </w:tcBorders>
            <w:shd w:fill="auto" w:val="clear"/>
            <w:tcMar>
              <w:bottom w:w="28" w:type="dxa"/>
            </w:tcMar>
            <w:vAlign w:val="bottom"/>
          </w:tcPr>
          <w:p>
            <w:pPr>
              <w:pStyle w:val="TableContents"/>
              <w:spacing w:before="0" w:after="283"/>
              <w:rPr/>
            </w:pPr>
            <w:r>
              <w:rPr/>
              <w:t> </w:t>
            </w:r>
          </w:p>
        </w:tc>
        <w:tc>
          <w:tcPr>
            <w:tcW w:w="2796"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0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 w:type="dxa"/>
            <w:tcBorders>
              <w:bottom w:val="single" w:sz="8" w:space="0" w:color="B94831"/>
            </w:tcBorders>
            <w:shd w:fill="auto" w:val="clear"/>
            <w:tcMar>
              <w:bottom w:w="28" w:type="dxa"/>
            </w:tcMar>
            <w:vAlign w:val="bottom"/>
          </w:tcPr>
          <w:p>
            <w:pPr>
              <w:pStyle w:val="TableContents"/>
              <w:spacing w:before="0" w:after="283"/>
              <w:rPr/>
            </w:pPr>
            <w:r>
              <w:rPr/>
              <w:t> </w:t>
            </w:r>
          </w:p>
        </w:tc>
        <w:tc>
          <w:tcPr>
            <w:tcW w:w="2889" w:type="dxa"/>
            <w:tcBorders>
              <w:bottom w:val="single" w:sz="8" w:space="0" w:color="B94831"/>
            </w:tcBorders>
            <w:shd w:fill="auto" w:val="clear"/>
            <w:tcMar>
              <w:bottom w:w="28" w:type="dxa"/>
            </w:tcMar>
            <w:vAlign w:val="bottom"/>
          </w:tcPr>
          <w:p>
            <w:pPr>
              <w:pStyle w:val="TableContents"/>
              <w:spacing w:before="0" w:after="283"/>
              <w:jc w:val="right"/>
              <w:rPr/>
            </w:pPr>
            <w:r>
              <w:rPr/>
              <w:t>9,069,475</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251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Equity compensation plans not</w:t>
            </w:r>
          </w:p>
          <w:p>
            <w:pPr>
              <w:pStyle w:val="TableContents"/>
              <w:spacing w:before="0" w:after="20"/>
              <w:rPr>
                <w:rFonts w:ascii="Arial" w:hAnsi="Arial"/>
                <w:b/>
                <w:sz w:val="16"/>
              </w:rPr>
            </w:pPr>
            <w:r>
              <w:rPr>
                <w:rFonts w:ascii="Arial" w:hAnsi="Arial"/>
                <w:b/>
                <w:sz w:val="16"/>
              </w:rPr>
              <w:t>approved by security holders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2535"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9" w:type="dxa"/>
            <w:tcBorders>
              <w:bottom w:val="single" w:sz="8" w:space="0" w:color="B94831"/>
            </w:tcBorders>
            <w:shd w:fill="auto" w:val="clear"/>
            <w:tcMar>
              <w:bottom w:w="28" w:type="dxa"/>
            </w:tcMar>
            <w:vAlign w:val="bottom"/>
          </w:tcPr>
          <w:p>
            <w:pPr>
              <w:pStyle w:val="TableContents"/>
              <w:spacing w:before="0" w:after="283"/>
              <w:rPr/>
            </w:pPr>
            <w:r>
              <w:rPr/>
              <w:t> </w:t>
            </w:r>
          </w:p>
        </w:tc>
        <w:tc>
          <w:tcPr>
            <w:tcW w:w="2796"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0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 w:type="dxa"/>
            <w:tcBorders>
              <w:bottom w:val="single" w:sz="8" w:space="0" w:color="B94831"/>
            </w:tcBorders>
            <w:shd w:fill="auto" w:val="clear"/>
            <w:tcMar>
              <w:bottom w:w="28" w:type="dxa"/>
            </w:tcMar>
            <w:vAlign w:val="bottom"/>
          </w:tcPr>
          <w:p>
            <w:pPr>
              <w:pStyle w:val="TableContents"/>
              <w:spacing w:before="0" w:after="283"/>
              <w:rPr/>
            </w:pPr>
            <w:r>
              <w:rPr/>
              <w:t> </w:t>
            </w:r>
          </w:p>
        </w:tc>
        <w:tc>
          <w:tcPr>
            <w:tcW w:w="2889"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251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2535" w:type="dxa"/>
            <w:tcBorders>
              <w:bottom w:val="single" w:sz="8" w:space="0" w:color="B94831"/>
            </w:tcBorders>
            <w:shd w:fill="auto" w:val="clear"/>
            <w:tcMar>
              <w:bottom w:w="28" w:type="dxa"/>
            </w:tcMar>
            <w:vAlign w:val="bottom"/>
          </w:tcPr>
          <w:p>
            <w:pPr>
              <w:pStyle w:val="TableContents"/>
              <w:spacing w:before="0" w:after="283"/>
              <w:jc w:val="right"/>
              <w:rPr/>
            </w:pPr>
            <w:r>
              <w:rPr/>
              <w:t>4,088,373</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299" w:type="dxa"/>
            <w:tcBorders>
              <w:bottom w:val="single" w:sz="8" w:space="0" w:color="B94831"/>
            </w:tcBorders>
            <w:shd w:fill="auto" w:val="clear"/>
            <w:tcMar>
              <w:bottom w:w="28" w:type="dxa"/>
            </w:tcMar>
            <w:vAlign w:val="bottom"/>
          </w:tcPr>
          <w:p>
            <w:pPr>
              <w:pStyle w:val="TableContents"/>
              <w:spacing w:before="0" w:after="283"/>
              <w:rPr/>
            </w:pPr>
            <w:r>
              <w:rPr/>
              <w:t> </w:t>
            </w:r>
          </w:p>
        </w:tc>
        <w:tc>
          <w:tcPr>
            <w:tcW w:w="2796" w:type="dxa"/>
            <w:tcBorders>
              <w:bottom w:val="single" w:sz="8" w:space="0" w:color="B94831"/>
            </w:tcBorders>
            <w:shd w:fill="auto" w:val="clear"/>
            <w:tcMar>
              <w:bottom w:w="28" w:type="dxa"/>
            </w:tcMar>
            <w:vAlign w:val="bottom"/>
          </w:tcPr>
          <w:p>
            <w:pPr>
              <w:pStyle w:val="TableContents"/>
              <w:spacing w:before="0" w:after="283"/>
              <w:jc w:val="right"/>
              <w:rPr/>
            </w:pPr>
            <w:r>
              <w:rPr/>
              <w:t></w:t>
            </w:r>
          </w:p>
        </w:tc>
        <w:tc>
          <w:tcPr>
            <w:tcW w:w="20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 w:type="dxa"/>
            <w:tcBorders>
              <w:bottom w:val="single" w:sz="8" w:space="0" w:color="B94831"/>
            </w:tcBorders>
            <w:shd w:fill="auto" w:val="clear"/>
            <w:tcMar>
              <w:bottom w:w="28" w:type="dxa"/>
            </w:tcMar>
            <w:vAlign w:val="bottom"/>
          </w:tcPr>
          <w:p>
            <w:pPr>
              <w:pStyle w:val="TableContents"/>
              <w:spacing w:before="0" w:after="283"/>
              <w:rPr/>
            </w:pPr>
            <w:r>
              <w:rPr/>
              <w:t> </w:t>
            </w:r>
          </w:p>
        </w:tc>
        <w:tc>
          <w:tcPr>
            <w:tcW w:w="2889" w:type="dxa"/>
            <w:tcBorders>
              <w:bottom w:val="single" w:sz="8" w:space="0" w:color="B94831"/>
            </w:tcBorders>
            <w:shd w:fill="auto" w:val="clear"/>
            <w:tcMar>
              <w:bottom w:w="28" w:type="dxa"/>
            </w:tcMar>
            <w:vAlign w:val="bottom"/>
          </w:tcPr>
          <w:p>
            <w:pPr>
              <w:pStyle w:val="TableContents"/>
              <w:spacing w:before="0" w:after="283"/>
              <w:jc w:val="right"/>
              <w:rPr/>
            </w:pPr>
            <w:r>
              <w:rPr/>
              <w:t>9,069,475</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1</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Unlike stock options, RSUs do not have an applicable exercise price. </w:t>
            </w:r>
          </w:p>
        </w:tc>
      </w:tr>
    </w:tbl>
    <w:p>
      <w:pPr>
        <w:pStyle w:val="TextBody"/>
        <w:spacing w:before="120" w:after="0"/>
        <w:jc w:val="left"/>
        <w:rPr>
          <w:rFonts w:ascii="arial" w:hAnsi="arial"/>
          <w:color w:val="B94831"/>
          <w:sz w:val="28"/>
        </w:rPr>
      </w:pPr>
      <w:r>
        <w:rPr>
          <w:rFonts w:ascii="arial" w:hAnsi="arial"/>
          <w:color w:val="B94831"/>
          <w:sz w:val="28"/>
        </w:rPr>
        <w:t xml:space="preserve">Description of Equity Compensation and Other Plans </w:t>
      </w:r>
    </w:p>
    <w:p>
      <w:pPr>
        <w:pStyle w:val="TextBody"/>
        <w:spacing w:before="40" w:after="0"/>
        <w:jc w:val="left"/>
        <w:rPr>
          <w:rFonts w:ascii="arial" w:hAnsi="arial"/>
          <w:sz w:val="20"/>
        </w:rPr>
      </w:pPr>
      <w:r>
        <w:rPr>
          <w:rFonts w:ascii="arial" w:hAnsi="arial"/>
          <w:sz w:val="20"/>
        </w:rPr>
        <w:t xml:space="preserve">We are authorized to issue common shares under the following plans: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Stock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Deferred compensation plan;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Employee stock purchase plans. </w:t>
            </w:r>
          </w:p>
        </w:tc>
      </w:tr>
    </w:tbl>
    <w:p>
      <w:pPr>
        <w:pStyle w:val="TextBody"/>
        <w:spacing w:before="120" w:after="0"/>
        <w:jc w:val="left"/>
        <w:rPr>
          <w:rFonts w:ascii="arial" w:hAnsi="arial"/>
          <w:sz w:val="20"/>
        </w:rPr>
      </w:pPr>
      <w:r>
        <w:rPr>
          <w:rFonts w:ascii="arial" w:hAnsi="arial"/>
          <w:sz w:val="20"/>
        </w:rPr>
        <w:t xml:space="preserve">We also maintain a share plan for our non-employee directors but any shares needed to satisfy our obligations under those plans are purchased in the open market, so there is no dilutive effect. We also grant cash-based awards under our phantom stock plan. </w:t>
      </w:r>
    </w:p>
    <w:p>
      <w:pPr>
        <w:pStyle w:val="TextBody"/>
        <w:spacing w:before="120" w:after="0"/>
        <w:jc w:val="left"/>
        <w:rPr>
          <w:rFonts w:ascii="arial" w:hAnsi="arial"/>
          <w:sz w:val="20"/>
        </w:rPr>
      </w:pPr>
      <w:r>
        <w:rPr>
          <w:rFonts w:ascii="arial" w:hAnsi="arial"/>
          <w:sz w:val="20"/>
        </w:rPr>
        <w:t xml:space="preserve">Copies of our stock incentive plan, deferred compensation plan and employee stock purchase plans are available to any shareholder upon request by writing to: Thomson Reuters, Attention: Chief Legal Officer and Company Secretary, 333 Bay Street, Suite 300, Toronto, Ontario M5H 2R2, Canada. </w:t>
      </w:r>
    </w:p>
    <w:p>
      <w:pPr>
        <w:pStyle w:val="TextBody"/>
        <w:spacing w:before="120" w:after="0"/>
        <w:jc w:val="left"/>
        <w:rPr>
          <w:rFonts w:ascii="arial" w:hAnsi="arial"/>
          <w:sz w:val="20"/>
        </w:rPr>
      </w:pPr>
      <w:r>
        <w:rPr>
          <w:rFonts w:ascii="arial" w:hAnsi="arial"/>
          <w:sz w:val="20"/>
        </w:rPr>
        <w:t xml:space="preserve">The tables set forth in Appendix A to this circular provide information regarding the key features of our plans. Our director compensation plan is described in the About Our Directors  Director Compensation and Share Ownership section of this circular. </w:t>
      </w:r>
    </w:p>
    <w:p>
      <w:pPr>
        <w:pStyle w:val="TextBody"/>
        <w:spacing w:before="120" w:after="0"/>
        <w:jc w:val="left"/>
        <w:rPr>
          <w:rFonts w:ascii="Arial" w:hAnsi="Arial"/>
          <w:b/>
          <w:sz w:val="28"/>
        </w:rPr>
      </w:pPr>
      <w:bookmarkStart w:id="73" w:name="tx494196_49"/>
      <w:bookmarkEnd w:id="73"/>
      <w:r>
        <w:rPr>
          <w:rFonts w:ascii="Arial" w:hAnsi="Arial"/>
          <w:b/>
          <w:sz w:val="28"/>
        </w:rPr>
        <w:t xml:space="preserve">Pension and Other Retirement Benefits </w:t>
      </w:r>
    </w:p>
    <w:p>
      <w:pPr>
        <w:pStyle w:val="TextBody"/>
        <w:spacing w:before="120" w:after="0"/>
        <w:jc w:val="left"/>
        <w:rPr>
          <w:rFonts w:ascii="arial" w:hAnsi="arial"/>
          <w:sz w:val="20"/>
        </w:rPr>
      </w:pPr>
      <w:r>
        <w:rPr>
          <w:rFonts w:ascii="arial" w:hAnsi="arial"/>
          <w:sz w:val="20"/>
        </w:rPr>
        <w:t xml:space="preserve">The following describes pension and other retirement benefits provided to our named executive officers. </w:t>
      </w:r>
    </w:p>
    <w:p>
      <w:pPr>
        <w:pStyle w:val="TextBody"/>
        <w:spacing w:before="120" w:after="0"/>
        <w:jc w:val="left"/>
        <w:rPr>
          <w:rFonts w:ascii="arial" w:hAnsi="arial"/>
          <w:color w:val="B94831"/>
          <w:sz w:val="28"/>
        </w:rPr>
      </w:pPr>
      <w:r>
        <w:rPr>
          <w:rFonts w:ascii="arial" w:hAnsi="arial"/>
          <w:color w:val="B94831"/>
          <w:sz w:val="28"/>
        </w:rPr>
        <w:t xml:space="preserve">Defined Benefit Pension Plans </w:t>
      </w:r>
    </w:p>
    <w:p>
      <w:pPr>
        <w:pStyle w:val="TextBody"/>
        <w:spacing w:before="40" w:after="0"/>
        <w:jc w:val="left"/>
        <w:rPr>
          <w:rFonts w:ascii="arial" w:hAnsi="arial"/>
          <w:sz w:val="20"/>
        </w:rPr>
      </w:pPr>
      <w:r>
        <w:rPr>
          <w:rFonts w:ascii="arial" w:hAnsi="arial"/>
          <w:sz w:val="20"/>
        </w:rPr>
        <w:t xml:space="preserve">Steve Hasker and David Wong do not participate in a defined benefit pension plan. </w:t>
      </w:r>
    </w:p>
    <w:p>
      <w:pPr>
        <w:pStyle w:val="TextBody"/>
        <w:spacing w:before="120" w:after="0"/>
        <w:jc w:val="left"/>
        <w:rPr>
          <w:rFonts w:ascii="arial" w:hAnsi="arial"/>
          <w:sz w:val="20"/>
        </w:rPr>
      </w:pPr>
      <w:r>
        <w:rPr>
          <w:rFonts w:ascii="arial" w:hAnsi="arial"/>
          <w:sz w:val="20"/>
        </w:rPr>
        <w:t xml:space="preserve">Brian Peccarelli participated in a broad based, U.S. defined benefit pension plan while employed at Thomson Reuters which has been closed to new participants since 2006. Mike Eastwood participated in the plan through April 2019. In 2020, we announced that we will freeze benefit accruals in the plan for participating employees effective as of January 1, 2023. The plan is funded by one of our wholly owned U.S. subsidiaries and is qualified under U.S. federal income tax laws. Benefits under the plan are subject to a maximum annual benefit based on eligible compensation limits set forth by the U.S. Internal Revenue Code. In 2022, the eligible compensation limit was $305,000 and the maximum annual benefit limit under the pension plan was $245,000. </w:t>
      </w:r>
    </w:p>
    <w:p>
      <w:pPr>
        <w:pStyle w:val="TextBody"/>
        <w:spacing w:before="120" w:after="0"/>
        <w:jc w:val="left"/>
        <w:rPr>
          <w:rFonts w:ascii="arial" w:hAnsi="arial"/>
          <w:sz w:val="20"/>
        </w:rPr>
      </w:pPr>
      <w:r>
        <w:rPr>
          <w:rFonts w:ascii="arial" w:hAnsi="arial"/>
          <w:sz w:val="20"/>
        </w:rPr>
        <w:t xml:space="preserve">Kirsty Roth participates in a Swiss cash balance pension plan. Participating employees contribute up to 10% of their insured (pensionable) salary and the company contributes 17% of the employees insured (pensionable) salary. The maximum pensionable salary is CHF 860,400.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following table sets forth information related to our three named executive officers who participate or participated in a defined benefit pension plan. </w:t>
      </w:r>
    </w:p>
    <w:p>
      <w:pPr>
        <w:pStyle w:val="TextBody"/>
        <w:spacing w:before="0" w:after="0"/>
        <w:jc w:val="left"/>
        <w:rPr/>
      </w:pPr>
      <w:r>
        <w:rPr/>
        <w:t> </w:t>
      </w:r>
    </w:p>
    <w:tbl>
      <w:tblPr>
        <w:tblW w:w="13125" w:type="dxa"/>
        <w:jc w:val="center"/>
        <w:tblInd w:w="0" w:type="dxa"/>
        <w:tblCellMar>
          <w:top w:w="0" w:type="dxa"/>
          <w:left w:w="0" w:type="dxa"/>
          <w:bottom w:w="0" w:type="dxa"/>
          <w:right w:w="0" w:type="dxa"/>
        </w:tblCellMar>
      </w:tblPr>
      <w:tblGrid>
        <w:gridCol w:w="1235"/>
        <w:gridCol w:w="60"/>
        <w:gridCol w:w="184"/>
        <w:gridCol w:w="1726"/>
        <w:gridCol w:w="60"/>
        <w:gridCol w:w="60"/>
        <w:gridCol w:w="107"/>
        <w:gridCol w:w="1218"/>
        <w:gridCol w:w="60"/>
        <w:gridCol w:w="60"/>
        <w:gridCol w:w="75"/>
        <w:gridCol w:w="1010"/>
        <w:gridCol w:w="60"/>
        <w:gridCol w:w="60"/>
        <w:gridCol w:w="111"/>
        <w:gridCol w:w="1814"/>
        <w:gridCol w:w="60"/>
        <w:gridCol w:w="60"/>
        <w:gridCol w:w="119"/>
        <w:gridCol w:w="1596"/>
        <w:gridCol w:w="60"/>
        <w:gridCol w:w="60"/>
        <w:gridCol w:w="74"/>
        <w:gridCol w:w="1086"/>
        <w:gridCol w:w="155"/>
        <w:gridCol w:w="60"/>
        <w:gridCol w:w="105"/>
        <w:gridCol w:w="1730"/>
        <w:gridCol w:w="60"/>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235" w:type="dxa"/>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c>
          <w:tcPr>
            <w:tcW w:w="2650" w:type="dxa"/>
            <w:gridSpan w:val="8"/>
            <w:tcBorders/>
            <w:shd w:fill="BFBFBF" w:val="clear"/>
            <w:vAlign w:val="center"/>
          </w:tcPr>
          <w:p>
            <w:pPr>
              <w:pStyle w:val="TableContents"/>
              <w:spacing w:before="0" w:after="283"/>
              <w:rPr>
                <w:sz w:val="4"/>
                <w:szCs w:val="4"/>
              </w:rPr>
            </w:pPr>
            <w:r>
              <w:rPr>
                <w:sz w:val="4"/>
                <w:szCs w:val="4"/>
              </w:rPr>
            </w:r>
          </w:p>
        </w:tc>
        <w:tc>
          <w:tcPr>
            <w:tcW w:w="2045" w:type="dxa"/>
            <w:gridSpan w:val="4"/>
            <w:tcBorders/>
            <w:shd w:fill="auto" w:val="clear"/>
            <w:vAlign w:val="center"/>
          </w:tcPr>
          <w:p>
            <w:pPr>
              <w:pStyle w:val="TableContents"/>
              <w:spacing w:before="0" w:after="283"/>
              <w:rPr>
                <w:sz w:val="4"/>
                <w:szCs w:val="4"/>
              </w:rPr>
            </w:pPr>
            <w:r>
              <w:rPr>
                <w:sz w:val="4"/>
                <w:szCs w:val="4"/>
              </w:rPr>
            </w:r>
          </w:p>
        </w:tc>
        <w:tc>
          <w:tcPr>
            <w:tcW w:w="1835" w:type="dxa"/>
            <w:gridSpan w:val="4"/>
            <w:tcBorders/>
            <w:shd w:fill="auto" w:val="clear"/>
            <w:vAlign w:val="center"/>
          </w:tcPr>
          <w:p>
            <w:pPr>
              <w:pStyle w:val="TableContents"/>
              <w:spacing w:before="0" w:after="283"/>
              <w:rPr>
                <w:sz w:val="4"/>
                <w:szCs w:val="4"/>
              </w:rPr>
            </w:pPr>
            <w:r>
              <w:rPr>
                <w:sz w:val="4"/>
                <w:szCs w:val="4"/>
              </w:rPr>
            </w:r>
          </w:p>
        </w:tc>
        <w:tc>
          <w:tcPr>
            <w:tcW w:w="1375"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r>
      <w:tr>
        <w:trPr/>
        <w:tc>
          <w:tcPr>
            <w:tcW w:w="12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BFBFBF" w:val="clear"/>
            <w:vAlign w:val="bottom"/>
          </w:tcPr>
          <w:p>
            <w:pPr>
              <w:pStyle w:val="TableContents"/>
              <w:spacing w:before="0" w:after="283"/>
              <w:rPr/>
            </w:pPr>
            <w:r>
              <w:rPr/>
              <w:t> </w:t>
            </w:r>
          </w:p>
        </w:tc>
        <w:tc>
          <w:tcPr>
            <w:tcW w:w="2530" w:type="dxa"/>
            <w:gridSpan w:val="6"/>
            <w:tcBorders/>
            <w:shd w:fill="BFBFBF" w:val="clear"/>
            <w:vAlign w:val="bottom"/>
          </w:tcPr>
          <w:p>
            <w:pPr>
              <w:pStyle w:val="TableContents"/>
              <w:spacing w:before="0" w:after="0"/>
              <w:jc w:val="center"/>
              <w:rPr>
                <w:rFonts w:ascii="Arial" w:hAnsi="Arial"/>
                <w:b/>
                <w:sz w:val="17"/>
              </w:rPr>
            </w:pPr>
            <w:r>
              <w:rPr>
                <w:rFonts w:ascii="Arial" w:hAnsi="Arial"/>
                <w:b/>
                <w:sz w:val="17"/>
              </w:rPr>
              <w:t>Annual benefits</w:t>
            </w:r>
          </w:p>
          <w:p>
            <w:pPr>
              <w:pStyle w:val="TableContents"/>
              <w:spacing w:before="0" w:after="20"/>
              <w:jc w:val="center"/>
              <w:rPr>
                <w:rFonts w:ascii="Arial" w:hAnsi="Arial"/>
                <w:b/>
                <w:sz w:val="17"/>
              </w:rPr>
            </w:pPr>
            <w:r>
              <w:rPr>
                <w:rFonts w:ascii="Arial" w:hAnsi="Arial"/>
                <w:b/>
                <w:sz w:val="17"/>
              </w:rPr>
              <w:t>payable ($)2</w:t>
            </w:r>
          </w:p>
        </w:tc>
        <w:tc>
          <w:tcPr>
            <w:tcW w:w="60" w:type="dxa"/>
            <w:tcBorders/>
            <w:shd w:fill="BFBFBF"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rHeight w:val="30" w:hRule="atLeast"/>
        </w:trPr>
        <w:tc>
          <w:tcPr>
            <w:tcW w:w="1235" w:type="dxa"/>
            <w:tcBorders/>
            <w:shd w:fill="262626" w:val="clear"/>
            <w:vAlign w:val="center"/>
          </w:tcPr>
          <w:p>
            <w:pPr>
              <w:pStyle w:val="TableContents"/>
              <w:spacing w:before="0" w:after="283"/>
              <w:rPr>
                <w:sz w:val="4"/>
                <w:szCs w:val="4"/>
              </w:rPr>
            </w:pPr>
            <w:r>
              <w:rPr>
                <w:sz w:val="4"/>
                <w:szCs w:val="4"/>
              </w:rPr>
            </w:r>
          </w:p>
        </w:tc>
        <w:tc>
          <w:tcPr>
            <w:tcW w:w="203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44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20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204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83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375"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955"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235"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910"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Number of years</w:t>
              <w:br/>
              <w:t>credited service</w:t>
              <w:br/>
              <w:t>(#)1</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32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At year end</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08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At age 65</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92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Opening present</w:t>
              <w:br/>
              <w:t>value of defined</w:t>
              <w:br/>
              <w:t>benefit</w:t>
              <w:br/>
              <w:t>obligation ($)3</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71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Compensatory</w:t>
              <w:br/>
              <w:t>change ($)4</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160" w:type="dxa"/>
            <w:gridSpan w:val="2"/>
            <w:tcBorders>
              <w:bottom w:val="single" w:sz="2" w:space="0" w:color="B94831"/>
            </w:tcBorders>
            <w:shd w:fill="262626" w:val="clear"/>
            <w:tcMar>
              <w:bottom w:w="28" w:type="dxa"/>
            </w:tcMar>
            <w:vAlign w:val="bottom"/>
          </w:tcPr>
          <w:p>
            <w:pPr>
              <w:pStyle w:val="TableContents"/>
              <w:spacing w:before="0" w:after="0"/>
              <w:jc w:val="right"/>
              <w:rPr>
                <w:rFonts w:ascii="Arial" w:hAnsi="Arial"/>
                <w:b/>
                <w:color w:val="FFFFFF"/>
                <w:sz w:val="17"/>
              </w:rPr>
            </w:pPr>
            <w:r>
              <w:rPr>
                <w:rFonts w:ascii="Arial" w:hAnsi="Arial"/>
                <w:b/>
                <w:color w:val="FFFFFF"/>
                <w:sz w:val="17"/>
              </w:rPr>
              <w:t>Non-</w:t>
            </w:r>
          </w:p>
          <w:p>
            <w:pPr>
              <w:pStyle w:val="TableContents"/>
              <w:spacing w:before="0" w:after="20"/>
              <w:jc w:val="right"/>
              <w:rPr>
                <w:rFonts w:ascii="Arial" w:hAnsi="Arial"/>
                <w:b/>
                <w:color w:val="FFFFFF"/>
                <w:sz w:val="17"/>
              </w:rPr>
            </w:pPr>
            <w:r>
              <w:rPr>
                <w:rFonts w:ascii="Arial" w:hAnsi="Arial"/>
                <w:b/>
                <w:color w:val="FFFFFF"/>
                <w:sz w:val="17"/>
              </w:rPr>
              <w:t>compensatory</w:t>
              <w:br/>
              <w:t>change ($)5</w:t>
            </w:r>
          </w:p>
        </w:tc>
        <w:tc>
          <w:tcPr>
            <w:tcW w:w="155"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83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Closing present</w:t>
              <w:br/>
              <w:t>value of defined</w:t>
              <w:br/>
              <w:t>benefit</w:t>
              <w:br/>
              <w:t>obligation ($)6</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r>
      <w:tr>
        <w:trPr/>
        <w:tc>
          <w:tcPr>
            <w:tcW w:w="1235"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Mike Eastwood</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4" w:type="dxa"/>
            <w:tcBorders>
              <w:bottom w:val="single" w:sz="2" w:space="0" w:color="AFAFAF"/>
            </w:tcBorders>
            <w:shd w:fill="auto" w:val="clear"/>
            <w:tcMar>
              <w:bottom w:w="28" w:type="dxa"/>
            </w:tcMar>
            <w:vAlign w:val="bottom"/>
          </w:tcPr>
          <w:p>
            <w:pPr>
              <w:pStyle w:val="TableContents"/>
              <w:spacing w:before="0" w:after="283"/>
              <w:rPr/>
            </w:pPr>
            <w:r>
              <w:rPr/>
              <w:t> </w:t>
            </w:r>
          </w:p>
        </w:tc>
        <w:tc>
          <w:tcPr>
            <w:tcW w:w="1726" w:type="dxa"/>
            <w:tcBorders>
              <w:bottom w:val="single" w:sz="2" w:space="0" w:color="AFAFAF"/>
            </w:tcBorders>
            <w:shd w:fill="auto" w:val="clear"/>
            <w:tcMar>
              <w:bottom w:w="28" w:type="dxa"/>
            </w:tcMar>
            <w:vAlign w:val="bottom"/>
          </w:tcPr>
          <w:p>
            <w:pPr>
              <w:pStyle w:val="TableContents"/>
              <w:spacing w:before="0" w:after="283"/>
              <w:jc w:val="right"/>
              <w:rPr/>
            </w:pPr>
            <w:r>
              <w:rPr/>
              <w:t>13.58</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7" w:type="dxa"/>
            <w:tcBorders>
              <w:bottom w:val="single" w:sz="2" w:space="0" w:color="AFAFAF"/>
            </w:tcBorders>
            <w:shd w:fill="auto" w:val="clear"/>
            <w:tcMar>
              <w:bottom w:w="28" w:type="dxa"/>
            </w:tcMar>
            <w:vAlign w:val="bottom"/>
          </w:tcPr>
          <w:p>
            <w:pPr>
              <w:pStyle w:val="TableContents"/>
              <w:spacing w:before="0" w:after="283"/>
              <w:rPr/>
            </w:pPr>
            <w:r>
              <w:rPr/>
              <w:t> </w:t>
            </w:r>
          </w:p>
        </w:tc>
        <w:tc>
          <w:tcPr>
            <w:tcW w:w="1218" w:type="dxa"/>
            <w:tcBorders>
              <w:bottom w:val="single" w:sz="2" w:space="0" w:color="AFAFAF"/>
            </w:tcBorders>
            <w:shd w:fill="auto" w:val="clear"/>
            <w:tcMar>
              <w:bottom w:w="28" w:type="dxa"/>
            </w:tcMar>
            <w:vAlign w:val="bottom"/>
          </w:tcPr>
          <w:p>
            <w:pPr>
              <w:pStyle w:val="TableContents"/>
              <w:spacing w:before="0" w:after="283"/>
              <w:jc w:val="right"/>
              <w:rPr/>
            </w:pPr>
            <w:r>
              <w:rPr/>
              <w:t>53,000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5"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28" w:type="dxa"/>
            </w:tcMar>
            <w:vAlign w:val="bottom"/>
          </w:tcPr>
          <w:p>
            <w:pPr>
              <w:pStyle w:val="TableContents"/>
              <w:spacing w:before="0" w:after="283"/>
              <w:jc w:val="right"/>
              <w:rPr/>
            </w:pPr>
            <w:r>
              <w:rPr/>
              <w:t>53,000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11" w:type="dxa"/>
            <w:tcBorders>
              <w:bottom w:val="single" w:sz="2" w:space="0" w:color="AFAFAF"/>
            </w:tcBorders>
            <w:shd w:fill="auto" w:val="clear"/>
            <w:tcMar>
              <w:bottom w:w="28" w:type="dxa"/>
            </w:tcMar>
            <w:vAlign w:val="bottom"/>
          </w:tcPr>
          <w:p>
            <w:pPr>
              <w:pStyle w:val="TableContents"/>
              <w:spacing w:before="0" w:after="283"/>
              <w:rPr/>
            </w:pPr>
            <w:r>
              <w:rPr/>
              <w:t> </w:t>
            </w:r>
          </w:p>
        </w:tc>
        <w:tc>
          <w:tcPr>
            <w:tcW w:w="1814" w:type="dxa"/>
            <w:tcBorders>
              <w:bottom w:val="single" w:sz="2" w:space="0" w:color="AFAFAF"/>
            </w:tcBorders>
            <w:shd w:fill="auto" w:val="clear"/>
            <w:tcMar>
              <w:bottom w:w="28" w:type="dxa"/>
            </w:tcMar>
            <w:vAlign w:val="bottom"/>
          </w:tcPr>
          <w:p>
            <w:pPr>
              <w:pStyle w:val="TableContents"/>
              <w:spacing w:before="0" w:after="283"/>
              <w:jc w:val="right"/>
              <w:rPr/>
            </w:pPr>
            <w:r>
              <w:rPr/>
              <w:t>641,000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1596"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before="0" w:after="283"/>
              <w:rPr/>
            </w:pPr>
            <w:r>
              <w:rPr/>
              <w:t> </w:t>
            </w:r>
          </w:p>
        </w:tc>
        <w:tc>
          <w:tcPr>
            <w:tcW w:w="1086" w:type="dxa"/>
            <w:tcBorders>
              <w:bottom w:val="single" w:sz="2" w:space="0" w:color="AFAFAF"/>
            </w:tcBorders>
            <w:shd w:fill="auto" w:val="clear"/>
            <w:tcMar>
              <w:bottom w:w="28" w:type="dxa"/>
            </w:tcMar>
            <w:vAlign w:val="bottom"/>
          </w:tcPr>
          <w:p>
            <w:pPr>
              <w:pStyle w:val="TableContents"/>
              <w:spacing w:before="0" w:after="283"/>
              <w:jc w:val="right"/>
              <w:rPr/>
            </w:pPr>
            <w:r>
              <w:rPr/>
              <w:t>(195,000</w:t>
            </w:r>
          </w:p>
        </w:tc>
        <w:tc>
          <w:tcPr>
            <w:tcW w:w="155" w:type="dxa"/>
            <w:tcBorders>
              <w:bottom w:val="single" w:sz="2" w:space="0" w:color="AFAFAF"/>
            </w:tcBorders>
            <w:shd w:fill="auto" w:val="clear"/>
            <w:tcMar>
              <w:bottom w:w="28" w:type="dxa"/>
            </w:tcMar>
            <w:vAlign w:val="bottom"/>
          </w:tcPr>
          <w:p>
            <w:pPr>
              <w:pStyle w:val="TableContents"/>
              <w:spacing w:before="0" w:after="283"/>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1730" w:type="dxa"/>
            <w:tcBorders>
              <w:bottom w:val="single" w:sz="2" w:space="0" w:color="AFAFAF"/>
            </w:tcBorders>
            <w:shd w:fill="auto" w:val="clear"/>
            <w:tcMar>
              <w:bottom w:w="28" w:type="dxa"/>
            </w:tcMar>
            <w:vAlign w:val="bottom"/>
          </w:tcPr>
          <w:p>
            <w:pPr>
              <w:pStyle w:val="TableContents"/>
              <w:spacing w:before="0" w:after="283"/>
              <w:jc w:val="right"/>
              <w:rPr/>
            </w:pPr>
            <w:r>
              <w:rPr/>
              <w:t>446,000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Brian Peccarelli</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4" w:type="dxa"/>
            <w:tcBorders>
              <w:bottom w:val="single" w:sz="2" w:space="0" w:color="AFAFAF"/>
            </w:tcBorders>
            <w:shd w:fill="auto" w:val="clear"/>
            <w:tcMar>
              <w:bottom w:w="28" w:type="dxa"/>
            </w:tcMar>
            <w:vAlign w:val="bottom"/>
          </w:tcPr>
          <w:p>
            <w:pPr>
              <w:pStyle w:val="TableContents"/>
              <w:spacing w:before="0" w:after="283"/>
              <w:rPr/>
            </w:pPr>
            <w:r>
              <w:rPr/>
              <w:t> </w:t>
            </w:r>
          </w:p>
        </w:tc>
        <w:tc>
          <w:tcPr>
            <w:tcW w:w="1726" w:type="dxa"/>
            <w:tcBorders>
              <w:bottom w:val="single" w:sz="2" w:space="0" w:color="AFAFAF"/>
            </w:tcBorders>
            <w:shd w:fill="auto" w:val="clear"/>
            <w:tcMar>
              <w:bottom w:w="28" w:type="dxa"/>
            </w:tcMar>
            <w:vAlign w:val="bottom"/>
          </w:tcPr>
          <w:p>
            <w:pPr>
              <w:pStyle w:val="TableContents"/>
              <w:spacing w:before="0" w:after="283"/>
              <w:jc w:val="right"/>
              <w:rPr/>
            </w:pPr>
            <w:r>
              <w:rPr/>
              <w:t>24.00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7" w:type="dxa"/>
            <w:tcBorders>
              <w:bottom w:val="single" w:sz="2" w:space="0" w:color="AFAFAF"/>
            </w:tcBorders>
            <w:shd w:fill="auto" w:val="clear"/>
            <w:tcMar>
              <w:bottom w:w="28" w:type="dxa"/>
            </w:tcMar>
            <w:vAlign w:val="bottom"/>
          </w:tcPr>
          <w:p>
            <w:pPr>
              <w:pStyle w:val="TableContents"/>
              <w:spacing w:before="0" w:after="283"/>
              <w:rPr/>
            </w:pPr>
            <w:r>
              <w:rPr/>
              <w:t> </w:t>
            </w:r>
          </w:p>
        </w:tc>
        <w:tc>
          <w:tcPr>
            <w:tcW w:w="1218" w:type="dxa"/>
            <w:tcBorders>
              <w:bottom w:val="single" w:sz="2" w:space="0" w:color="AFAFAF"/>
            </w:tcBorders>
            <w:shd w:fill="auto" w:val="clear"/>
            <w:tcMar>
              <w:bottom w:w="28" w:type="dxa"/>
            </w:tcMar>
            <w:vAlign w:val="bottom"/>
          </w:tcPr>
          <w:p>
            <w:pPr>
              <w:pStyle w:val="TableContents"/>
              <w:spacing w:before="0" w:after="283"/>
              <w:jc w:val="right"/>
              <w:rPr/>
            </w:pPr>
            <w:r>
              <w:rPr/>
              <w:t>96,000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5" w:type="dxa"/>
            <w:tcBorders>
              <w:bottom w:val="single" w:sz="2" w:space="0" w:color="AFAFAF"/>
            </w:tcBorders>
            <w:shd w:fill="auto" w:val="clear"/>
            <w:tcMar>
              <w:bottom w:w="28" w:type="dxa"/>
            </w:tcMar>
            <w:vAlign w:val="bottom"/>
          </w:tcPr>
          <w:p>
            <w:pPr>
              <w:pStyle w:val="TableContents"/>
              <w:spacing w:before="0" w:after="283"/>
              <w:rPr/>
            </w:pPr>
            <w:r>
              <w:rPr/>
              <w:t> </w:t>
            </w:r>
          </w:p>
        </w:tc>
        <w:tc>
          <w:tcPr>
            <w:tcW w:w="1010" w:type="dxa"/>
            <w:tcBorders>
              <w:bottom w:val="single" w:sz="2" w:space="0" w:color="AFAFAF"/>
            </w:tcBorders>
            <w:shd w:fill="auto" w:val="clear"/>
            <w:tcMar>
              <w:bottom w:w="28" w:type="dxa"/>
            </w:tcMar>
            <w:vAlign w:val="bottom"/>
          </w:tcPr>
          <w:p>
            <w:pPr>
              <w:pStyle w:val="TableContents"/>
              <w:spacing w:before="0" w:after="283"/>
              <w:jc w:val="right"/>
              <w:rPr/>
            </w:pPr>
            <w:r>
              <w:rPr/>
              <w:t>96,000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11" w:type="dxa"/>
            <w:tcBorders>
              <w:bottom w:val="single" w:sz="2" w:space="0" w:color="AFAFAF"/>
            </w:tcBorders>
            <w:shd w:fill="auto" w:val="clear"/>
            <w:tcMar>
              <w:bottom w:w="28" w:type="dxa"/>
            </w:tcMar>
            <w:vAlign w:val="bottom"/>
          </w:tcPr>
          <w:p>
            <w:pPr>
              <w:pStyle w:val="TableContents"/>
              <w:spacing w:before="0" w:after="283"/>
              <w:rPr/>
            </w:pPr>
            <w:r>
              <w:rPr/>
              <w:t> </w:t>
            </w:r>
          </w:p>
        </w:tc>
        <w:tc>
          <w:tcPr>
            <w:tcW w:w="1814" w:type="dxa"/>
            <w:tcBorders>
              <w:bottom w:val="single" w:sz="2" w:space="0" w:color="AFAFAF"/>
            </w:tcBorders>
            <w:shd w:fill="auto" w:val="clear"/>
            <w:tcMar>
              <w:bottom w:w="28" w:type="dxa"/>
            </w:tcMar>
            <w:vAlign w:val="bottom"/>
          </w:tcPr>
          <w:p>
            <w:pPr>
              <w:pStyle w:val="TableContents"/>
              <w:spacing w:before="0" w:after="283"/>
              <w:jc w:val="right"/>
              <w:rPr/>
            </w:pPr>
            <w:r>
              <w:rPr/>
              <w:t>1,267,000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19" w:type="dxa"/>
            <w:tcBorders>
              <w:bottom w:val="single" w:sz="2" w:space="0" w:color="AFAFAF"/>
            </w:tcBorders>
            <w:shd w:fill="auto" w:val="clear"/>
            <w:tcMar>
              <w:bottom w:w="28" w:type="dxa"/>
            </w:tcMar>
            <w:vAlign w:val="bottom"/>
          </w:tcPr>
          <w:p>
            <w:pPr>
              <w:pStyle w:val="TableContents"/>
              <w:spacing w:before="0" w:after="283"/>
              <w:rPr/>
            </w:pPr>
            <w:r>
              <w:rPr/>
              <w:t> </w:t>
            </w:r>
          </w:p>
        </w:tc>
        <w:tc>
          <w:tcPr>
            <w:tcW w:w="1596" w:type="dxa"/>
            <w:tcBorders>
              <w:bottom w:val="single" w:sz="2" w:space="0" w:color="AFAFAF"/>
            </w:tcBorders>
            <w:shd w:fill="auto" w:val="clear"/>
            <w:tcMar>
              <w:bottom w:w="28" w:type="dxa"/>
            </w:tcMar>
            <w:vAlign w:val="bottom"/>
          </w:tcPr>
          <w:p>
            <w:pPr>
              <w:pStyle w:val="TableContents"/>
              <w:spacing w:before="0" w:after="283"/>
              <w:jc w:val="right"/>
              <w:rPr/>
            </w:pPr>
            <w:r>
              <w:rPr/>
              <w:t>49,000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AFAFAF"/>
            </w:tcBorders>
            <w:shd w:fill="auto" w:val="clear"/>
            <w:tcMar>
              <w:bottom w:w="28" w:type="dxa"/>
            </w:tcMar>
            <w:vAlign w:val="bottom"/>
          </w:tcPr>
          <w:p>
            <w:pPr>
              <w:pStyle w:val="TableContents"/>
              <w:spacing w:before="0" w:after="283"/>
              <w:rPr/>
            </w:pPr>
            <w:r>
              <w:rPr/>
              <w:t> </w:t>
            </w:r>
          </w:p>
        </w:tc>
        <w:tc>
          <w:tcPr>
            <w:tcW w:w="1086" w:type="dxa"/>
            <w:tcBorders>
              <w:bottom w:val="single" w:sz="2" w:space="0" w:color="AFAFAF"/>
            </w:tcBorders>
            <w:shd w:fill="auto" w:val="clear"/>
            <w:tcMar>
              <w:bottom w:w="28" w:type="dxa"/>
            </w:tcMar>
            <w:vAlign w:val="bottom"/>
          </w:tcPr>
          <w:p>
            <w:pPr>
              <w:pStyle w:val="TableContents"/>
              <w:spacing w:before="0" w:after="283"/>
              <w:jc w:val="right"/>
              <w:rPr/>
            </w:pPr>
            <w:r>
              <w:rPr/>
              <w:t>(305,000</w:t>
            </w:r>
          </w:p>
        </w:tc>
        <w:tc>
          <w:tcPr>
            <w:tcW w:w="155" w:type="dxa"/>
            <w:tcBorders>
              <w:bottom w:val="single" w:sz="2" w:space="0" w:color="AFAFAF"/>
            </w:tcBorders>
            <w:shd w:fill="auto" w:val="clear"/>
            <w:tcMar>
              <w:bottom w:w="28" w:type="dxa"/>
            </w:tcMar>
            <w:vAlign w:val="bottom"/>
          </w:tcPr>
          <w:p>
            <w:pPr>
              <w:pStyle w:val="TableContents"/>
              <w:spacing w:before="0" w:after="283"/>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05" w:type="dxa"/>
            <w:tcBorders>
              <w:bottom w:val="single" w:sz="2" w:space="0" w:color="AFAFAF"/>
            </w:tcBorders>
            <w:shd w:fill="auto" w:val="clear"/>
            <w:tcMar>
              <w:bottom w:w="28" w:type="dxa"/>
            </w:tcMar>
            <w:vAlign w:val="bottom"/>
          </w:tcPr>
          <w:p>
            <w:pPr>
              <w:pStyle w:val="TableContents"/>
              <w:spacing w:before="0" w:after="283"/>
              <w:rPr/>
            </w:pPr>
            <w:r>
              <w:rPr/>
              <w:t> </w:t>
            </w:r>
          </w:p>
        </w:tc>
        <w:tc>
          <w:tcPr>
            <w:tcW w:w="1730" w:type="dxa"/>
            <w:tcBorders>
              <w:bottom w:val="single" w:sz="2" w:space="0" w:color="AFAFAF"/>
            </w:tcBorders>
            <w:shd w:fill="auto" w:val="clear"/>
            <w:tcMar>
              <w:bottom w:w="28" w:type="dxa"/>
            </w:tcMar>
            <w:vAlign w:val="bottom"/>
          </w:tcPr>
          <w:p>
            <w:pPr>
              <w:pStyle w:val="TableContents"/>
              <w:spacing w:before="0" w:after="283"/>
              <w:jc w:val="right"/>
              <w:rPr/>
            </w:pPr>
            <w:r>
              <w:rPr/>
              <w:t>1,011,000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235"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Kirsty Roth</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4" w:type="dxa"/>
            <w:tcBorders>
              <w:bottom w:val="single" w:sz="8" w:space="0" w:color="B94831"/>
            </w:tcBorders>
            <w:shd w:fill="auto" w:val="clear"/>
            <w:tcMar>
              <w:bottom w:w="28" w:type="dxa"/>
            </w:tcMar>
            <w:vAlign w:val="bottom"/>
          </w:tcPr>
          <w:p>
            <w:pPr>
              <w:pStyle w:val="TableContents"/>
              <w:spacing w:before="0" w:after="283"/>
              <w:rPr/>
            </w:pPr>
            <w:r>
              <w:rPr/>
              <w:t> </w:t>
            </w:r>
          </w:p>
        </w:tc>
        <w:tc>
          <w:tcPr>
            <w:tcW w:w="1726" w:type="dxa"/>
            <w:tcBorders>
              <w:bottom w:val="single" w:sz="8" w:space="0" w:color="B94831"/>
            </w:tcBorders>
            <w:shd w:fill="auto" w:val="clear"/>
            <w:tcMar>
              <w:bottom w:w="28" w:type="dxa"/>
            </w:tcMar>
            <w:vAlign w:val="bottom"/>
          </w:tcPr>
          <w:p>
            <w:pPr>
              <w:pStyle w:val="TableContents"/>
              <w:spacing w:before="0" w:after="283"/>
              <w:jc w:val="right"/>
              <w:rPr/>
            </w:pPr>
            <w:r>
              <w:rPr/>
              <w:t>2.33</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07" w:type="dxa"/>
            <w:tcBorders>
              <w:bottom w:val="single" w:sz="8" w:space="0" w:color="B94831"/>
            </w:tcBorders>
            <w:shd w:fill="auto" w:val="clear"/>
            <w:tcMar>
              <w:bottom w:w="28" w:type="dxa"/>
            </w:tcMar>
            <w:vAlign w:val="bottom"/>
          </w:tcPr>
          <w:p>
            <w:pPr>
              <w:pStyle w:val="TableContents"/>
              <w:spacing w:before="0" w:after="283"/>
              <w:rPr/>
            </w:pPr>
            <w:r>
              <w:rPr/>
              <w:t> </w:t>
            </w:r>
          </w:p>
        </w:tc>
        <w:tc>
          <w:tcPr>
            <w:tcW w:w="1218" w:type="dxa"/>
            <w:tcBorders>
              <w:bottom w:val="single" w:sz="8" w:space="0" w:color="B94831"/>
            </w:tcBorders>
            <w:shd w:fill="auto" w:val="clear"/>
            <w:tcMar>
              <w:bottom w:w="28" w:type="dxa"/>
            </w:tcMar>
            <w:vAlign w:val="bottom"/>
          </w:tcPr>
          <w:p>
            <w:pPr>
              <w:pStyle w:val="TableContents"/>
              <w:spacing w:before="0" w:after="283"/>
              <w:jc w:val="right"/>
              <w:rPr/>
            </w:pPr>
            <w:r>
              <w:rPr/>
              <w:t>30,792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5" w:type="dxa"/>
            <w:tcBorders>
              <w:bottom w:val="single" w:sz="8" w:space="0" w:color="B94831"/>
            </w:tcBorders>
            <w:shd w:fill="auto" w:val="clear"/>
            <w:tcMar>
              <w:bottom w:w="28" w:type="dxa"/>
            </w:tcMar>
            <w:vAlign w:val="bottom"/>
          </w:tcPr>
          <w:p>
            <w:pPr>
              <w:pStyle w:val="TableContents"/>
              <w:spacing w:before="0" w:after="283"/>
              <w:rPr/>
            </w:pPr>
            <w:r>
              <w:rPr/>
              <w:t> </w:t>
            </w:r>
          </w:p>
        </w:tc>
        <w:tc>
          <w:tcPr>
            <w:tcW w:w="1010" w:type="dxa"/>
            <w:tcBorders>
              <w:bottom w:val="single" w:sz="8" w:space="0" w:color="B94831"/>
            </w:tcBorders>
            <w:shd w:fill="auto" w:val="clear"/>
            <w:tcMar>
              <w:bottom w:w="28" w:type="dxa"/>
            </w:tcMar>
            <w:vAlign w:val="bottom"/>
          </w:tcPr>
          <w:p>
            <w:pPr>
              <w:pStyle w:val="TableContents"/>
              <w:spacing w:before="0" w:after="283"/>
              <w:jc w:val="right"/>
              <w:rPr/>
            </w:pPr>
            <w:r>
              <w:rPr/>
              <w:t>217,542</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11" w:type="dxa"/>
            <w:tcBorders>
              <w:bottom w:val="single" w:sz="8" w:space="0" w:color="B94831"/>
            </w:tcBorders>
            <w:shd w:fill="auto" w:val="clear"/>
            <w:tcMar>
              <w:bottom w:w="28" w:type="dxa"/>
            </w:tcMar>
            <w:vAlign w:val="bottom"/>
          </w:tcPr>
          <w:p>
            <w:pPr>
              <w:pStyle w:val="TableContents"/>
              <w:spacing w:before="0" w:after="283"/>
              <w:rPr/>
            </w:pPr>
            <w:r>
              <w:rPr/>
              <w:t> </w:t>
            </w:r>
          </w:p>
        </w:tc>
        <w:tc>
          <w:tcPr>
            <w:tcW w:w="1814" w:type="dxa"/>
            <w:tcBorders>
              <w:bottom w:val="single" w:sz="8" w:space="0" w:color="B94831"/>
            </w:tcBorders>
            <w:shd w:fill="auto" w:val="clear"/>
            <w:tcMar>
              <w:bottom w:w="28" w:type="dxa"/>
            </w:tcMar>
            <w:vAlign w:val="bottom"/>
          </w:tcPr>
          <w:p>
            <w:pPr>
              <w:pStyle w:val="TableContents"/>
              <w:spacing w:before="0" w:after="283"/>
              <w:jc w:val="right"/>
              <w:rPr/>
            </w:pPr>
            <w:r>
              <w:rPr/>
              <w:t>373,710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19" w:type="dxa"/>
            <w:tcBorders>
              <w:bottom w:val="single" w:sz="8" w:space="0" w:color="B94831"/>
            </w:tcBorders>
            <w:shd w:fill="auto" w:val="clear"/>
            <w:tcMar>
              <w:bottom w:w="28" w:type="dxa"/>
            </w:tcMar>
            <w:vAlign w:val="bottom"/>
          </w:tcPr>
          <w:p>
            <w:pPr>
              <w:pStyle w:val="TableContents"/>
              <w:spacing w:before="0" w:after="283"/>
              <w:rPr/>
            </w:pPr>
            <w:r>
              <w:rPr/>
              <w:t> </w:t>
            </w:r>
          </w:p>
        </w:tc>
        <w:tc>
          <w:tcPr>
            <w:tcW w:w="1596" w:type="dxa"/>
            <w:tcBorders>
              <w:bottom w:val="single" w:sz="8" w:space="0" w:color="B94831"/>
            </w:tcBorders>
            <w:shd w:fill="auto" w:val="clear"/>
            <w:tcMar>
              <w:bottom w:w="28" w:type="dxa"/>
            </w:tcMar>
            <w:vAlign w:val="bottom"/>
          </w:tcPr>
          <w:p>
            <w:pPr>
              <w:pStyle w:val="TableContents"/>
              <w:spacing w:before="0" w:after="283"/>
              <w:jc w:val="right"/>
              <w:rPr/>
            </w:pPr>
            <w:r>
              <w:rPr/>
              <w:t>149,799</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74" w:type="dxa"/>
            <w:tcBorders>
              <w:bottom w:val="single" w:sz="8" w:space="0" w:color="B94831"/>
            </w:tcBorders>
            <w:shd w:fill="auto" w:val="clear"/>
            <w:tcMar>
              <w:bottom w:w="28" w:type="dxa"/>
            </w:tcMar>
            <w:vAlign w:val="bottom"/>
          </w:tcPr>
          <w:p>
            <w:pPr>
              <w:pStyle w:val="TableContents"/>
              <w:spacing w:before="0" w:after="283"/>
              <w:rPr/>
            </w:pPr>
            <w:r>
              <w:rPr/>
              <w:t> </w:t>
            </w:r>
          </w:p>
        </w:tc>
        <w:tc>
          <w:tcPr>
            <w:tcW w:w="1086" w:type="dxa"/>
            <w:tcBorders>
              <w:bottom w:val="single" w:sz="8" w:space="0" w:color="B94831"/>
            </w:tcBorders>
            <w:shd w:fill="auto" w:val="clear"/>
            <w:tcMar>
              <w:bottom w:w="28" w:type="dxa"/>
            </w:tcMar>
            <w:vAlign w:val="bottom"/>
          </w:tcPr>
          <w:p>
            <w:pPr>
              <w:pStyle w:val="TableContents"/>
              <w:spacing w:before="0" w:after="283"/>
              <w:jc w:val="right"/>
              <w:rPr/>
            </w:pPr>
            <w:r>
              <w:rPr/>
              <w:t>(32,699</w:t>
            </w:r>
          </w:p>
        </w:tc>
        <w:tc>
          <w:tcPr>
            <w:tcW w:w="155"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05" w:type="dxa"/>
            <w:tcBorders>
              <w:bottom w:val="single" w:sz="8" w:space="0" w:color="B94831"/>
            </w:tcBorders>
            <w:shd w:fill="auto" w:val="clear"/>
            <w:tcMar>
              <w:bottom w:w="28" w:type="dxa"/>
            </w:tcMar>
            <w:vAlign w:val="bottom"/>
          </w:tcPr>
          <w:p>
            <w:pPr>
              <w:pStyle w:val="TableContents"/>
              <w:spacing w:before="0" w:after="283"/>
              <w:rPr/>
            </w:pPr>
            <w:r>
              <w:rPr/>
              <w:t> </w:t>
            </w:r>
          </w:p>
        </w:tc>
        <w:tc>
          <w:tcPr>
            <w:tcW w:w="1730" w:type="dxa"/>
            <w:tcBorders>
              <w:bottom w:val="single" w:sz="8" w:space="0" w:color="B94831"/>
            </w:tcBorders>
            <w:shd w:fill="auto" w:val="clear"/>
            <w:tcMar>
              <w:bottom w:w="28" w:type="dxa"/>
            </w:tcMar>
            <w:vAlign w:val="bottom"/>
          </w:tcPr>
          <w:p>
            <w:pPr>
              <w:pStyle w:val="TableContents"/>
              <w:spacing w:before="0" w:after="283"/>
              <w:jc w:val="right"/>
              <w:rPr/>
            </w:pPr>
            <w:r>
              <w:rPr/>
              <w:t>490,810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r>
              <w:rPr/>
              <w:t>1</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Kirsty has 2.3 years of credited service with Thomson Reuters for her pension plan benefit and an additional 6.0 years of credit service that she earned while participating in a prior employers pension plan and which was transferred into the Thomson Reuters plan during 2021. The table above only reflects amounts earned by Kirsty at Thomson Reuters.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2</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Annual benefits payable at year-end and at age 65 represent the estimated pension earned for all service to date (up to January 1, 2023), and based on total service projected to age 65 (up to January 1, 2023), respectively. Benefits are calculated based on pensionable earnings used for the 2022 actuarial valuations for the Accrued Obligation calculations. Benefits are also based on the terms of current retirement agreements. Benefits payable at year-end do not include any reduction that may apply if a named executive officer retires prior to his or her normal retirement date.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3</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The accrued obligation represents the value of the projected pension benefit from the pension plan and Retirement Plus plan, earned for all service through December 31, 2021 (measurement date for 2021 year-end disclosure). The key assumptions include a discount rate of 2.95%, a rate of compensation increase of 3.50% and the Pri 2012 mortality table with MP2021 generational improvement scale. </w:t>
            </w:r>
          </w:p>
        </w:tc>
      </w:tr>
    </w:tbl>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r>
              <w:rPr/>
              <w:t>4</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The amount shown above includes service cost (with interest to end of year) plus plan changes and differences between actual and estimated earnings. For Kirsty, the compensatory change reflects the present value of the company contribution of CHF 110,484, projected until retirement at a growth rate of 3.40% and discounted back to current age at a rate of 2.20% and other actuarial assumptions in accordance with International Accounting Standards 19 rev. 2011.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5</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The amount shown above includes the interest cost on the accrued obligation and the impact of the change in discount rate from 2.95% to 5.40%. </w:t>
            </w:r>
          </w:p>
        </w:tc>
      </w:tr>
    </w:tbl>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right"/>
              <w:rPr/>
            </w:pPr>
            <w:r>
              <w:rPr/>
              <w:t>6</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jc w:val="left"/>
              <w:rPr/>
            </w:pPr>
            <w:r>
              <w:rPr/>
              <w:t xml:space="preserve">The accrued obligation represents the estimated value of the projected pension benefit from the pension plan and Retirement Plus plan, earned for all service through December 31, 2022 (measurement date for 2022 year-end disclosure). The key assumptions include a discount rate of 5.40% and the Pri2012 mortality table with MP2021 generational improvement scale. </w:t>
            </w:r>
          </w:p>
        </w:tc>
      </w:tr>
    </w:tbl>
    <w:p>
      <w:pPr>
        <w:pStyle w:val="TextBody"/>
        <w:spacing w:before="120" w:after="0"/>
        <w:jc w:val="left"/>
        <w:rPr>
          <w:rFonts w:ascii="arial" w:hAnsi="arial"/>
          <w:color w:val="B94831"/>
          <w:sz w:val="28"/>
        </w:rPr>
      </w:pPr>
      <w:r>
        <w:rPr>
          <w:rFonts w:ascii="arial" w:hAnsi="arial"/>
          <w:color w:val="B94831"/>
          <w:sz w:val="28"/>
        </w:rPr>
        <w:t xml:space="preserve">Defined Contribution Plans </w:t>
      </w:r>
    </w:p>
    <w:p>
      <w:pPr>
        <w:pStyle w:val="TextBody"/>
        <w:spacing w:before="40" w:after="0"/>
        <w:jc w:val="left"/>
        <w:rPr>
          <w:rFonts w:ascii="arial" w:hAnsi="arial"/>
          <w:sz w:val="20"/>
        </w:rPr>
      </w:pPr>
      <w:r>
        <w:rPr>
          <w:rFonts w:ascii="arial" w:hAnsi="arial"/>
          <w:sz w:val="20"/>
        </w:rPr>
        <w:t xml:space="preserve">Steve Hasker, Mike Eastwood and David Wong participate in a Canadian defined contribution pension plan (DCPP). Our company contributes 15% of each of their base salary to their individual DCPP account, up to the Canada Income Tax Act (ITA) contribution limit (C$30,780 in 2022). Once the ITA limit is reached, the 15% allocation continues in a Supplemental Retirement Plan (SRP), where a notional account is tracked and held in the executives name. There is no cap to the dollar value that can be allocated to the SRP. In 2022, Steve, Mike and David received SRP allocations of C$193,470, C$107,970 and C$88,020, respectively. The following table sets forth information related to Steve, Mike and Davids participation in the DCPP and SRP.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0"/>
        <w:gridCol w:w="133"/>
        <w:gridCol w:w="60"/>
        <w:gridCol w:w="2228"/>
        <w:gridCol w:w="60"/>
        <w:gridCol w:w="133"/>
        <w:gridCol w:w="60"/>
        <w:gridCol w:w="2070"/>
        <w:gridCol w:w="60"/>
        <w:gridCol w:w="120"/>
        <w:gridCol w:w="60"/>
        <w:gridCol w:w="2484"/>
        <w:gridCol w:w="87"/>
      </w:tblGrid>
      <w:tr>
        <w:trPr/>
        <w:tc>
          <w:tcPr>
            <w:tcW w:w="26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2650" w:type="dxa"/>
            <w:tcBorders/>
            <w:shd w:fill="262626" w:val="clear"/>
            <w:vAlign w:val="center"/>
          </w:tcPr>
          <w:p>
            <w:pPr>
              <w:pStyle w:val="TableContents"/>
              <w:spacing w:before="0" w:after="283"/>
              <w:rPr>
                <w:sz w:val="4"/>
                <w:szCs w:val="4"/>
              </w:rPr>
            </w:pPr>
            <w:r>
              <w:rPr>
                <w:sz w:val="4"/>
                <w:szCs w:val="4"/>
              </w:rPr>
            </w:r>
          </w:p>
        </w:tc>
        <w:tc>
          <w:tcPr>
            <w:tcW w:w="2481" w:type="dxa"/>
            <w:gridSpan w:val="4"/>
            <w:tcBorders/>
            <w:shd w:fill="262626" w:val="clear"/>
            <w:vAlign w:val="center"/>
          </w:tcPr>
          <w:p>
            <w:pPr>
              <w:pStyle w:val="TableContents"/>
              <w:spacing w:before="0" w:after="283"/>
              <w:rPr>
                <w:sz w:val="4"/>
                <w:szCs w:val="4"/>
              </w:rPr>
            </w:pPr>
            <w:r>
              <w:rPr>
                <w:sz w:val="4"/>
                <w:szCs w:val="4"/>
              </w:rPr>
            </w:r>
          </w:p>
        </w:tc>
        <w:tc>
          <w:tcPr>
            <w:tcW w:w="2323" w:type="dxa"/>
            <w:gridSpan w:val="4"/>
            <w:tcBorders/>
            <w:shd w:fill="262626" w:val="clear"/>
            <w:vAlign w:val="center"/>
          </w:tcPr>
          <w:p>
            <w:pPr>
              <w:pStyle w:val="TableContents"/>
              <w:spacing w:before="0" w:after="283"/>
              <w:rPr>
                <w:sz w:val="4"/>
                <w:szCs w:val="4"/>
              </w:rPr>
            </w:pPr>
            <w:r>
              <w:rPr>
                <w:sz w:val="4"/>
                <w:szCs w:val="4"/>
              </w:rPr>
            </w:r>
          </w:p>
        </w:tc>
        <w:tc>
          <w:tcPr>
            <w:tcW w:w="2751" w:type="dxa"/>
            <w:gridSpan w:val="4"/>
            <w:tcBorders/>
            <w:shd w:fill="262626" w:val="clear"/>
            <w:vAlign w:val="center"/>
          </w:tcPr>
          <w:p>
            <w:pPr>
              <w:pStyle w:val="TableContents"/>
              <w:spacing w:before="0" w:after="283"/>
              <w:rPr>
                <w:sz w:val="4"/>
                <w:szCs w:val="4"/>
              </w:rPr>
            </w:pPr>
            <w:r>
              <w:rPr>
                <w:sz w:val="4"/>
                <w:szCs w:val="4"/>
              </w:rPr>
            </w:r>
          </w:p>
        </w:tc>
      </w:tr>
      <w:tr>
        <w:trPr/>
        <w:tc>
          <w:tcPr>
            <w:tcW w:w="2650"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Name</w:t>
            </w:r>
          </w:p>
        </w:tc>
        <w:tc>
          <w:tcPr>
            <w:tcW w:w="133"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2228"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Accumulated value</w:t>
              <w:br/>
              <w:t>at start of year ($)</w:t>
            </w:r>
          </w:p>
        </w:tc>
        <w:tc>
          <w:tcPr>
            <w:tcW w:w="60" w:type="dxa"/>
            <w:tcBorders>
              <w:bottom w:val="single" w:sz="2"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133"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2070"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Compensatory ($)</w:t>
            </w:r>
          </w:p>
        </w:tc>
        <w:tc>
          <w:tcPr>
            <w:tcW w:w="60" w:type="dxa"/>
            <w:tcBorders>
              <w:bottom w:val="single" w:sz="2" w:space="0" w:color="B94831"/>
            </w:tcBorders>
            <w:shd w:fill="262626" w:val="clear"/>
            <w:tcMar>
              <w:bottom w:w="28" w:type="dxa"/>
            </w:tcMar>
            <w:vAlign w:val="bottom"/>
          </w:tcPr>
          <w:p>
            <w:pPr>
              <w:pStyle w:val="TableContents"/>
              <w:spacing w:before="0" w:after="283"/>
              <w:rPr>
                <w:sz w:val="4"/>
                <w:szCs w:val="4"/>
              </w:rPr>
            </w:pPr>
            <w:r>
              <w:rPr>
                <w:sz w:val="4"/>
                <w:szCs w:val="4"/>
              </w:rPr>
            </w:r>
          </w:p>
        </w:tc>
        <w:tc>
          <w:tcPr>
            <w:tcW w:w="12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bottom w:val="single" w:sz="2"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2484"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Accumulated value at</w:t>
              <w:br/>
              <w:t>year end  ($)1</w:t>
            </w:r>
          </w:p>
        </w:tc>
        <w:tc>
          <w:tcPr>
            <w:tcW w:w="87" w:type="dxa"/>
            <w:tcBorders>
              <w:bottom w:val="single" w:sz="2" w:space="0" w:color="B94831"/>
            </w:tcBorders>
            <w:shd w:fill="262626" w:val="clear"/>
            <w:tcMar>
              <w:bottom w:w="28" w:type="dxa"/>
            </w:tcMar>
            <w:vAlign w:val="bottom"/>
          </w:tcPr>
          <w:p>
            <w:pPr>
              <w:pStyle w:val="TableContents"/>
              <w:spacing w:before="0" w:after="283"/>
              <w:rPr>
                <w:color w:val="FFFFFF"/>
              </w:rPr>
            </w:pPr>
            <w:r>
              <w:rPr>
                <w:color w:val="FFFFFF"/>
              </w:rPr>
              <w:t> </w:t>
            </w:r>
          </w:p>
        </w:tc>
      </w:tr>
      <w:tr>
        <w:trPr/>
        <w:tc>
          <w:tcPr>
            <w:tcW w:w="265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Steve Hasker</w:t>
            </w:r>
          </w:p>
        </w:tc>
        <w:tc>
          <w:tcPr>
            <w:tcW w:w="133"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8" w:type="dxa"/>
            <w:tcBorders>
              <w:bottom w:val="single" w:sz="2" w:space="0" w:color="AFAFAF"/>
            </w:tcBorders>
            <w:shd w:fill="auto" w:val="clear"/>
            <w:tcMar>
              <w:bottom w:w="28" w:type="dxa"/>
            </w:tcMar>
            <w:vAlign w:val="bottom"/>
          </w:tcPr>
          <w:p>
            <w:pPr>
              <w:pStyle w:val="TableContents"/>
              <w:spacing w:before="0" w:after="283"/>
              <w:jc w:val="right"/>
              <w:rPr/>
            </w:pPr>
            <w:r>
              <w:rPr/>
              <w:t>345,295</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3"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70" w:type="dxa"/>
            <w:tcBorders>
              <w:bottom w:val="single" w:sz="2" w:space="0" w:color="AFAFAF"/>
            </w:tcBorders>
            <w:shd w:fill="auto" w:val="clear"/>
            <w:tcMar>
              <w:bottom w:w="28" w:type="dxa"/>
            </w:tcMar>
            <w:vAlign w:val="bottom"/>
          </w:tcPr>
          <w:p>
            <w:pPr>
              <w:pStyle w:val="TableContents"/>
              <w:spacing w:before="0" w:after="283"/>
              <w:jc w:val="right"/>
              <w:rPr/>
            </w:pPr>
            <w:r>
              <w:rPr/>
              <w:t>172,003</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484" w:type="dxa"/>
            <w:tcBorders>
              <w:bottom w:val="single" w:sz="2" w:space="0" w:color="AFAFAF"/>
            </w:tcBorders>
            <w:shd w:fill="auto" w:val="clear"/>
            <w:tcMar>
              <w:bottom w:w="28" w:type="dxa"/>
            </w:tcMar>
            <w:vAlign w:val="bottom"/>
          </w:tcPr>
          <w:p>
            <w:pPr>
              <w:pStyle w:val="TableContents"/>
              <w:spacing w:before="0" w:after="283"/>
              <w:jc w:val="right"/>
              <w:rPr/>
            </w:pPr>
            <w:r>
              <w:rPr/>
              <w:t>493,941</w:t>
            </w:r>
          </w:p>
        </w:tc>
        <w:tc>
          <w:tcPr>
            <w:tcW w:w="8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65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Mike Eastwood</w:t>
            </w:r>
          </w:p>
        </w:tc>
        <w:tc>
          <w:tcPr>
            <w:tcW w:w="133"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228" w:type="dxa"/>
            <w:tcBorders>
              <w:bottom w:val="single" w:sz="2" w:space="0" w:color="AFAFAF"/>
            </w:tcBorders>
            <w:shd w:fill="auto" w:val="clear"/>
            <w:tcMar>
              <w:bottom w:w="28" w:type="dxa"/>
            </w:tcMar>
            <w:vAlign w:val="bottom"/>
          </w:tcPr>
          <w:p>
            <w:pPr>
              <w:pStyle w:val="TableContents"/>
              <w:spacing w:before="0" w:after="283"/>
              <w:jc w:val="right"/>
              <w:rPr/>
            </w:pPr>
            <w:r>
              <w:rPr/>
              <w:t>291,050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33"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070" w:type="dxa"/>
            <w:tcBorders>
              <w:bottom w:val="single" w:sz="2" w:space="0" w:color="AFAFAF"/>
            </w:tcBorders>
            <w:shd w:fill="auto" w:val="clear"/>
            <w:tcMar>
              <w:bottom w:w="28" w:type="dxa"/>
            </w:tcMar>
            <w:vAlign w:val="bottom"/>
          </w:tcPr>
          <w:p>
            <w:pPr>
              <w:pStyle w:val="TableContents"/>
              <w:spacing w:before="0" w:after="283"/>
              <w:jc w:val="right"/>
              <w:rPr/>
            </w:pPr>
            <w:r>
              <w:rPr/>
              <w:t>106,423</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2484" w:type="dxa"/>
            <w:tcBorders>
              <w:bottom w:val="single" w:sz="2" w:space="0" w:color="AFAFAF"/>
            </w:tcBorders>
            <w:shd w:fill="auto" w:val="clear"/>
            <w:tcMar>
              <w:bottom w:w="28" w:type="dxa"/>
            </w:tcMar>
            <w:vAlign w:val="bottom"/>
          </w:tcPr>
          <w:p>
            <w:pPr>
              <w:pStyle w:val="TableContents"/>
              <w:spacing w:before="0" w:after="283"/>
              <w:jc w:val="right"/>
              <w:rPr/>
            </w:pPr>
            <w:r>
              <w:rPr/>
              <w:t>372,138</w:t>
            </w:r>
          </w:p>
        </w:tc>
        <w:tc>
          <w:tcPr>
            <w:tcW w:w="87"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2650"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David Wong</w:t>
            </w:r>
          </w:p>
        </w:tc>
        <w:tc>
          <w:tcPr>
            <w:tcW w:w="133"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228" w:type="dxa"/>
            <w:tcBorders>
              <w:bottom w:val="single" w:sz="8" w:space="0" w:color="B94831"/>
            </w:tcBorders>
            <w:shd w:fill="auto" w:val="clear"/>
            <w:tcMar>
              <w:bottom w:w="28" w:type="dxa"/>
            </w:tcMar>
            <w:vAlign w:val="bottom"/>
          </w:tcPr>
          <w:p>
            <w:pPr>
              <w:pStyle w:val="TableContents"/>
              <w:spacing w:before="0" w:after="283"/>
              <w:jc w:val="right"/>
              <w:rPr/>
            </w:pPr>
            <w:r>
              <w:rPr/>
              <w:t>93,878</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33"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070" w:type="dxa"/>
            <w:tcBorders>
              <w:bottom w:val="single" w:sz="8" w:space="0" w:color="B94831"/>
            </w:tcBorders>
            <w:shd w:fill="auto" w:val="clear"/>
            <w:tcMar>
              <w:bottom w:w="28" w:type="dxa"/>
            </w:tcMar>
            <w:vAlign w:val="bottom"/>
          </w:tcPr>
          <w:p>
            <w:pPr>
              <w:pStyle w:val="TableContents"/>
              <w:spacing w:before="0" w:after="283"/>
              <w:jc w:val="right"/>
              <w:rPr/>
            </w:pPr>
            <w:r>
              <w:rPr/>
              <w:t>91,121</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2484" w:type="dxa"/>
            <w:tcBorders>
              <w:bottom w:val="single" w:sz="8" w:space="0" w:color="B94831"/>
            </w:tcBorders>
            <w:shd w:fill="auto" w:val="clear"/>
            <w:tcMar>
              <w:bottom w:w="28" w:type="dxa"/>
            </w:tcMar>
            <w:vAlign w:val="bottom"/>
          </w:tcPr>
          <w:p>
            <w:pPr>
              <w:pStyle w:val="TableContents"/>
              <w:spacing w:before="0" w:after="283"/>
              <w:jc w:val="right"/>
              <w:rPr/>
            </w:pPr>
            <w:r>
              <w:rPr/>
              <w:t>181,248</w:t>
            </w:r>
          </w:p>
        </w:tc>
        <w:tc>
          <w:tcPr>
            <w:tcW w:w="87"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r>
              <w:rPr/>
              <w:t>1</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End of year balances reflect losses due to investment performance. </w:t>
            </w:r>
          </w:p>
        </w:tc>
      </w:tr>
    </w:tbl>
    <w:p>
      <w:pPr>
        <w:pStyle w:val="TextBody"/>
        <w:spacing w:before="120" w:after="0"/>
        <w:jc w:val="left"/>
        <w:rPr>
          <w:rFonts w:ascii="arial" w:hAnsi="arial"/>
          <w:sz w:val="20"/>
        </w:rPr>
      </w:pPr>
      <w:r>
        <w:rPr>
          <w:rFonts w:ascii="arial" w:hAnsi="arial"/>
          <w:sz w:val="20"/>
        </w:rPr>
        <w:t xml:space="preserve">Brian Peccarelli participated in a 401(k) retirement savings plan, which provided for company matching contributions to amounts contributed by him to the plan in 2022. Participating employees can contribute up to 50% of their eligible compensation on a combined before-tax or after-tax basis. For participants in a U.S. defined benefit pension plan (such as Brian Peccarelli, during his employment at the company), the amount of company matching contributions is 50% of the first 6% of eligible compensation that is contributed by the participant. Employees who do not participate in a U.S. defined benefit pension plan receive company matching contributions equal to 100% of the first 5% of eligible compensation that they contributed. The maximum before-tax and/or Roth 401(k) contribution that could be made by Brian Peccarelli in 2022 (including age 50+ catch-up contributions) was $27,000. </w:t>
      </w:r>
    </w:p>
    <w:p>
      <w:pPr>
        <w:pStyle w:val="TextBody"/>
        <w:spacing w:before="120" w:after="0"/>
        <w:jc w:val="left"/>
        <w:rPr>
          <w:rFonts w:ascii="arial" w:hAnsi="arial"/>
          <w:color w:val="B94831"/>
          <w:sz w:val="28"/>
        </w:rPr>
      </w:pPr>
      <w:r>
        <w:rPr>
          <w:rFonts w:ascii="arial" w:hAnsi="arial"/>
          <w:color w:val="B94831"/>
          <w:sz w:val="28"/>
        </w:rPr>
        <w:t xml:space="preserve">Retirement Plus Plans </w:t>
      </w:r>
    </w:p>
    <w:p>
      <w:pPr>
        <w:pStyle w:val="TextBody"/>
        <w:spacing w:before="40" w:after="0"/>
        <w:jc w:val="left"/>
        <w:rPr>
          <w:rFonts w:ascii="arial" w:hAnsi="arial"/>
          <w:sz w:val="20"/>
        </w:rPr>
      </w:pPr>
      <w:r>
        <w:rPr>
          <w:rFonts w:ascii="arial" w:hAnsi="arial"/>
          <w:sz w:val="20"/>
        </w:rPr>
        <w:t xml:space="preserve">We provide a supplemental benefit to Steve Hasker, Mike Eastwood and David Wong through an SRP, as discussed above. </w:t>
      </w:r>
    </w:p>
    <w:p>
      <w:pPr>
        <w:pStyle w:val="TextBody"/>
        <w:spacing w:before="120" w:after="0"/>
        <w:jc w:val="left"/>
        <w:rPr>
          <w:rFonts w:ascii="arial" w:hAnsi="arial"/>
          <w:sz w:val="20"/>
        </w:rPr>
      </w:pPr>
      <w:r>
        <w:rPr>
          <w:rFonts w:ascii="arial" w:hAnsi="arial"/>
          <w:sz w:val="20"/>
        </w:rPr>
        <w:t xml:space="preserve">We provided a supplemental benefit to Brian Peccarelli through a retirement plus plan which is an unfunded, non-qualified defined benefit plan while he was employed at Thomson Reuters. Under this benefit, we provided allocations with respect to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compensation above the eligible compensation limits imposed by the U.S. Internal Revenue Service (IRS) and subject to a maximum eligible retirement plus plan compensation limit of $300,000. In 2022, the IRS compensation limit was $305,000. As a result, Brian Peccarelli received an allocation of $1,905 in 2022 under this plan. Amounts under this plan are paid from our general assets. Mike Eastwood ceased participating in that plan at the end of April 2019 and has not received allocations to that plan since that time. </w:t>
      </w:r>
    </w:p>
    <w:p>
      <w:pPr>
        <w:pStyle w:val="TextBody"/>
        <w:spacing w:before="120" w:after="0"/>
        <w:jc w:val="left"/>
        <w:rPr>
          <w:rFonts w:ascii="arial" w:hAnsi="arial"/>
          <w:color w:val="B94831"/>
          <w:sz w:val="28"/>
        </w:rPr>
      </w:pPr>
      <w:r>
        <w:rPr>
          <w:rFonts w:ascii="arial" w:hAnsi="arial"/>
          <w:color w:val="B94831"/>
          <w:sz w:val="28"/>
        </w:rPr>
        <w:t xml:space="preserve">SERPs </w:t>
      </w:r>
    </w:p>
    <w:p>
      <w:pPr>
        <w:pStyle w:val="TextBody"/>
        <w:spacing w:before="40" w:after="0"/>
        <w:jc w:val="left"/>
        <w:rPr>
          <w:rFonts w:ascii="arial" w:hAnsi="arial"/>
          <w:sz w:val="20"/>
        </w:rPr>
      </w:pPr>
      <w:r>
        <w:rPr>
          <w:rFonts w:ascii="arial" w:hAnsi="arial"/>
          <w:sz w:val="20"/>
        </w:rPr>
        <w:t xml:space="preserve">None of our executive officers has a supplemental executive retirement plan (SERP). </w:t>
      </w:r>
    </w:p>
    <w:p>
      <w:pPr>
        <w:pStyle w:val="TextBody"/>
        <w:spacing w:before="240" w:after="0"/>
        <w:jc w:val="left"/>
        <w:rPr>
          <w:rFonts w:ascii="Arial" w:hAnsi="Arial"/>
          <w:b/>
          <w:sz w:val="28"/>
        </w:rPr>
      </w:pPr>
      <w:bookmarkStart w:id="74" w:name="tx494196_50"/>
      <w:bookmarkEnd w:id="74"/>
      <w:r>
        <w:rPr>
          <w:rFonts w:ascii="Arial" w:hAnsi="Arial"/>
          <w:b/>
          <w:sz w:val="28"/>
        </w:rPr>
        <w:t xml:space="preserve">Termination Benefits </w:t>
      </w:r>
    </w:p>
    <w:p>
      <w:pPr>
        <w:pStyle w:val="TextBody"/>
        <w:spacing w:before="120" w:after="0"/>
        <w:jc w:val="left"/>
        <w:rPr>
          <w:rFonts w:ascii="arial" w:hAnsi="arial"/>
          <w:color w:val="B94831"/>
          <w:sz w:val="28"/>
        </w:rPr>
      </w:pPr>
      <w:r>
        <w:rPr>
          <w:rFonts w:ascii="arial" w:hAnsi="arial"/>
          <w:color w:val="B94831"/>
          <w:sz w:val="28"/>
        </w:rPr>
        <w:t xml:space="preserve">Potential Payments upon Termination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sz w:val="30"/>
        </w:rPr>
      </w:pPr>
      <w:r>
        <w:rPr>
          <w:rFonts w:ascii="arial" w:hAnsi="arial"/>
          <w:sz w:val="30"/>
        </w:rPr>
        <w:t xml:space="preserve">Our change in control benefits for named executive officers require a double trigger. We do not gross up taxes related to termination and no severance is provided for terminations for cause. </w:t>
      </w:r>
    </w:p>
    <w:p>
      <w:pPr>
        <w:pStyle w:val="TextBody"/>
        <w:spacing w:before="0" w:after="0"/>
        <w:jc w:val="left"/>
        <w:rPr/>
      </w:pPr>
      <w:r>
        <w:rPr/>
        <w:t> </w:t>
      </w:r>
    </w:p>
    <w:p>
      <w:pPr>
        <w:pStyle w:val="TextBody"/>
        <w:pBdr>
          <w:bottom w:val="single" w:sz="8" w:space="1" w:color="B94831"/>
        </w:pBdr>
        <w:spacing w:lineRule="atLeast" w:line="141" w:before="0" w:after="40"/>
        <w:jc w:val="left"/>
        <w:rPr/>
      </w:pPr>
      <w:r>
        <w:rPr/>
        <w:t> </w:t>
      </w:r>
    </w:p>
    <w:p>
      <w:pPr>
        <w:pStyle w:val="TextBody"/>
        <w:spacing w:before="120" w:after="0"/>
        <w:jc w:val="left"/>
        <w:rPr>
          <w:rFonts w:ascii="arial" w:hAnsi="arial"/>
          <w:i/>
          <w:color w:val="B94831"/>
          <w:sz w:val="28"/>
        </w:rPr>
      </w:pPr>
      <w:r>
        <w:rPr>
          <w:rFonts w:ascii="arial" w:hAnsi="arial"/>
          <w:i/>
          <w:color w:val="B94831"/>
          <w:sz w:val="28"/>
        </w:rPr>
        <w:t xml:space="preserve">Agreements with Named Executive Officers </w:t>
      </w:r>
    </w:p>
    <w:p>
      <w:pPr>
        <w:pStyle w:val="TextBody"/>
        <w:spacing w:before="120" w:after="0"/>
        <w:jc w:val="left"/>
        <w:rPr>
          <w:rFonts w:ascii="arial" w:hAnsi="arial"/>
          <w:sz w:val="20"/>
        </w:rPr>
      </w:pPr>
      <w:r>
        <w:rPr>
          <w:rFonts w:ascii="arial" w:hAnsi="arial"/>
          <w:sz w:val="20"/>
        </w:rPr>
        <w:t xml:space="preserve">We have entered into an agreement with Steve Hasker that relates to potential payments to him upon termination of employment. We also recently signed a separation agreement and a transitional services consulting agreement with Mr. Peccarelli, whose last day of employment with our company was on April 3, 2023. The discussion below is qualified by the summaries of those agreements which are provided later in this section. </w:t>
      </w:r>
    </w:p>
    <w:p>
      <w:pPr>
        <w:pStyle w:val="TextBody"/>
        <w:spacing w:before="120" w:after="0"/>
        <w:jc w:val="left"/>
        <w:rPr>
          <w:rFonts w:ascii="arial" w:hAnsi="arial"/>
          <w:i/>
          <w:color w:val="B94831"/>
          <w:sz w:val="28"/>
        </w:rPr>
      </w:pPr>
      <w:r>
        <w:rPr>
          <w:rFonts w:ascii="arial" w:hAnsi="arial"/>
          <w:i/>
          <w:color w:val="B94831"/>
          <w:sz w:val="28"/>
        </w:rPr>
        <w:t xml:space="preserve">Severance payments </w:t>
      </w:r>
    </w:p>
    <w:p>
      <w:pPr>
        <w:pStyle w:val="TextBody"/>
        <w:spacing w:before="40" w:after="0"/>
        <w:jc w:val="left"/>
        <w:rPr>
          <w:rFonts w:ascii="arial" w:hAnsi="arial"/>
          <w:sz w:val="20"/>
        </w:rPr>
      </w:pPr>
      <w:r>
        <w:rPr>
          <w:rFonts w:ascii="arial" w:hAnsi="arial"/>
          <w:sz w:val="20"/>
        </w:rPr>
        <w:t xml:space="preserve">Each of our named executive officers would be entitled to two years of salary continuation in the event of involuntary termination without cause. We typically pay severance in accordance with our standard payroll practices, as opposed to in a lump sum. </w:t>
      </w:r>
    </w:p>
    <w:p>
      <w:pPr>
        <w:pStyle w:val="TextBody"/>
        <w:spacing w:before="120" w:after="0"/>
        <w:jc w:val="left"/>
        <w:rPr>
          <w:rFonts w:ascii="arial" w:hAnsi="arial"/>
          <w:color w:val="B94831"/>
          <w:sz w:val="28"/>
        </w:rPr>
      </w:pPr>
      <w:r>
        <w:rPr>
          <w:rFonts w:ascii="arial" w:hAnsi="arial"/>
          <w:color w:val="B94831"/>
          <w:sz w:val="28"/>
        </w:rPr>
        <w:t xml:space="preserve">Annual incentive awards </w:t>
      </w:r>
    </w:p>
    <w:p>
      <w:pPr>
        <w:pStyle w:val="TextBody"/>
        <w:spacing w:before="40" w:after="0"/>
        <w:jc w:val="left"/>
        <w:rPr>
          <w:rFonts w:ascii="arial" w:hAnsi="arial"/>
          <w:sz w:val="20"/>
        </w:rPr>
      </w:pPr>
      <w:r>
        <w:rPr>
          <w:rFonts w:ascii="arial" w:hAnsi="arial"/>
          <w:sz w:val="20"/>
        </w:rPr>
        <w:t xml:space="preserve">Pursuant to award terms and conditions, 2023 annual incentive awards would be treated as follows in the event of termination. As discussed later in this section, we simplified our treatment of retirement by reflecting one definition for annual incentive awards in 2022 and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22"/>
        <w:gridCol w:w="120"/>
        <w:gridCol w:w="6463"/>
      </w:tblGrid>
      <w:tr>
        <w:trPr/>
        <w:tc>
          <w:tcPr>
            <w:tcW w:w="36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463"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622" w:type="dxa"/>
            <w:tcBorders/>
            <w:shd w:fill="262626" w:val="clear"/>
            <w:vAlign w:val="center"/>
          </w:tcPr>
          <w:p>
            <w:pPr>
              <w:pStyle w:val="TableContents"/>
              <w:spacing w:before="0" w:after="283"/>
              <w:rPr>
                <w:sz w:val="4"/>
                <w:szCs w:val="4"/>
              </w:rPr>
            </w:pPr>
            <w:r>
              <w:rPr>
                <w:sz w:val="4"/>
                <w:szCs w:val="4"/>
              </w:rPr>
            </w:r>
          </w:p>
        </w:tc>
        <w:tc>
          <w:tcPr>
            <w:tcW w:w="6583"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622"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2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463"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Award Treatment</w:t>
            </w:r>
          </w:p>
        </w:tc>
      </w:tr>
      <w:tr>
        <w:trPr/>
        <w:tc>
          <w:tcPr>
            <w:tcW w:w="36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Voluntary termination</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63" w:type="dxa"/>
            <w:tcBorders>
              <w:bottom w:val="single" w:sz="2" w:space="0" w:color="AFAFAF"/>
            </w:tcBorders>
            <w:shd w:fill="auto" w:val="clear"/>
            <w:tcMar>
              <w:bottom w:w="28" w:type="dxa"/>
            </w:tcMar>
            <w:vAlign w:val="bottom"/>
          </w:tcPr>
          <w:p>
            <w:pPr>
              <w:pStyle w:val="TableContents"/>
              <w:spacing w:before="0" w:after="283"/>
              <w:rPr/>
            </w:pPr>
            <w:r>
              <w:rPr/>
              <w:t>Forfeited if this occurs on or prior to March 1, 2024, subject to applicable law.</w:t>
            </w:r>
          </w:p>
        </w:tc>
      </w:tr>
      <w:tr>
        <w:trPr/>
        <w:tc>
          <w:tcPr>
            <w:tcW w:w="36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for poor performance or for Cause</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63" w:type="dxa"/>
            <w:tcBorders>
              <w:bottom w:val="single" w:sz="2" w:space="0" w:color="AFAFAF"/>
            </w:tcBorders>
            <w:shd w:fill="auto" w:val="clear"/>
            <w:tcMar>
              <w:bottom w:w="28" w:type="dxa"/>
            </w:tcMar>
            <w:vAlign w:val="bottom"/>
          </w:tcPr>
          <w:p>
            <w:pPr>
              <w:pStyle w:val="TableContents"/>
              <w:spacing w:before="0" w:after="283"/>
              <w:rPr/>
            </w:pPr>
            <w:r>
              <w:rPr/>
              <w:t>Forfeited</w:t>
            </w:r>
          </w:p>
        </w:tc>
      </w:tr>
      <w:tr>
        <w:trPr/>
        <w:tc>
          <w:tcPr>
            <w:tcW w:w="36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not for poor performance or without Cause</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63" w:type="dxa"/>
            <w:tcBorders>
              <w:bottom w:val="single" w:sz="2" w:space="0" w:color="AFAFAF"/>
            </w:tcBorders>
            <w:shd w:fill="auto" w:val="clear"/>
            <w:tcMar>
              <w:bottom w:w="28" w:type="dxa"/>
            </w:tcMar>
            <w:vAlign w:val="bottom"/>
          </w:tcPr>
          <w:p>
            <w:pPr>
              <w:pStyle w:val="TableContents"/>
              <w:spacing w:before="0" w:after="283"/>
              <w:rPr/>
            </w:pPr>
            <w:r>
              <w:rPr/>
              <w:t>If this occurs between January 1, 2023 and December 31, 2023, an award payout will be made to the executive that is pro-rated through the date of termination based on the executives target award and modified by the business performance for the 2023 performance period. Payment will be made in or about March 2024 following the completion of the 2023 performance period.</w:t>
            </w:r>
          </w:p>
        </w:tc>
      </w:tr>
      <w:tr>
        <w:trPr/>
        <w:tc>
          <w:tcPr>
            <w:tcW w:w="36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Sale of the executives business or Change of Control of Thomson Reuters</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63" w:type="dxa"/>
            <w:tcBorders>
              <w:bottom w:val="single" w:sz="2" w:space="0" w:color="AFAFAF"/>
            </w:tcBorders>
            <w:shd w:fill="auto" w:val="clear"/>
            <w:tcMar>
              <w:bottom w:w="28" w:type="dxa"/>
            </w:tcMar>
            <w:vAlign w:val="bottom"/>
          </w:tcPr>
          <w:p>
            <w:pPr>
              <w:pStyle w:val="TableContents"/>
              <w:spacing w:before="0" w:after="283"/>
              <w:rPr/>
            </w:pPr>
            <w:r>
              <w:rPr/>
              <w:t>Thomson Reuters may (without the consent of the executive) assign all or part of its award payment obligation to make payments under the annual incentive plan or for a third party purchaser to substitute a substantially similar award for the executive and other participants whose business is being acquired or if a Change of Control occurs.</w:t>
            </w:r>
          </w:p>
        </w:tc>
      </w:tr>
      <w:tr>
        <w:trPr/>
        <w:tc>
          <w:tcPr>
            <w:tcW w:w="36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Retirement</w:t>
            </w:r>
          </w:p>
        </w:tc>
        <w:tc>
          <w:tcPr>
            <w:tcW w:w="12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63" w:type="dxa"/>
            <w:tcBorders>
              <w:bottom w:val="single" w:sz="2" w:space="0" w:color="AFAFAF"/>
            </w:tcBorders>
            <w:shd w:fill="auto" w:val="clear"/>
            <w:tcMar>
              <w:bottom w:w="28" w:type="dxa"/>
            </w:tcMar>
            <w:vAlign w:val="bottom"/>
          </w:tcPr>
          <w:p>
            <w:pPr>
              <w:pStyle w:val="TableContents"/>
              <w:spacing w:before="0" w:after="283"/>
              <w:rPr/>
            </w:pPr>
            <w:r>
              <w:rPr/>
              <w:t>Forfeited, if this occurs between January 1, 2023 and June 30, 2023. If this occurs between July 1, 2023 and December 31, 2023, an award payout will be made that is pro-rated through the date of termination based on the executives target award and modified by business performance for the 2023 performance period. Payment will be made in or about March 2024 following the completion of the 2023 performance period.</w:t>
            </w:r>
          </w:p>
        </w:tc>
      </w:tr>
      <w:tr>
        <w:trPr/>
        <w:tc>
          <w:tcPr>
            <w:tcW w:w="3622"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Disability or Death</w:t>
            </w:r>
          </w:p>
        </w:tc>
        <w:tc>
          <w:tcPr>
            <w:tcW w:w="12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463" w:type="dxa"/>
            <w:tcBorders>
              <w:bottom w:val="single" w:sz="8" w:space="0" w:color="B94831"/>
            </w:tcBorders>
            <w:shd w:fill="auto" w:val="clear"/>
            <w:tcMar>
              <w:bottom w:w="28" w:type="dxa"/>
            </w:tcMar>
            <w:vAlign w:val="bottom"/>
          </w:tcPr>
          <w:p>
            <w:pPr>
              <w:pStyle w:val="TableContents"/>
              <w:spacing w:before="0" w:after="283"/>
              <w:rPr/>
            </w:pPr>
            <w:r>
              <w:rPr/>
              <w:t>Forfeited, if this occurs between January 1, 2023 and June 30, 2023. If this occurs between July 1, 2023 and December 31, 2023, an award payout will be made that is pro-rated through the date of termination based on the executives target award. Payment will be made as soon as administratively practicable following the occurrence of the event.</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If an executives employment is terminated for any reason other than voluntary termination, for poor performance or for Cause (i) between January 1, 2024 and March 1, 2024 but before award payouts are made, an award payout based on the executives target award, modified by business performance for the 2023 performance period, will be made on the payment date in 2024; and (ii) between March 2, 2024 and the payment date in 2024, an award payout based on the executives target award, modified by the business and individual performance for the 2023 performance period, will be made on the payment date in 2024. </w:t>
      </w:r>
    </w:p>
    <w:p>
      <w:pPr>
        <w:pStyle w:val="TextBody"/>
        <w:spacing w:before="120" w:after="0"/>
        <w:jc w:val="left"/>
        <w:rPr>
          <w:rFonts w:ascii="arial" w:hAnsi="arial"/>
          <w:i/>
          <w:color w:val="B94831"/>
          <w:sz w:val="28"/>
        </w:rPr>
      </w:pPr>
      <w:r>
        <w:rPr>
          <w:rFonts w:ascii="arial" w:hAnsi="arial"/>
          <w:i/>
          <w:color w:val="B94831"/>
          <w:sz w:val="28"/>
        </w:rPr>
        <w:t xml:space="preserve">Equity-based awards </w:t>
      </w:r>
    </w:p>
    <w:p>
      <w:pPr>
        <w:pStyle w:val="TextBody"/>
        <w:spacing w:before="40" w:after="0"/>
        <w:jc w:val="left"/>
        <w:rPr>
          <w:rFonts w:ascii="arial" w:hAnsi="arial"/>
          <w:sz w:val="20"/>
        </w:rPr>
      </w:pPr>
      <w:r>
        <w:rPr>
          <w:rFonts w:ascii="arial" w:hAnsi="arial"/>
          <w:sz w:val="20"/>
        </w:rPr>
        <w:t xml:space="preserve">The tables below set forth the treatment of stock options, TRSUs and PRSUs granted in 2022 and 2023 in the event of termination. As discussed later in this section, we simplified our treatment of retirement by reflecting one definition in equity-based awards granted in 2022 and 2023. Equity-based awards granted prior to 2022 reflected separate definitions for Early Retirement and Normal Retirement (which are discussed below). We discuss the current definition of Retirement and the previous definitions of Early Retirement and Normal Retirement later in this section. </w:t>
      </w:r>
    </w:p>
    <w:p>
      <w:pPr>
        <w:pStyle w:val="TextBody"/>
        <w:spacing w:before="120" w:after="0"/>
        <w:jc w:val="left"/>
        <w:rPr>
          <w:rFonts w:ascii="arial" w:hAnsi="arial"/>
          <w:color w:val="B94831"/>
          <w:sz w:val="28"/>
        </w:rPr>
      </w:pPr>
      <w:r>
        <w:rPr>
          <w:rFonts w:ascii="arial" w:hAnsi="arial"/>
          <w:color w:val="B94831"/>
          <w:sz w:val="28"/>
        </w:rPr>
        <w:t xml:space="preserve">Stock options </w:t>
      </w:r>
    </w:p>
    <w:p>
      <w:pPr>
        <w:pStyle w:val="TextBody"/>
        <w:spacing w:before="40" w:after="0"/>
        <w:jc w:val="left"/>
        <w:rPr>
          <w:rFonts w:ascii="arial" w:hAnsi="arial"/>
          <w:sz w:val="20"/>
        </w:rPr>
      </w:pPr>
      <w:r>
        <w:rPr>
          <w:rFonts w:ascii="arial" w:hAnsi="arial"/>
          <w:sz w:val="20"/>
        </w:rPr>
        <w:t xml:space="preserve">Pursuant to award terms and conditions, stock options granted in 2022 and 2023 would be treated as follows in the event of termination: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22"/>
        <w:gridCol w:w="158"/>
        <w:gridCol w:w="1877"/>
        <w:gridCol w:w="158"/>
        <w:gridCol w:w="2500"/>
        <w:gridCol w:w="158"/>
        <w:gridCol w:w="2432"/>
      </w:tblGrid>
      <w:tr>
        <w:trPr/>
        <w:tc>
          <w:tcPr>
            <w:tcW w:w="292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922" w:type="dxa"/>
            <w:tcBorders/>
            <w:shd w:fill="262626" w:val="clear"/>
            <w:vAlign w:val="center"/>
          </w:tcPr>
          <w:p>
            <w:pPr>
              <w:pStyle w:val="TableContents"/>
              <w:spacing w:before="0" w:after="283"/>
              <w:rPr>
                <w:sz w:val="4"/>
                <w:szCs w:val="4"/>
              </w:rPr>
            </w:pPr>
            <w:r>
              <w:rPr>
                <w:sz w:val="4"/>
                <w:szCs w:val="4"/>
              </w:rPr>
            </w:r>
          </w:p>
        </w:tc>
        <w:tc>
          <w:tcPr>
            <w:tcW w:w="2035"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658"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590"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922"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58"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Vested Options</w:t>
            </w:r>
          </w:p>
        </w:tc>
        <w:tc>
          <w:tcPr>
            <w:tcW w:w="158"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Options</w:t>
            </w:r>
          </w:p>
        </w:tc>
        <w:tc>
          <w:tcPr>
            <w:tcW w:w="158"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Exercise Period</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Voluntary termination</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Forfeited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The earlier of 3 months from the termination date or the grant expiration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for poor performance or for Cause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vAlign w:val="bottom"/>
          </w:tcPr>
          <w:p>
            <w:pPr>
              <w:pStyle w:val="TableContents"/>
              <w:spacing w:before="0" w:after="283"/>
              <w:rPr/>
            </w:pPr>
            <w:r>
              <w:rPr/>
              <w:t>Forfeited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vAlign w:val="bottom"/>
          </w:tcPr>
          <w:p>
            <w:pPr>
              <w:pStyle w:val="TableContents"/>
              <w:spacing w:before="0" w:after="283"/>
              <w:rPr/>
            </w:pPr>
            <w:r>
              <w:rPr/>
              <w:t>Forfeited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vAlign w:val="bottom"/>
          </w:tcPr>
          <w:p>
            <w:pPr>
              <w:pStyle w:val="TableContents"/>
              <w:spacing w:before="0" w:after="283"/>
              <w:rPr/>
            </w:pPr>
            <w:r>
              <w:rPr/>
              <w:t>N/A</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not for poor performance or without Cause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One additional vesting period (standard vesting is 25% in each of the first four years of the award) is accelerated and exercisable upon termination and the remaining unvested options are forfeited.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The earlier of 3 months from the termination date or the grant expiration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Sale of the holders business</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The Board or HR Committee shall meet to determine the appropriate treatment of any unvested options.</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The earlier of 1 year from the involuntary termination without cause date or the grant expiration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 Change of Control of Thomson Reuters (based on the surviving, successor or acquiring company assuming options or substituting similar awards)</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Fully vested upon a double trigger (involuntary termination not for poor performance or without Cause within two years following a Change of Control (as described below)); otherwise, the options continue to vest on the original vesting date(s) subject to continuous employment.</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The earlier of 1 year from the involuntary termination without cause date or the grant expiration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Retirement</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Continue to vest on the original vesting date(s); provided that the options have been outstanding for at least six months when Retirement occurs. If the options have not been outstanding for that period, they would be forfeited.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Options outstanding for 7 years or more: earlier of 1 year from Retirement or expiration of the options. Options outstanding for less than 7 years: 7 years from the grant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Disability</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2" w:space="0" w:color="AFAFAF"/>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2" w:space="0" w:color="AFAFAF"/>
            </w:tcBorders>
            <w:shd w:fill="auto" w:val="clear"/>
            <w:tcMar>
              <w:bottom w:w="28" w:type="dxa"/>
            </w:tcMar>
          </w:tcPr>
          <w:p>
            <w:pPr>
              <w:pStyle w:val="TableContents"/>
              <w:spacing w:before="0" w:after="283"/>
              <w:rPr/>
            </w:pPr>
            <w:r>
              <w:rPr/>
              <w:t>Fully vested</w:t>
            </w:r>
          </w:p>
        </w:tc>
        <w:tc>
          <w:tcPr>
            <w:tcW w:w="158"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2" w:space="0" w:color="AFAFAF"/>
            </w:tcBorders>
            <w:shd w:fill="auto" w:val="clear"/>
            <w:tcMar>
              <w:bottom w:w="28" w:type="dxa"/>
            </w:tcMar>
          </w:tcPr>
          <w:p>
            <w:pPr>
              <w:pStyle w:val="TableContents"/>
              <w:spacing w:before="0" w:after="283"/>
              <w:rPr/>
            </w:pPr>
            <w:r>
              <w:rPr/>
              <w:t>The earlier of 1 year from the Disability date or the grant expiration date</w:t>
            </w:r>
          </w:p>
        </w:tc>
      </w:tr>
      <w:tr>
        <w:trPr>
          <w:trHeight w:val="75" w:hRule="atLeast"/>
        </w:trPr>
        <w:tc>
          <w:tcPr>
            <w:tcW w:w="2922" w:type="dxa"/>
            <w:tcBorders/>
            <w:shd w:fill="auto" w:val="clear"/>
            <w:vAlign w:val="center"/>
          </w:tcPr>
          <w:p>
            <w:pPr>
              <w:pStyle w:val="TableContents"/>
              <w:spacing w:before="0" w:after="283"/>
              <w:rPr>
                <w:sz w:val="4"/>
                <w:szCs w:val="4"/>
              </w:rPr>
            </w:pPr>
            <w:r>
              <w:rPr>
                <w:sz w:val="4"/>
                <w:szCs w:val="4"/>
              </w:rPr>
            </w:r>
          </w:p>
        </w:tc>
        <w:tc>
          <w:tcPr>
            <w:tcW w:w="2035"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8"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590"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922"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Death</w:t>
            </w:r>
          </w:p>
        </w:tc>
        <w:tc>
          <w:tcPr>
            <w:tcW w:w="158"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77" w:type="dxa"/>
            <w:tcBorders>
              <w:bottom w:val="single" w:sz="8" w:space="0" w:color="B94831"/>
            </w:tcBorders>
            <w:shd w:fill="auto" w:val="clear"/>
            <w:tcMar>
              <w:bottom w:w="28" w:type="dxa"/>
            </w:tcMar>
          </w:tcPr>
          <w:p>
            <w:pPr>
              <w:pStyle w:val="TableContents"/>
              <w:spacing w:before="0" w:after="283"/>
              <w:rPr/>
            </w:pPr>
            <w:r>
              <w:rPr/>
              <w:t>Remain exercisable</w:t>
            </w:r>
          </w:p>
        </w:tc>
        <w:tc>
          <w:tcPr>
            <w:tcW w:w="158"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500" w:type="dxa"/>
            <w:tcBorders>
              <w:bottom w:val="single" w:sz="8" w:space="0" w:color="B94831"/>
            </w:tcBorders>
            <w:shd w:fill="auto" w:val="clear"/>
            <w:tcMar>
              <w:bottom w:w="28" w:type="dxa"/>
            </w:tcMar>
          </w:tcPr>
          <w:p>
            <w:pPr>
              <w:pStyle w:val="TableContents"/>
              <w:spacing w:before="0" w:after="283"/>
              <w:rPr/>
            </w:pPr>
            <w:r>
              <w:rPr/>
              <w:t>Fully vested</w:t>
            </w:r>
          </w:p>
        </w:tc>
        <w:tc>
          <w:tcPr>
            <w:tcW w:w="158"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32" w:type="dxa"/>
            <w:tcBorders>
              <w:bottom w:val="single" w:sz="8" w:space="0" w:color="B94831"/>
            </w:tcBorders>
            <w:shd w:fill="auto" w:val="clear"/>
            <w:tcMar>
              <w:bottom w:w="28" w:type="dxa"/>
            </w:tcMar>
          </w:tcPr>
          <w:p>
            <w:pPr>
              <w:pStyle w:val="TableContents"/>
              <w:spacing w:before="0" w:after="283"/>
              <w:rPr/>
            </w:pPr>
            <w:r>
              <w:rPr/>
              <w:t>The earlier of 1 year from the date of Death or the grant expiration date</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color w:val="B94831"/>
          <w:sz w:val="28"/>
        </w:rPr>
      </w:pPr>
      <w:r>
        <w:rPr>
          <w:rFonts w:ascii="arial" w:hAnsi="arial"/>
          <w:i/>
          <w:color w:val="B94831"/>
          <w:sz w:val="28"/>
        </w:rPr>
        <w:t xml:space="preserve">TRSUs </w:t>
      </w:r>
    </w:p>
    <w:p>
      <w:pPr>
        <w:pStyle w:val="TextBody"/>
        <w:spacing w:before="120" w:after="0"/>
        <w:jc w:val="left"/>
        <w:rPr>
          <w:rFonts w:ascii="arial" w:hAnsi="arial"/>
          <w:sz w:val="20"/>
        </w:rPr>
      </w:pPr>
      <w:r>
        <w:rPr>
          <w:rFonts w:ascii="arial" w:hAnsi="arial"/>
          <w:sz w:val="20"/>
        </w:rPr>
        <w:t xml:space="preserve">Pursuant to award terms and conditions, TRSUs granted in 2022 and 2023 would be treated as follows in the event of termination: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46"/>
        <w:gridCol w:w="124"/>
        <w:gridCol w:w="6435"/>
      </w:tblGrid>
      <w:tr>
        <w:trPr/>
        <w:tc>
          <w:tcPr>
            <w:tcW w:w="364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43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646" w:type="dxa"/>
            <w:tcBorders/>
            <w:shd w:fill="262626" w:val="clear"/>
            <w:vAlign w:val="center"/>
          </w:tcPr>
          <w:p>
            <w:pPr>
              <w:pStyle w:val="TableContents"/>
              <w:spacing w:before="0" w:after="283"/>
              <w:rPr>
                <w:sz w:val="4"/>
                <w:szCs w:val="4"/>
              </w:rPr>
            </w:pPr>
            <w:r>
              <w:rPr>
                <w:sz w:val="4"/>
                <w:szCs w:val="4"/>
              </w:rPr>
            </w:r>
          </w:p>
        </w:tc>
        <w:tc>
          <w:tcPr>
            <w:tcW w:w="6559"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646"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2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435"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TRSUs</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Voluntary termination</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Forfeited</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for poor performance or for Cause</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Forfeited</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not for poor performance or without Cause</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Pro rata vesting based on active service as an employee (measured in calendar days from the grant date to the termination date). Vesting would occur on the termination date. The remaining TRSUs would be forfeited.</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Sale of the holders business</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The Board or HR Committee shall meet to determine the appropriate treatment of any unvested TRSUs.</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 Change of Control of Thomson Reuters (based on the surviving, successor or acquiring company assuming TRSUs or substituting similar awards)</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Fully vested upon a double trigger (involuntary termination not for poor performance or without Cause within two years following a Change of Control); otherwise, the TRSUs would become vested on the scheduled vesting date(s), subject to continuous employment.</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Retirement</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Continue to vest on the scheduled vesting date(s) if the TRSUs have been outstanding for at least six months when Retirement occurs. If the TRSUs have not been outstanding for that period, they would be forfeited.</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Disability</w:t>
            </w:r>
          </w:p>
        </w:tc>
        <w:tc>
          <w:tcPr>
            <w:tcW w:w="12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35" w:type="dxa"/>
            <w:tcBorders>
              <w:bottom w:val="single" w:sz="2" w:space="0" w:color="AFAFAF"/>
            </w:tcBorders>
            <w:shd w:fill="auto" w:val="clear"/>
            <w:tcMar>
              <w:bottom w:w="28" w:type="dxa"/>
            </w:tcMar>
            <w:vAlign w:val="bottom"/>
          </w:tcPr>
          <w:p>
            <w:pPr>
              <w:pStyle w:val="TableContents"/>
              <w:spacing w:before="0" w:after="283"/>
              <w:rPr/>
            </w:pPr>
            <w:r>
              <w:rPr/>
              <w:t>Fully vested</w:t>
            </w:r>
          </w:p>
        </w:tc>
      </w:tr>
      <w:tr>
        <w:trPr>
          <w:trHeight w:val="30" w:hRule="atLeast"/>
        </w:trPr>
        <w:tc>
          <w:tcPr>
            <w:tcW w:w="3646" w:type="dxa"/>
            <w:tcBorders/>
            <w:shd w:fill="auto" w:val="clear"/>
            <w:vAlign w:val="center"/>
          </w:tcPr>
          <w:p>
            <w:pPr>
              <w:pStyle w:val="TableContents"/>
              <w:spacing w:before="0" w:after="283"/>
              <w:rPr>
                <w:sz w:val="4"/>
                <w:szCs w:val="4"/>
              </w:rPr>
            </w:pPr>
            <w:r>
              <w:rPr>
                <w:sz w:val="4"/>
                <w:szCs w:val="4"/>
              </w:rPr>
            </w:r>
          </w:p>
        </w:tc>
        <w:tc>
          <w:tcPr>
            <w:tcW w:w="6559"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46"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Death</w:t>
            </w:r>
          </w:p>
        </w:tc>
        <w:tc>
          <w:tcPr>
            <w:tcW w:w="12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435" w:type="dxa"/>
            <w:tcBorders>
              <w:bottom w:val="single" w:sz="8" w:space="0" w:color="B94831"/>
            </w:tcBorders>
            <w:shd w:fill="auto" w:val="clear"/>
            <w:tcMar>
              <w:bottom w:w="28" w:type="dxa"/>
            </w:tcMar>
            <w:vAlign w:val="bottom"/>
          </w:tcPr>
          <w:p>
            <w:pPr>
              <w:pStyle w:val="TableContents"/>
              <w:spacing w:before="0" w:after="283"/>
              <w:rPr/>
            </w:pPr>
            <w:r>
              <w:rPr/>
              <w:t>Fully vested</w:t>
            </w:r>
          </w:p>
        </w:tc>
      </w:tr>
    </w:tbl>
    <w:p>
      <w:pPr>
        <w:pStyle w:val="TextBody"/>
        <w:spacing w:before="120" w:after="0"/>
        <w:jc w:val="left"/>
        <w:rPr>
          <w:rFonts w:ascii="arial" w:hAnsi="arial"/>
          <w:i/>
          <w:color w:val="B94831"/>
          <w:sz w:val="28"/>
        </w:rPr>
      </w:pPr>
      <w:r>
        <w:rPr>
          <w:rFonts w:ascii="arial" w:hAnsi="arial"/>
          <w:i/>
          <w:color w:val="B94831"/>
          <w:sz w:val="28"/>
        </w:rPr>
        <w:t xml:space="preserve">PRSUs </w:t>
      </w:r>
    </w:p>
    <w:p>
      <w:pPr>
        <w:pStyle w:val="TextBody"/>
        <w:spacing w:before="120" w:after="0"/>
        <w:jc w:val="left"/>
        <w:rPr>
          <w:rFonts w:ascii="arial" w:hAnsi="arial"/>
          <w:sz w:val="20"/>
        </w:rPr>
      </w:pPr>
      <w:r>
        <w:rPr>
          <w:rFonts w:ascii="arial" w:hAnsi="arial"/>
          <w:sz w:val="20"/>
        </w:rPr>
        <w:t xml:space="preserve">Pursuant to award terms and conditions, PRSUs granted in 2022 and 2023 would be treated as follows in the event of termination: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37"/>
        <w:gridCol w:w="123"/>
        <w:gridCol w:w="6445"/>
      </w:tblGrid>
      <w:tr>
        <w:trPr/>
        <w:tc>
          <w:tcPr>
            <w:tcW w:w="363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44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637" w:type="dxa"/>
            <w:tcBorders/>
            <w:shd w:fill="262626" w:val="clear"/>
            <w:vAlign w:val="center"/>
          </w:tcPr>
          <w:p>
            <w:pPr>
              <w:pStyle w:val="TableContents"/>
              <w:spacing w:before="0" w:after="283"/>
              <w:rPr>
                <w:sz w:val="4"/>
                <w:szCs w:val="4"/>
              </w:rPr>
            </w:pPr>
            <w:r>
              <w:rPr>
                <w:sz w:val="4"/>
                <w:szCs w:val="4"/>
              </w:rPr>
            </w:r>
          </w:p>
        </w:tc>
        <w:tc>
          <w:tcPr>
            <w:tcW w:w="6568"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637"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23"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445"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PRSUs</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Voluntary termination</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Forfeited</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for poor performance or for Cause</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Forfeited</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Involuntary termination not for poor performance or without Cause</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Pro rata vesting based on active service as an employee (measured in calendar days) during the performance period. Performance factor applied at the end of the performance period. Vesting would occur on the original vesting date(s). The remaining PRSUs would be forfeited.</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Sale of the holders business</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The Board or HR Committee shall meet to determine the appropriate treatment of any unvested PRSUs.</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A Change of Control of Thomson Reuters (based on the surviving, successor or acquiring company assuming PRSUs or substituting similar awards)</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arial" w:hAnsi="arial"/>
                <w:sz w:val="16"/>
              </w:rPr>
              <w:t>If a Change of Control occurs during first two years of the three year performance period, PRSUs will be converted to TRSUs at 100% of target performance and become vested on the original vesting date.</w:t>
            </w:r>
          </w:p>
          <w:p>
            <w:pPr>
              <w:pStyle w:val="TableContents"/>
              <w:spacing w:before="0" w:after="0"/>
              <w:rPr>
                <w:rFonts w:ascii="arial" w:hAnsi="arial"/>
                <w:sz w:val="16"/>
              </w:rPr>
            </w:pPr>
            <w:r>
              <w:rPr>
                <w:rFonts w:ascii="arial" w:hAnsi="arial"/>
                <w:sz w:val="16"/>
              </w:rPr>
              <w:t>If a Change of Control occurs during year three of the three year performance period, PRSUs will be converted to TRSUs based on estimated performance and become vested on the original vesting date.</w:t>
            </w:r>
          </w:p>
          <w:p>
            <w:pPr>
              <w:pStyle w:val="TableContents"/>
              <w:spacing w:before="0" w:after="20"/>
              <w:rPr>
                <w:rFonts w:ascii="arial" w:hAnsi="arial"/>
                <w:sz w:val="16"/>
              </w:rPr>
            </w:pPr>
            <w:r>
              <w:rPr>
                <w:rFonts w:ascii="arial" w:hAnsi="arial"/>
                <w:sz w:val="16"/>
              </w:rPr>
              <w:t>Double triggerif a holder ceases to be an employee as a result of involuntary termination not for poor performance or without Cause within two years following a Change of Control, then all of the holders outstanding TRSUs (which were converted from PRSUs at the time of the Change of Control) shall become fully vested on the date that the holder ceased to be an employee.</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Retirement</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Fully vested on the scheduled vesting date(s) (as adjusted to reflect actual performance) if the PRSUs have been outstanding for at least six months when Retirement occurs. If the PRSUs have not been outstanding for that period, they would be forfeited.</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Disability</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445" w:type="dxa"/>
            <w:tcBorders>
              <w:bottom w:val="single" w:sz="2" w:space="0" w:color="AFAFAF"/>
            </w:tcBorders>
            <w:shd w:fill="auto" w:val="clear"/>
            <w:tcMar>
              <w:bottom w:w="28" w:type="dxa"/>
            </w:tcMar>
            <w:vAlign w:val="bottom"/>
          </w:tcPr>
          <w:p>
            <w:pPr>
              <w:pStyle w:val="TableContents"/>
              <w:spacing w:before="0" w:after="283"/>
              <w:rPr/>
            </w:pPr>
            <w:r>
              <w:rPr/>
              <w:t>Fully vested on the scheduled vesting date(s) (as adjusted to reflect actual performance).</w:t>
            </w:r>
          </w:p>
        </w:tc>
      </w:tr>
      <w:tr>
        <w:trPr>
          <w:trHeight w:val="30" w:hRule="atLeast"/>
        </w:trPr>
        <w:tc>
          <w:tcPr>
            <w:tcW w:w="3637" w:type="dxa"/>
            <w:tcBorders/>
            <w:shd w:fill="auto" w:val="clear"/>
            <w:vAlign w:val="center"/>
          </w:tcPr>
          <w:p>
            <w:pPr>
              <w:pStyle w:val="TableContents"/>
              <w:spacing w:before="0" w:after="283"/>
              <w:rPr>
                <w:sz w:val="4"/>
                <w:szCs w:val="4"/>
              </w:rPr>
            </w:pPr>
            <w:r>
              <w:rPr>
                <w:sz w:val="4"/>
                <w:szCs w:val="4"/>
              </w:rPr>
            </w:r>
          </w:p>
        </w:tc>
        <w:tc>
          <w:tcPr>
            <w:tcW w:w="6568"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637"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Death</w:t>
            </w:r>
          </w:p>
        </w:tc>
        <w:tc>
          <w:tcPr>
            <w:tcW w:w="12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445" w:type="dxa"/>
            <w:tcBorders>
              <w:bottom w:val="single" w:sz="8" w:space="0" w:color="B94831"/>
            </w:tcBorders>
            <w:shd w:fill="auto" w:val="clear"/>
            <w:tcMar>
              <w:bottom w:w="28" w:type="dxa"/>
            </w:tcMar>
            <w:vAlign w:val="bottom"/>
          </w:tcPr>
          <w:p>
            <w:pPr>
              <w:pStyle w:val="TableContents"/>
              <w:spacing w:before="0" w:after="283"/>
              <w:rPr/>
            </w:pPr>
            <w:r>
              <w:rPr/>
              <w:t>Fully vested on the scheduled vesting date(s) (as adjusted to reflect actual performance).</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i/>
          <w:color w:val="B94831"/>
          <w:sz w:val="28"/>
        </w:rPr>
        <w:t>Retirement</w:t>
      </w:r>
      <w:r>
        <w:rPr>
          <w:rFonts w:ascii="arial" w:hAnsi="arial"/>
          <w:color w:val="B94831"/>
          <w:sz w:val="28"/>
        </w:rPr>
        <w:t xml:space="preserve"> </w:t>
      </w:r>
    </w:p>
    <w:p>
      <w:pPr>
        <w:pStyle w:val="TextBody"/>
        <w:spacing w:before="40" w:after="0"/>
        <w:jc w:val="left"/>
        <w:rPr>
          <w:rFonts w:ascii="arial" w:hAnsi="arial"/>
          <w:sz w:val="20"/>
        </w:rPr>
      </w:pPr>
      <w:r>
        <w:rPr>
          <w:rFonts w:ascii="arial" w:hAnsi="arial"/>
          <w:sz w:val="20"/>
        </w:rPr>
        <w:t xml:space="preserve">As noted above, we simplified our treatment of retirement by reflecting one definition for annual incentive and equity-based awards granted in 2022 and 2023. Equity-based awards granted prior to 2022 reflect separate definitions for Early Retirement and Normal Retirement. These definitions are subject to any existing or additional statutory requirements or prescribed definitions that may be set forth by local laws in jurisdictions where awards have been granted and which would take precedence.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54"/>
        <w:gridCol w:w="121"/>
        <w:gridCol w:w="6830"/>
      </w:tblGrid>
      <w:tr>
        <w:trPr/>
        <w:tc>
          <w:tcPr>
            <w:tcW w:w="325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830" w:type="dxa"/>
            <w:tcBorders/>
            <w:shd w:fill="auto" w:val="clear"/>
            <w:vAlign w:val="center"/>
          </w:tcPr>
          <w:p>
            <w:pPr>
              <w:pStyle w:val="TableContents"/>
              <w:spacing w:before="0" w:after="283"/>
              <w:rPr>
                <w:sz w:val="4"/>
                <w:szCs w:val="4"/>
              </w:rPr>
            </w:pPr>
            <w:r>
              <w:rPr>
                <w:sz w:val="4"/>
                <w:szCs w:val="4"/>
              </w:rPr>
            </w:r>
          </w:p>
        </w:tc>
      </w:tr>
      <w:tr>
        <w:trPr/>
        <w:tc>
          <w:tcPr>
            <w:tcW w:w="3254" w:type="dxa"/>
            <w:tcBorders>
              <w:top w:val="single" w:sz="8" w:space="0" w:color="B94831"/>
              <w:bottom w:val="single" w:sz="2" w:space="0" w:color="AFAFAF"/>
            </w:tcBorders>
            <w:shd w:fill="auto" w:val="clear"/>
            <w:tcMar>
              <w:top w:w="28" w:type="dxa"/>
              <w:bottom w:w="28" w:type="dxa"/>
            </w:tcMar>
          </w:tcPr>
          <w:p>
            <w:pPr>
              <w:pStyle w:val="TableContents"/>
              <w:spacing w:before="0" w:after="0"/>
              <w:rPr>
                <w:rFonts w:ascii="arial" w:hAnsi="arial"/>
                <w:sz w:val="16"/>
              </w:rPr>
            </w:pPr>
            <w:r>
              <w:rPr>
                <w:rFonts w:ascii="arial" w:hAnsi="arial"/>
                <w:sz w:val="16"/>
              </w:rPr>
              <w:t>Awards granted in 2022 and 2023</w:t>
            </w:r>
          </w:p>
        </w:tc>
        <w:tc>
          <w:tcPr>
            <w:tcW w:w="121" w:type="dxa"/>
            <w:tcBorders>
              <w:top w:val="single" w:sz="8" w:space="0" w:color="B94831"/>
              <w:left w:val="single" w:sz="2" w:space="0" w:color="AFAFAF"/>
              <w:bottom w:val="single" w:sz="2" w:space="0" w:color="AFAFAF"/>
            </w:tcBorders>
            <w:shd w:fill="auto" w:val="clear"/>
            <w:tcMar>
              <w:top w:w="28" w:type="dxa"/>
              <w:left w:w="28" w:type="dxa"/>
              <w:bottom w:w="28" w:type="dxa"/>
            </w:tcMar>
            <w:vAlign w:val="bottom"/>
          </w:tcPr>
          <w:p>
            <w:pPr>
              <w:pStyle w:val="TableContents"/>
              <w:spacing w:before="0" w:after="283"/>
              <w:rPr/>
            </w:pPr>
            <w:r>
              <w:rPr/>
              <w:t>  </w:t>
            </w:r>
          </w:p>
        </w:tc>
        <w:tc>
          <w:tcPr>
            <w:tcW w:w="6830" w:type="dxa"/>
            <w:tcBorders>
              <w:top w:val="single" w:sz="8" w:space="0" w:color="B94831"/>
              <w:bottom w:val="single" w:sz="2" w:space="0" w:color="AFAFAF"/>
            </w:tcBorders>
            <w:shd w:fill="auto" w:val="clear"/>
            <w:tcMar>
              <w:top w:w="28" w:type="dxa"/>
              <w:bottom w:w="28" w:type="dxa"/>
            </w:tcMar>
            <w:vAlign w:val="bottom"/>
          </w:tcPr>
          <w:p>
            <w:pPr>
              <w:pStyle w:val="TableContents"/>
              <w:spacing w:before="0" w:after="283"/>
              <w:rPr/>
            </w:pPr>
            <w:r>
              <w:rPr>
                <w:rFonts w:ascii="Arial" w:hAnsi="Arial"/>
                <w:b/>
              </w:rPr>
              <w:t>Retirement</w:t>
            </w:r>
            <w:r>
              <w:rPr/>
              <w:t xml:space="preserve"> means retirement from active employment on or after attaining (a) age 65 or (b) age 60 or more and the combination of an employees age and years of credited service with Thomson Reuters is equal to 65 or more. For purposes of section (b) of this definition, partial years will be counted solely to determine whether an employee satisfies the total of 65 or more, but will not be rounded.</w:t>
            </w:r>
          </w:p>
        </w:tc>
      </w:tr>
      <w:tr>
        <w:trPr/>
        <w:tc>
          <w:tcPr>
            <w:tcW w:w="3254"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Awards granted prior to 2022</w:t>
            </w:r>
          </w:p>
        </w:tc>
        <w:tc>
          <w:tcPr>
            <w:tcW w:w="121"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830" w:type="dxa"/>
            <w:tcBorders>
              <w:bottom w:val="single" w:sz="8" w:space="0" w:color="B94831"/>
            </w:tcBorders>
            <w:shd w:fill="auto" w:val="clear"/>
            <w:tcMar>
              <w:bottom w:w="28" w:type="dxa"/>
            </w:tcMar>
            <w:vAlign w:val="bottom"/>
          </w:tcPr>
          <w:p>
            <w:pPr>
              <w:pStyle w:val="TableContents"/>
              <w:spacing w:before="0" w:after="0"/>
              <w:rPr>
                <w:rFonts w:ascii="arial" w:hAnsi="arial"/>
                <w:sz w:val="16"/>
              </w:rPr>
            </w:pPr>
            <w:r>
              <w:rPr>
                <w:rFonts w:ascii="Arial" w:hAnsi="Arial"/>
                <w:b/>
                <w:sz w:val="16"/>
              </w:rPr>
              <w:t>Early Retirement</w:t>
            </w:r>
            <w:r>
              <w:rPr>
                <w:rFonts w:ascii="arial" w:hAnsi="arial"/>
                <w:sz w:val="16"/>
              </w:rPr>
              <w:t xml:space="preserve"> means age 60; provided that employees in the United States (the 50 states and the District of Columbia) must have at least 5 years of credited service.</w:t>
            </w:r>
          </w:p>
          <w:p>
            <w:pPr>
              <w:pStyle w:val="TableContents"/>
              <w:spacing w:before="0" w:after="0"/>
              <w:rPr/>
            </w:pPr>
            <w:r>
              <w:rPr/>
              <w:t> </w:t>
            </w:r>
          </w:p>
          <w:p>
            <w:pPr>
              <w:pStyle w:val="TableContents"/>
              <w:spacing w:before="0" w:after="20"/>
              <w:rPr>
                <w:rFonts w:ascii="arial" w:hAnsi="arial"/>
                <w:sz w:val="16"/>
              </w:rPr>
            </w:pPr>
            <w:r>
              <w:rPr>
                <w:rFonts w:ascii="Arial" w:hAnsi="Arial"/>
                <w:b/>
                <w:sz w:val="16"/>
              </w:rPr>
              <w:t>Normal Retirement</w:t>
            </w:r>
            <w:r>
              <w:rPr>
                <w:rFonts w:ascii="arial" w:hAnsi="arial"/>
                <w:sz w:val="16"/>
              </w:rPr>
              <w:t xml:space="preserve"> means age 65 for employees without supplemental executive retirement plans (SERPs) and age 62 and at least 10 years of credited service for employees with SERPs.</w:t>
            </w:r>
          </w:p>
        </w:tc>
      </w:tr>
    </w:tbl>
    <w:p>
      <w:pPr>
        <w:pStyle w:val="TextBody"/>
        <w:spacing w:before="120" w:after="0"/>
        <w:jc w:val="left"/>
        <w:rPr>
          <w:rFonts w:ascii="arial" w:hAnsi="arial"/>
          <w:sz w:val="20"/>
        </w:rPr>
      </w:pPr>
      <w:r>
        <w:rPr>
          <w:rFonts w:ascii="arial" w:hAnsi="arial"/>
          <w:sz w:val="20"/>
        </w:rPr>
        <w:t xml:space="preserve">Pursuant to award terms and conditions, </w:t>
      </w:r>
      <w:r>
        <w:rPr>
          <w:rFonts w:ascii="arial" w:hAnsi="arial"/>
          <w:i/>
          <w:sz w:val="20"/>
        </w:rPr>
        <w:t>stock options</w:t>
      </w:r>
      <w:r>
        <w:rPr>
          <w:rFonts w:ascii="arial" w:hAnsi="arial"/>
          <w:sz w:val="20"/>
        </w:rPr>
        <w:t xml:space="preserve"> granted prior to 2022 would be treated as follows in the event of termination due to Normal Retirement or Early Retirement: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74"/>
        <w:gridCol w:w="164"/>
        <w:gridCol w:w="1867"/>
        <w:gridCol w:w="164"/>
        <w:gridCol w:w="2483"/>
        <w:gridCol w:w="164"/>
        <w:gridCol w:w="2489"/>
      </w:tblGrid>
      <w:tr>
        <w:trPr/>
        <w:tc>
          <w:tcPr>
            <w:tcW w:w="287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248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2874" w:type="dxa"/>
            <w:tcBorders/>
            <w:shd w:fill="262626" w:val="clear"/>
            <w:vAlign w:val="center"/>
          </w:tcPr>
          <w:p>
            <w:pPr>
              <w:pStyle w:val="TableContents"/>
              <w:spacing w:before="0" w:after="283"/>
              <w:rPr>
                <w:sz w:val="4"/>
                <w:szCs w:val="4"/>
              </w:rPr>
            </w:pPr>
            <w:r>
              <w:rPr>
                <w:sz w:val="4"/>
                <w:szCs w:val="4"/>
              </w:rPr>
            </w:r>
          </w:p>
        </w:tc>
        <w:tc>
          <w:tcPr>
            <w:tcW w:w="2031"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647"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2653"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2874"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6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1867"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Vested Options</w:t>
            </w:r>
          </w:p>
        </w:tc>
        <w:tc>
          <w:tcPr>
            <w:tcW w:w="16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483"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Options</w:t>
            </w:r>
          </w:p>
        </w:tc>
        <w:tc>
          <w:tcPr>
            <w:tcW w:w="164"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sz w:val="4"/>
                <w:szCs w:val="4"/>
              </w:rPr>
            </w:pPr>
            <w:r>
              <w:rPr>
                <w:sz w:val="4"/>
                <w:szCs w:val="4"/>
              </w:rPr>
            </w:r>
          </w:p>
        </w:tc>
        <w:tc>
          <w:tcPr>
            <w:tcW w:w="2489"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Exercise Period</w:t>
            </w:r>
          </w:p>
        </w:tc>
      </w:tr>
      <w:tr>
        <w:trPr>
          <w:trHeight w:val="75" w:hRule="atLeast"/>
        </w:trPr>
        <w:tc>
          <w:tcPr>
            <w:tcW w:w="2874" w:type="dxa"/>
            <w:tcBorders/>
            <w:shd w:fill="auto" w:val="clear"/>
            <w:vAlign w:val="center"/>
          </w:tcPr>
          <w:p>
            <w:pPr>
              <w:pStyle w:val="TableContents"/>
              <w:spacing w:before="0" w:after="283"/>
              <w:rPr>
                <w:sz w:val="4"/>
                <w:szCs w:val="4"/>
              </w:rPr>
            </w:pPr>
            <w:r>
              <w:rPr>
                <w:sz w:val="4"/>
                <w:szCs w:val="4"/>
              </w:rPr>
            </w:r>
          </w:p>
        </w:tc>
        <w:tc>
          <w:tcPr>
            <w:tcW w:w="2031"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47"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874"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Normal Retirement</w:t>
            </w:r>
          </w:p>
        </w:tc>
        <w:tc>
          <w:tcPr>
            <w:tcW w:w="16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67" w:type="dxa"/>
            <w:tcBorders>
              <w:bottom w:val="single" w:sz="2" w:space="0" w:color="AFAFAF"/>
            </w:tcBorders>
            <w:shd w:fill="auto" w:val="clear"/>
            <w:tcMar>
              <w:bottom w:w="28" w:type="dxa"/>
            </w:tcMar>
          </w:tcPr>
          <w:p>
            <w:pPr>
              <w:pStyle w:val="TableContents"/>
              <w:spacing w:before="0" w:after="283"/>
              <w:rPr/>
            </w:pPr>
            <w:r>
              <w:rPr/>
              <w:t>Remain exercisable</w:t>
            </w:r>
          </w:p>
        </w:tc>
        <w:tc>
          <w:tcPr>
            <w:tcW w:w="16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83" w:type="dxa"/>
            <w:tcBorders>
              <w:bottom w:val="single" w:sz="2" w:space="0" w:color="AFAFAF"/>
            </w:tcBorders>
            <w:shd w:fill="auto" w:val="clear"/>
            <w:tcMar>
              <w:bottom w:w="28" w:type="dxa"/>
            </w:tcMar>
          </w:tcPr>
          <w:p>
            <w:pPr>
              <w:pStyle w:val="TableContents"/>
              <w:spacing w:before="0" w:after="283"/>
              <w:rPr/>
            </w:pPr>
            <w:r>
              <w:rPr/>
              <w:t>Continue to vest on the original vesting date(s); provided that the options have been outstanding for at least six months when Normal Retirement occurs. If the options have not been outstanding for that period, they would be forfeited.</w:t>
            </w:r>
          </w:p>
        </w:tc>
        <w:tc>
          <w:tcPr>
            <w:tcW w:w="16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89" w:type="dxa"/>
            <w:tcBorders>
              <w:bottom w:val="single" w:sz="2" w:space="0" w:color="AFAFAF"/>
            </w:tcBorders>
            <w:shd w:fill="auto" w:val="clear"/>
            <w:tcMar>
              <w:bottom w:w="28" w:type="dxa"/>
            </w:tcMar>
          </w:tcPr>
          <w:p>
            <w:pPr>
              <w:pStyle w:val="TableContents"/>
              <w:spacing w:before="0" w:after="283"/>
              <w:rPr/>
            </w:pPr>
            <w:r>
              <w:rPr/>
              <w:t>Options outstanding for 7 years or more: earlier of 1 year from Normal Retirement or expiration of the options. Options outstanding for less than 7 years: 7 years from the grant date.</w:t>
            </w:r>
          </w:p>
        </w:tc>
      </w:tr>
      <w:tr>
        <w:trPr>
          <w:trHeight w:val="75" w:hRule="atLeast"/>
        </w:trPr>
        <w:tc>
          <w:tcPr>
            <w:tcW w:w="2874" w:type="dxa"/>
            <w:tcBorders/>
            <w:shd w:fill="auto" w:val="clear"/>
            <w:vAlign w:val="center"/>
          </w:tcPr>
          <w:p>
            <w:pPr>
              <w:pStyle w:val="TableContents"/>
              <w:spacing w:before="0" w:after="283"/>
              <w:rPr>
                <w:sz w:val="4"/>
                <w:szCs w:val="4"/>
              </w:rPr>
            </w:pPr>
            <w:r>
              <w:rPr>
                <w:sz w:val="4"/>
                <w:szCs w:val="4"/>
              </w:rPr>
            </w:r>
          </w:p>
        </w:tc>
        <w:tc>
          <w:tcPr>
            <w:tcW w:w="2031"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47" w:type="dxa"/>
            <w:gridSpan w:val="2"/>
            <w:tcBorders>
              <w:left w:val="single" w:sz="2" w:space="0" w:color="AFAFAF"/>
            </w:tcBorders>
            <w:shd w:fill="auto" w:val="clear"/>
            <w:tcMar>
              <w:left w:w="28" w:type="dxa"/>
            </w:tcMar>
            <w:vAlign w:val="center"/>
          </w:tcPr>
          <w:p>
            <w:pPr>
              <w:pStyle w:val="TableContents"/>
              <w:spacing w:before="0" w:after="283"/>
              <w:rPr/>
            </w:pPr>
            <w:r>
              <w:rPr/>
              <w:t> </w:t>
            </w:r>
          </w:p>
        </w:tc>
        <w:tc>
          <w:tcPr>
            <w:tcW w:w="2653"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2874"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Early Retirement</w:t>
            </w:r>
          </w:p>
        </w:tc>
        <w:tc>
          <w:tcPr>
            <w:tcW w:w="16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1867" w:type="dxa"/>
            <w:tcBorders>
              <w:bottom w:val="single" w:sz="8" w:space="0" w:color="B94831"/>
            </w:tcBorders>
            <w:shd w:fill="auto" w:val="clear"/>
            <w:tcMar>
              <w:bottom w:w="28" w:type="dxa"/>
            </w:tcMar>
          </w:tcPr>
          <w:p>
            <w:pPr>
              <w:pStyle w:val="TableContents"/>
              <w:spacing w:before="0" w:after="283"/>
              <w:rPr/>
            </w:pPr>
            <w:r>
              <w:rPr/>
              <w:t>Remain exercisable</w:t>
            </w:r>
          </w:p>
        </w:tc>
        <w:tc>
          <w:tcPr>
            <w:tcW w:w="16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83" w:type="dxa"/>
            <w:tcBorders>
              <w:bottom w:val="single" w:sz="8" w:space="0" w:color="B94831"/>
            </w:tcBorders>
            <w:shd w:fill="auto" w:val="clear"/>
            <w:tcMar>
              <w:bottom w:w="28" w:type="dxa"/>
            </w:tcMar>
          </w:tcPr>
          <w:p>
            <w:pPr>
              <w:pStyle w:val="TableContents"/>
              <w:spacing w:before="0" w:after="283"/>
              <w:rPr/>
            </w:pPr>
            <w:r>
              <w:rPr/>
              <w:t>Partially vested, reduced by 5% for each year that the holder retired prior to Normal Retirement; provided that the options have been outstanding for at least six months when Early Retirement occurs. If the options have not been outstanding for that period, they would be forfeited.</w:t>
            </w:r>
          </w:p>
        </w:tc>
        <w:tc>
          <w:tcPr>
            <w:tcW w:w="16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sz w:val="4"/>
                <w:szCs w:val="4"/>
              </w:rPr>
            </w:pPr>
            <w:r>
              <w:rPr>
                <w:sz w:val="4"/>
                <w:szCs w:val="4"/>
              </w:rPr>
            </w:r>
          </w:p>
        </w:tc>
        <w:tc>
          <w:tcPr>
            <w:tcW w:w="2489" w:type="dxa"/>
            <w:tcBorders>
              <w:bottom w:val="single" w:sz="8" w:space="0" w:color="B94831"/>
            </w:tcBorders>
            <w:shd w:fill="auto" w:val="clear"/>
            <w:tcMar>
              <w:bottom w:w="28" w:type="dxa"/>
            </w:tcMar>
          </w:tcPr>
          <w:p>
            <w:pPr>
              <w:pStyle w:val="TableContents"/>
              <w:spacing w:before="0" w:after="283"/>
              <w:rPr/>
            </w:pPr>
            <w:r>
              <w:rPr/>
              <w:t>The earlier of 1 year from the Early Retirement date or the grant expiration date.</w:t>
            </w:r>
          </w:p>
        </w:tc>
      </w:tr>
    </w:tbl>
    <w:p>
      <w:pPr>
        <w:pStyle w:val="TextBody"/>
        <w:spacing w:before="120" w:after="0"/>
        <w:jc w:val="left"/>
        <w:rPr>
          <w:rFonts w:ascii="arial" w:hAnsi="arial"/>
          <w:sz w:val="20"/>
        </w:rPr>
      </w:pPr>
      <w:r>
        <w:rPr>
          <w:rFonts w:ascii="arial" w:hAnsi="arial"/>
          <w:sz w:val="20"/>
        </w:rPr>
        <w:t xml:space="preserve">Pursuant to award terms and conditions, </w:t>
      </w:r>
      <w:r>
        <w:rPr>
          <w:rFonts w:ascii="arial" w:hAnsi="arial"/>
          <w:i/>
          <w:sz w:val="20"/>
        </w:rPr>
        <w:t>TRSUs</w:t>
      </w:r>
      <w:r>
        <w:rPr>
          <w:rFonts w:ascii="arial" w:hAnsi="arial"/>
          <w:sz w:val="20"/>
        </w:rPr>
        <w:t xml:space="preserve"> granted prior to 2022 would be treated as follows in the event of termination due to Normal Retirement or Early Retirement: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79"/>
        <w:gridCol w:w="122"/>
        <w:gridCol w:w="6704"/>
      </w:tblGrid>
      <w:tr>
        <w:trPr/>
        <w:tc>
          <w:tcPr>
            <w:tcW w:w="337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704"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379" w:type="dxa"/>
            <w:tcBorders/>
            <w:shd w:fill="262626" w:val="clear"/>
            <w:vAlign w:val="center"/>
          </w:tcPr>
          <w:p>
            <w:pPr>
              <w:pStyle w:val="TableContents"/>
              <w:spacing w:before="0" w:after="283"/>
              <w:rPr>
                <w:sz w:val="4"/>
                <w:szCs w:val="4"/>
              </w:rPr>
            </w:pPr>
            <w:r>
              <w:rPr>
                <w:sz w:val="4"/>
                <w:szCs w:val="4"/>
              </w:rPr>
            </w:r>
          </w:p>
        </w:tc>
        <w:tc>
          <w:tcPr>
            <w:tcW w:w="6826"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379"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22"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704"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TRSUs</w:t>
            </w:r>
          </w:p>
        </w:tc>
      </w:tr>
      <w:tr>
        <w:trPr>
          <w:trHeight w:val="75" w:hRule="atLeast"/>
        </w:trPr>
        <w:tc>
          <w:tcPr>
            <w:tcW w:w="3379" w:type="dxa"/>
            <w:tcBorders/>
            <w:shd w:fill="auto" w:val="clear"/>
            <w:vAlign w:val="center"/>
          </w:tcPr>
          <w:p>
            <w:pPr>
              <w:pStyle w:val="TableContents"/>
              <w:spacing w:before="0" w:after="283"/>
              <w:rPr>
                <w:sz w:val="4"/>
                <w:szCs w:val="4"/>
              </w:rPr>
            </w:pPr>
            <w:r>
              <w:rPr>
                <w:sz w:val="4"/>
                <w:szCs w:val="4"/>
              </w:rPr>
            </w:r>
          </w:p>
        </w:tc>
        <w:tc>
          <w:tcPr>
            <w:tcW w:w="6826"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37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Normal Retirement</w:t>
            </w:r>
          </w:p>
        </w:tc>
        <w:tc>
          <w:tcPr>
            <w:tcW w:w="12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704" w:type="dxa"/>
            <w:tcBorders>
              <w:bottom w:val="single" w:sz="2" w:space="0" w:color="AFAFAF"/>
            </w:tcBorders>
            <w:shd w:fill="auto" w:val="clear"/>
            <w:tcMar>
              <w:bottom w:w="28" w:type="dxa"/>
            </w:tcMar>
          </w:tcPr>
          <w:p>
            <w:pPr>
              <w:pStyle w:val="TableContents"/>
              <w:spacing w:before="0" w:after="283"/>
              <w:rPr/>
            </w:pPr>
            <w:r>
              <w:rPr/>
              <w:t>Continue to vest on the scheduled vesting date(s) if the TRSUs have been outstanding for at least six months when Normal Retirement occurs. If the TRSUs have not been outstanding for that period, they would be forfeited.</w:t>
            </w:r>
          </w:p>
        </w:tc>
      </w:tr>
      <w:tr>
        <w:trPr>
          <w:trHeight w:val="75" w:hRule="atLeast"/>
        </w:trPr>
        <w:tc>
          <w:tcPr>
            <w:tcW w:w="3379" w:type="dxa"/>
            <w:tcBorders/>
            <w:shd w:fill="auto" w:val="clear"/>
            <w:vAlign w:val="center"/>
          </w:tcPr>
          <w:p>
            <w:pPr>
              <w:pStyle w:val="TableContents"/>
              <w:spacing w:before="0" w:after="283"/>
              <w:rPr>
                <w:sz w:val="4"/>
                <w:szCs w:val="4"/>
              </w:rPr>
            </w:pPr>
            <w:r>
              <w:rPr>
                <w:sz w:val="4"/>
                <w:szCs w:val="4"/>
              </w:rPr>
            </w:r>
          </w:p>
        </w:tc>
        <w:tc>
          <w:tcPr>
            <w:tcW w:w="6826"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37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Early Retirement</w:t>
            </w:r>
          </w:p>
        </w:tc>
        <w:tc>
          <w:tcPr>
            <w:tcW w:w="122"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704" w:type="dxa"/>
            <w:tcBorders>
              <w:bottom w:val="single" w:sz="8" w:space="0" w:color="B94831"/>
            </w:tcBorders>
            <w:shd w:fill="auto" w:val="clear"/>
            <w:tcMar>
              <w:bottom w:w="28" w:type="dxa"/>
            </w:tcMar>
          </w:tcPr>
          <w:p>
            <w:pPr>
              <w:pStyle w:val="TableContents"/>
              <w:spacing w:before="0" w:after="283"/>
              <w:rPr/>
            </w:pPr>
            <w:r>
              <w:rPr/>
              <w:t>Pro rata vesting based on active service as an employee (measured in calendar days) during the award period if the TRSUs have been outstanding for at least six months when Early Retirement occurs. Vesting would occur on the termination date. If the TRSUs have not been outstanding for that period, they would be forfeited.</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Pursuant to award terms and conditions, </w:t>
      </w:r>
      <w:r>
        <w:rPr>
          <w:rFonts w:ascii="arial" w:hAnsi="arial"/>
          <w:i/>
          <w:sz w:val="20"/>
        </w:rPr>
        <w:t>PRSUs</w:t>
      </w:r>
      <w:r>
        <w:rPr>
          <w:rFonts w:ascii="arial" w:hAnsi="arial"/>
          <w:sz w:val="20"/>
        </w:rPr>
        <w:t xml:space="preserve"> granted prior to 2022 would be treated as follows in the event of termination due to Normal Retirement or Early Retirement: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73"/>
        <w:gridCol w:w="123"/>
        <w:gridCol w:w="6709"/>
      </w:tblGrid>
      <w:tr>
        <w:trPr/>
        <w:tc>
          <w:tcPr>
            <w:tcW w:w="33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709"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373" w:type="dxa"/>
            <w:tcBorders/>
            <w:shd w:fill="262626" w:val="clear"/>
            <w:vAlign w:val="center"/>
          </w:tcPr>
          <w:p>
            <w:pPr>
              <w:pStyle w:val="TableContents"/>
              <w:spacing w:before="0" w:after="283"/>
              <w:rPr>
                <w:sz w:val="4"/>
                <w:szCs w:val="4"/>
              </w:rPr>
            </w:pPr>
            <w:r>
              <w:rPr>
                <w:sz w:val="4"/>
                <w:szCs w:val="4"/>
              </w:rPr>
            </w:r>
          </w:p>
        </w:tc>
        <w:tc>
          <w:tcPr>
            <w:tcW w:w="6832" w:type="dxa"/>
            <w:gridSpan w:val="2"/>
            <w:tcBorders>
              <w:left w:val="single" w:sz="2" w:space="0" w:color="FFFFFF"/>
            </w:tcBorders>
            <w:shd w:fill="262626" w:val="clear"/>
            <w:tcMar>
              <w:left w:w="28" w:type="dxa"/>
            </w:tcMar>
            <w:vAlign w:val="center"/>
          </w:tcPr>
          <w:p>
            <w:pPr>
              <w:pStyle w:val="TableContents"/>
              <w:spacing w:before="0" w:after="283"/>
              <w:rPr/>
            </w:pPr>
            <w:r>
              <w:rPr/>
              <w:t> </w:t>
            </w:r>
          </w:p>
        </w:tc>
      </w:tr>
      <w:tr>
        <w:trPr/>
        <w:tc>
          <w:tcPr>
            <w:tcW w:w="3373" w:type="dxa"/>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Termination Event</w:t>
            </w:r>
          </w:p>
        </w:tc>
        <w:tc>
          <w:tcPr>
            <w:tcW w:w="123"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6709" w:type="dxa"/>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Unvested PRSUs</w:t>
            </w:r>
          </w:p>
        </w:tc>
      </w:tr>
      <w:tr>
        <w:trPr>
          <w:trHeight w:val="75" w:hRule="atLeast"/>
        </w:trPr>
        <w:tc>
          <w:tcPr>
            <w:tcW w:w="3373" w:type="dxa"/>
            <w:tcBorders/>
            <w:shd w:fill="auto" w:val="clear"/>
            <w:vAlign w:val="center"/>
          </w:tcPr>
          <w:p>
            <w:pPr>
              <w:pStyle w:val="TableContents"/>
              <w:spacing w:before="0" w:after="283"/>
              <w:rPr>
                <w:sz w:val="4"/>
                <w:szCs w:val="4"/>
              </w:rPr>
            </w:pPr>
            <w:r>
              <w:rPr>
                <w:sz w:val="4"/>
                <w:szCs w:val="4"/>
              </w:rPr>
            </w:r>
          </w:p>
        </w:tc>
        <w:tc>
          <w:tcPr>
            <w:tcW w:w="6832"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373"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Normal Retirement</w:t>
            </w:r>
          </w:p>
        </w:tc>
        <w:tc>
          <w:tcPr>
            <w:tcW w:w="12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709" w:type="dxa"/>
            <w:tcBorders>
              <w:bottom w:val="single" w:sz="2" w:space="0" w:color="AFAFAF"/>
            </w:tcBorders>
            <w:shd w:fill="auto" w:val="clear"/>
            <w:tcMar>
              <w:bottom w:w="28" w:type="dxa"/>
            </w:tcMar>
          </w:tcPr>
          <w:p>
            <w:pPr>
              <w:pStyle w:val="TableContents"/>
              <w:spacing w:before="0" w:after="283"/>
              <w:rPr/>
            </w:pPr>
            <w:r>
              <w:rPr/>
              <w:t>Fully vested on the scheduled vesting date(s) (as adjusted to reflect actual performance) if the PRSUs have been outstanding for at least six months when Normal Retirement occurs. If the PRSUs have not been outstanding for that period, they would be forfeited.</w:t>
            </w:r>
          </w:p>
        </w:tc>
      </w:tr>
      <w:tr>
        <w:trPr>
          <w:trHeight w:val="75" w:hRule="atLeast"/>
        </w:trPr>
        <w:tc>
          <w:tcPr>
            <w:tcW w:w="3373" w:type="dxa"/>
            <w:tcBorders/>
            <w:shd w:fill="auto" w:val="clear"/>
            <w:vAlign w:val="center"/>
          </w:tcPr>
          <w:p>
            <w:pPr>
              <w:pStyle w:val="TableContents"/>
              <w:spacing w:before="0" w:after="283"/>
              <w:rPr>
                <w:sz w:val="4"/>
                <w:szCs w:val="4"/>
              </w:rPr>
            </w:pPr>
            <w:r>
              <w:rPr>
                <w:sz w:val="4"/>
                <w:szCs w:val="4"/>
              </w:rPr>
            </w:r>
          </w:p>
        </w:tc>
        <w:tc>
          <w:tcPr>
            <w:tcW w:w="6832" w:type="dxa"/>
            <w:gridSpan w:val="2"/>
            <w:tcBorders>
              <w:left w:val="single" w:sz="2" w:space="0" w:color="AFAFAF"/>
            </w:tcBorders>
            <w:shd w:fill="auto" w:val="clear"/>
            <w:tcMar>
              <w:left w:w="28" w:type="dxa"/>
            </w:tcMar>
            <w:vAlign w:val="center"/>
          </w:tcPr>
          <w:p>
            <w:pPr>
              <w:pStyle w:val="TableContents"/>
              <w:spacing w:before="0" w:after="283"/>
              <w:rPr/>
            </w:pPr>
            <w:r>
              <w:rPr/>
              <w:t> </w:t>
            </w:r>
          </w:p>
        </w:tc>
      </w:tr>
      <w:tr>
        <w:trPr/>
        <w:tc>
          <w:tcPr>
            <w:tcW w:w="3373"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Early Retirement</w:t>
            </w:r>
          </w:p>
        </w:tc>
        <w:tc>
          <w:tcPr>
            <w:tcW w:w="12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709" w:type="dxa"/>
            <w:tcBorders>
              <w:bottom w:val="single" w:sz="8" w:space="0" w:color="B94831"/>
            </w:tcBorders>
            <w:shd w:fill="auto" w:val="clear"/>
            <w:tcMar>
              <w:bottom w:w="28" w:type="dxa"/>
            </w:tcMar>
          </w:tcPr>
          <w:p>
            <w:pPr>
              <w:pStyle w:val="TableContents"/>
              <w:spacing w:before="0" w:after="283"/>
              <w:rPr/>
            </w:pPr>
            <w:r>
              <w:rPr/>
              <w:t>Pro rata vesting on the scheduled vesting date(s) based on active service as an employee (measured in calendar days) during the performance period (and as adjusted to reflect actual performance) if the PRSUs have been outstanding for at least six months when Early Retirement occurs. If the PRSUs have not been outstanding for that period, they would be forfeited.</w:t>
            </w:r>
          </w:p>
        </w:tc>
      </w:tr>
    </w:tbl>
    <w:p>
      <w:pPr>
        <w:pStyle w:val="TextBody"/>
        <w:spacing w:before="120" w:after="0"/>
        <w:jc w:val="left"/>
        <w:rPr>
          <w:rFonts w:ascii="arial" w:hAnsi="arial"/>
          <w:i/>
          <w:color w:val="B94831"/>
          <w:sz w:val="28"/>
        </w:rPr>
      </w:pPr>
      <w:r>
        <w:rPr>
          <w:rFonts w:ascii="arial" w:hAnsi="arial"/>
          <w:i/>
          <w:color w:val="B94831"/>
          <w:sz w:val="28"/>
        </w:rPr>
        <w:t xml:space="preserve">Change of Control </w:t>
      </w:r>
    </w:p>
    <w:p>
      <w:pPr>
        <w:pStyle w:val="TextBody"/>
        <w:spacing w:before="120" w:after="0"/>
        <w:jc w:val="left"/>
        <w:rPr>
          <w:rFonts w:ascii="arial" w:hAnsi="arial"/>
          <w:sz w:val="20"/>
        </w:rPr>
      </w:pPr>
      <w:r>
        <w:rPr>
          <w:rFonts w:ascii="arial" w:hAnsi="arial"/>
          <w:sz w:val="20"/>
        </w:rPr>
        <w:t xml:space="preserve">A Change of Control for purposes of our incentive plan awards would occur in the following circumstances: (i) all or substantially all of the assets of our company are sold, assigned or transferred other than to a subsidiary; (ii) a change in a majority of our Board members; (iii) 50% or more of our companys outstanding voting securities are acquired by someone other than Woodbridge; or (iv) a going private transaction results in Woodbridge owning more than 50% of our companys outstanding voting securities. </w:t>
      </w:r>
    </w:p>
    <w:p>
      <w:pPr>
        <w:pStyle w:val="TextBody"/>
        <w:spacing w:before="120" w:after="0"/>
        <w:jc w:val="left"/>
        <w:rPr>
          <w:rFonts w:ascii="arial" w:hAnsi="arial"/>
          <w:sz w:val="20"/>
        </w:rPr>
      </w:pPr>
      <w:r>
        <w:rPr>
          <w:rFonts w:ascii="arial" w:hAnsi="arial"/>
          <w:sz w:val="20"/>
        </w:rPr>
        <w:t xml:space="preserve">The Change of Control treatment described in the tables above is based on the surviving, successor or acquiring company assuming our outstanding incentive plan awards or substituting similar options or awards for our outstanding incentive plan awards. If the surviving, successor or acquiring company does not assume our outstanding incentive plan awards or substitute similar options or awards for our outstanding incentive plan awards, or our Board otherwise determines, our incentive plan awards will generally vest. </w:t>
      </w:r>
    </w:p>
    <w:p>
      <w:pPr>
        <w:pStyle w:val="TextBody"/>
        <w:spacing w:before="120" w:after="0"/>
        <w:jc w:val="left"/>
        <w:rPr>
          <w:rFonts w:ascii="arial" w:hAnsi="arial"/>
          <w:sz w:val="20"/>
        </w:rPr>
      </w:pPr>
      <w:r>
        <w:rPr>
          <w:rFonts w:ascii="arial" w:hAnsi="arial"/>
          <w:sz w:val="20"/>
        </w:rPr>
        <w:t xml:space="preserve">In the event of a Change of Control, our Board also has the power to (i) modify the terms of our annual incentive awards as it considers fair and appropriate to participants; (ii) modify the terms of our annual incentive awards to assist participation in the actual or potential Change of Control event; or (iii) terminate annual incentive awards not exercised or settled following the Change of Control. </w:t>
      </w:r>
    </w:p>
    <w:p>
      <w:pPr>
        <w:pStyle w:val="TextBody"/>
        <w:spacing w:before="120" w:after="0"/>
        <w:jc w:val="left"/>
        <w:rPr>
          <w:rFonts w:ascii="arial" w:hAnsi="arial"/>
          <w:i/>
          <w:color w:val="B94831"/>
          <w:sz w:val="28"/>
        </w:rPr>
      </w:pPr>
      <w:r>
        <w:rPr>
          <w:rFonts w:ascii="arial" w:hAnsi="arial"/>
          <w:i/>
          <w:color w:val="B94831"/>
          <w:sz w:val="28"/>
        </w:rPr>
        <w:t xml:space="preserve">Pension and benefits </w:t>
      </w:r>
    </w:p>
    <w:p>
      <w:pPr>
        <w:pStyle w:val="TextBody"/>
        <w:spacing w:before="40" w:after="0"/>
        <w:jc w:val="left"/>
        <w:rPr>
          <w:rFonts w:ascii="arial" w:hAnsi="arial"/>
          <w:sz w:val="20"/>
        </w:rPr>
      </w:pPr>
      <w:r>
        <w:rPr>
          <w:rFonts w:ascii="arial" w:hAnsi="arial"/>
          <w:sz w:val="20"/>
        </w:rPr>
        <w:t xml:space="preserve">For pensions, Brian Peccarelli was not entitled to incremental pension-related payments or benefits in connection with his termination of employment. Information regarding his pension benefits is included in the Defined Benefits Plans Table earlier in this circular. </w:t>
      </w:r>
    </w:p>
    <w:p>
      <w:pPr>
        <w:pStyle w:val="TextBody"/>
        <w:spacing w:before="120" w:after="0"/>
        <w:jc w:val="left"/>
        <w:rPr>
          <w:rFonts w:ascii="arial" w:hAnsi="arial"/>
          <w:sz w:val="20"/>
        </w:rPr>
      </w:pPr>
      <w:r>
        <w:rPr>
          <w:rFonts w:ascii="arial" w:hAnsi="arial"/>
          <w:sz w:val="20"/>
        </w:rPr>
        <w:t xml:space="preserve">For benefits, each named executive officer would be entitled to continuation of executive physicals, tax, financial planning and outplacement assistance and continuation of generally available health and welfare benefits during the applicable period following termination. </w:t>
      </w:r>
    </w:p>
    <w:p>
      <w:pPr>
        <w:pStyle w:val="TextBody"/>
        <w:spacing w:before="120" w:after="0"/>
        <w:jc w:val="left"/>
        <w:rPr>
          <w:rFonts w:ascii="arial" w:hAnsi="arial"/>
          <w:i/>
          <w:color w:val="B94831"/>
          <w:sz w:val="28"/>
        </w:rPr>
      </w:pPr>
      <w:r>
        <w:rPr>
          <w:rFonts w:ascii="arial" w:hAnsi="arial"/>
          <w:i/>
          <w:color w:val="B94831"/>
          <w:sz w:val="28"/>
        </w:rPr>
        <w:t xml:space="preserve">Other terms and conditions </w:t>
      </w:r>
    </w:p>
    <w:p>
      <w:pPr>
        <w:pStyle w:val="TextBody"/>
        <w:spacing w:before="40" w:after="0"/>
        <w:jc w:val="left"/>
        <w:rPr>
          <w:rFonts w:ascii="arial" w:hAnsi="arial"/>
          <w:sz w:val="20"/>
        </w:rPr>
      </w:pPr>
      <w:r>
        <w:rPr>
          <w:rFonts w:ascii="arial" w:hAnsi="arial"/>
          <w:sz w:val="20"/>
        </w:rPr>
        <w:t xml:space="preserve">Our named executive officers do not have a right to receive a gross-up for any taxes that might be due upon termination. </w:t>
      </w:r>
    </w:p>
    <w:p>
      <w:pPr>
        <w:pStyle w:val="TextBody"/>
        <w:spacing w:before="120" w:after="0"/>
        <w:jc w:val="left"/>
        <w:rPr>
          <w:rFonts w:ascii="arial" w:hAnsi="arial"/>
          <w:sz w:val="20"/>
        </w:rPr>
      </w:pPr>
      <w:r>
        <w:rPr>
          <w:rFonts w:ascii="arial" w:hAnsi="arial"/>
          <w:sz w:val="20"/>
        </w:rPr>
        <w:t xml:space="preserve">In the event of termination without cause, each named executive officer would be required to provide a release and waiver of employment and other claims in favor of our company in connection with receiving severance benefits. Each named executive officer has agreed to a set of restrictive covenants (e.g., non-compete, non-solicit, non-disparagement and confidentiality obligations) as part of PRSU, TRSU and/or stock option award terms and conditions. </w:t>
      </w:r>
    </w:p>
    <w:p>
      <w:pPr>
        <w:pStyle w:val="TextBody"/>
        <w:spacing w:before="120" w:after="0"/>
        <w:jc w:val="left"/>
        <w:rPr>
          <w:rFonts w:ascii="arial" w:hAnsi="arial"/>
          <w:sz w:val="20"/>
        </w:rPr>
      </w:pPr>
      <w:r>
        <w:rPr>
          <w:rFonts w:ascii="arial" w:hAnsi="arial"/>
          <w:sz w:val="20"/>
        </w:rPr>
        <w:t xml:space="preserve">Amounts actually received should any of the named executive officers cease to be employed will vary based on factors such as the timing during the year of any such event, our share price, the executives age, the circumstances of termination and any changes to our benefit arrangements and policies.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i/>
          <w:color w:val="B94831"/>
          <w:sz w:val="28"/>
        </w:rPr>
      </w:pPr>
      <w:r>
        <w:rPr>
          <w:rFonts w:ascii="arial" w:hAnsi="arial"/>
          <w:i/>
          <w:color w:val="B94831"/>
          <w:sz w:val="28"/>
        </w:rPr>
        <w:t xml:space="preserve">Agreement with Steve Hasker </w:t>
      </w:r>
    </w:p>
    <w:p>
      <w:pPr>
        <w:pStyle w:val="TextBody"/>
        <w:spacing w:before="40" w:after="0"/>
        <w:jc w:val="left"/>
        <w:rPr>
          <w:rFonts w:ascii="arial" w:hAnsi="arial"/>
          <w:sz w:val="20"/>
        </w:rPr>
      </w:pPr>
      <w:r>
        <w:rPr>
          <w:rFonts w:ascii="arial" w:hAnsi="arial"/>
          <w:sz w:val="20"/>
        </w:rPr>
        <w:t xml:space="preserve">We agreed with Steve Hasker that any PRSUs, TRSUs and stock options granted to him in 2020 and 2021 will vest in full in the event of his involuntary termination without cause or his resignation for good reason within 48 months of his start date with our company. Equity awards granted to Steve in 2022 and later years are subject to standard grant terms and conditions. </w:t>
      </w:r>
    </w:p>
    <w:p>
      <w:pPr>
        <w:pStyle w:val="TextBody"/>
        <w:spacing w:before="120" w:after="0"/>
        <w:jc w:val="left"/>
        <w:rPr>
          <w:rFonts w:ascii="arial" w:hAnsi="arial"/>
          <w:sz w:val="20"/>
        </w:rPr>
      </w:pPr>
      <w:r>
        <w:rPr>
          <w:rFonts w:ascii="arial" w:hAnsi="arial"/>
          <w:sz w:val="20"/>
        </w:rPr>
        <w:t xml:space="preserve">Prior to August 24, 2024 (and, in either event, at least six months prior to the fifth anniversary of Steve becoming a Canadian tax resident) (referred to as the Departure Tax Trigger Date), our company and Steve will undertake to analyze the impact to him of tax that may be levied by Canada Revenue Agency on the deemed disposition of certain types of assets when a person emigrates from Canada if his employment were to terminate with Thomson Reuters following the Departure Tax Trigger Date and he were to relocate back to the United States or to any other jurisdiction outside of Canada. Prior to a date which is 30 days prior to the Departure Tax Trigger Date, our company will choose, after good faith consultation with Steve, a commercially reasonable step to deal with the impact to him of the Canadian departure tax at no net cost to him. Such a step may include relocating Steves primary place of employment to any of Thomson Reuters offices in Ann Arbor, Dallas, Minneapolis-St. Paul or New York City (with such choice of location to be the subject of consultation with Steve, but ultimately within Thomson Reuters sole discretion taking into account the best interests of our company). Any such relocation shall not constitute Good Reason for purposes of Steves employment agreement with our company. </w:t>
      </w:r>
    </w:p>
    <w:p>
      <w:pPr>
        <w:pStyle w:val="TextBody"/>
        <w:spacing w:before="120" w:after="0"/>
        <w:jc w:val="left"/>
        <w:rPr>
          <w:rFonts w:ascii="arial" w:hAnsi="arial"/>
          <w:i/>
          <w:color w:val="B94831"/>
          <w:sz w:val="28"/>
        </w:rPr>
      </w:pPr>
      <w:r>
        <w:rPr>
          <w:rFonts w:ascii="arial" w:hAnsi="arial"/>
          <w:i/>
          <w:color w:val="B94831"/>
          <w:sz w:val="28"/>
        </w:rPr>
        <w:t xml:space="preserve">Agreements with Brian Peccarelli </w:t>
      </w:r>
    </w:p>
    <w:p>
      <w:pPr>
        <w:pStyle w:val="TextBody"/>
        <w:spacing w:before="40" w:after="0"/>
        <w:jc w:val="left"/>
        <w:rPr>
          <w:rFonts w:ascii="arial" w:hAnsi="arial"/>
          <w:sz w:val="20"/>
        </w:rPr>
      </w:pPr>
      <w:r>
        <w:rPr>
          <w:rFonts w:ascii="arial" w:hAnsi="arial"/>
          <w:sz w:val="20"/>
        </w:rPr>
        <w:t xml:space="preserve">We recently signed a separation agreement with Mr. Peccarelli, whose last day of employment with our company was on April 3, 2023. Mr. Peccarelli will receive the standard severance payment for an executive officer (24 months of salary continuation). His outstanding PRSUs, TRSUs and stock options will be treated in accordance with standard award terms and conditions for involuntary termination without cause, as described in this section. Mr. Peccarelli will be entitled to continued participation in group medical, dental and vision plans during the severance period at the same cost to him as during his active service as an employee. </w:t>
      </w:r>
    </w:p>
    <w:p>
      <w:pPr>
        <w:pStyle w:val="TextBody"/>
        <w:spacing w:before="120" w:after="0"/>
        <w:jc w:val="left"/>
        <w:rPr>
          <w:rFonts w:ascii="arial" w:hAnsi="arial"/>
          <w:sz w:val="20"/>
        </w:rPr>
      </w:pPr>
      <w:r>
        <w:rPr>
          <w:rFonts w:ascii="arial" w:hAnsi="arial"/>
          <w:sz w:val="20"/>
        </w:rPr>
        <w:t xml:space="preserve">Mr. Peccarelli is subject to non-compete, non-solicit, non-disparagement and confidentiality undertakings as part of his separation agreement. The non-compete undertaking and the non-solicit undertaking are each for a one-year period. In connection with receiving severance benefits, Mr. Peccarelli provided a release and waiver of employment and other claims in favor of our company. </w:t>
      </w:r>
    </w:p>
    <w:p>
      <w:pPr>
        <w:pStyle w:val="TextBody"/>
        <w:spacing w:before="120" w:after="0"/>
        <w:jc w:val="left"/>
        <w:rPr>
          <w:rFonts w:ascii="arial" w:hAnsi="arial"/>
          <w:sz w:val="20"/>
        </w:rPr>
      </w:pPr>
      <w:r>
        <w:rPr>
          <w:rFonts w:ascii="arial" w:hAnsi="arial"/>
          <w:sz w:val="20"/>
        </w:rPr>
        <w:t xml:space="preserve">We also signed a transitional services consulting agreement with Mr. Peccarelli to provide periodic advisory services for one year beginning on April 4, 2023. The term of this agreement can be extended by mutual agreement of the parties. It is estimated that Mr. Peccarelli will provide services totaling no more than 30 days per year or 25 hours in a given month. Under this agreement, Mr. Peccarelli is entitled to a fee of $5,000 per day (or $2,500 per half day) worked and reimbursement of reasonable travel and out-of-pocket expenses incurred in connection with the provision of advisory services to Thomson Reuters.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Estimated incremental values </w:t>
      </w:r>
    </w:p>
    <w:p>
      <w:pPr>
        <w:pStyle w:val="TextBody"/>
        <w:spacing w:before="40" w:after="0"/>
        <w:jc w:val="left"/>
        <w:rPr>
          <w:rFonts w:ascii="arial" w:hAnsi="arial"/>
          <w:sz w:val="20"/>
        </w:rPr>
      </w:pPr>
      <w:r>
        <w:rPr>
          <w:rFonts w:ascii="arial" w:hAnsi="arial"/>
          <w:sz w:val="20"/>
        </w:rPr>
        <w:t xml:space="preserve">Each named executive officer (other than Brian Peccarelli, whose employment terminated on April 3, 2023) may be eligible to receive certain incremental payments and benefits upon termination of employment under various circumstances. The table below includes the value of incremental compensation that would be available to each named executive officer (other than Brian Peccarelli) upon the applicable specified event. Payments and benefits contemplated by plan or award terms and conditions are not reflected in the table. The amounts in the table assume that the named executive officer left our company on December 31, 2022. The closing price of our common shares on the NYSE on that date was $114.07. </w:t>
      </w:r>
    </w:p>
    <w:p>
      <w:pPr>
        <w:pStyle w:val="TextBody"/>
        <w:spacing w:before="0" w:after="0"/>
        <w:jc w:val="left"/>
        <w:rPr/>
      </w:pPr>
      <w:r>
        <w:rPr/>
        <w:t> </w:t>
      </w:r>
    </w:p>
    <w:tbl>
      <w:tblPr>
        <w:tblW w:w="10325" w:type="dxa"/>
        <w:jc w:val="center"/>
        <w:tblInd w:w="0" w:type="dxa"/>
        <w:tblCellMar>
          <w:top w:w="0" w:type="dxa"/>
          <w:left w:w="0" w:type="dxa"/>
          <w:bottom w:w="0" w:type="dxa"/>
          <w:right w:w="0" w:type="dxa"/>
        </w:tblCellMar>
      </w:tblPr>
      <w:tblGrid>
        <w:gridCol w:w="1040"/>
        <w:gridCol w:w="60"/>
        <w:gridCol w:w="186"/>
        <w:gridCol w:w="1469"/>
        <w:gridCol w:w="60"/>
        <w:gridCol w:w="60"/>
        <w:gridCol w:w="1265"/>
        <w:gridCol w:w="60"/>
        <w:gridCol w:w="1685"/>
        <w:gridCol w:w="60"/>
        <w:gridCol w:w="1760"/>
        <w:gridCol w:w="60"/>
        <w:gridCol w:w="182"/>
        <w:gridCol w:w="888"/>
        <w:gridCol w:w="60"/>
        <w:gridCol w:w="60"/>
        <w:gridCol w:w="163"/>
        <w:gridCol w:w="1147"/>
        <w:gridCol w:w="60"/>
      </w:tblGrid>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040" w:type="dxa"/>
            <w:tcBorders/>
            <w:shd w:fill="auto" w:val="clear"/>
            <w:vAlign w:val="center"/>
          </w:tcPr>
          <w:p>
            <w:pPr>
              <w:pStyle w:val="TableContents"/>
              <w:spacing w:before="0" w:after="283"/>
              <w:rPr>
                <w:sz w:val="4"/>
                <w:szCs w:val="4"/>
              </w:rPr>
            </w:pPr>
            <w:r>
              <w:rPr>
                <w:sz w:val="4"/>
                <w:szCs w:val="4"/>
              </w:rPr>
            </w:r>
          </w:p>
        </w:tc>
        <w:tc>
          <w:tcPr>
            <w:tcW w:w="1775" w:type="dxa"/>
            <w:gridSpan w:val="4"/>
            <w:tcBorders>
              <w:left w:val="single" w:sz="2" w:space="0" w:color="AFAFAF"/>
            </w:tcBorders>
            <w:shd w:fill="262626" w:val="clear"/>
            <w:tcMar>
              <w:left w:w="28" w:type="dxa"/>
            </w:tcMar>
            <w:vAlign w:val="center"/>
          </w:tcPr>
          <w:p>
            <w:pPr>
              <w:pStyle w:val="TableContents"/>
              <w:spacing w:before="0" w:after="283"/>
              <w:rPr/>
            </w:pPr>
            <w:r>
              <w:rPr/>
              <w:t> </w:t>
            </w:r>
          </w:p>
        </w:tc>
        <w:tc>
          <w:tcPr>
            <w:tcW w:w="1325"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745"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820" w:type="dxa"/>
            <w:gridSpan w:val="2"/>
            <w:tcBorders>
              <w:left w:val="single" w:sz="2" w:space="0" w:color="FFFFFF"/>
            </w:tcBorders>
            <w:shd w:fill="262626" w:val="clear"/>
            <w:tcMar>
              <w:left w:w="28" w:type="dxa"/>
            </w:tcMar>
            <w:vAlign w:val="center"/>
          </w:tcPr>
          <w:p>
            <w:pPr>
              <w:pStyle w:val="TableContents"/>
              <w:spacing w:before="0" w:after="283"/>
              <w:rPr/>
            </w:pPr>
            <w:r>
              <w:rPr/>
              <w:t> </w:t>
            </w:r>
          </w:p>
        </w:tc>
        <w:tc>
          <w:tcPr>
            <w:tcW w:w="1190" w:type="dxa"/>
            <w:gridSpan w:val="4"/>
            <w:tcBorders>
              <w:left w:val="single" w:sz="2" w:space="0" w:color="FFFFFF"/>
            </w:tcBorders>
            <w:shd w:fill="262626" w:val="clear"/>
            <w:tcMar>
              <w:left w:w="28" w:type="dxa"/>
            </w:tcMar>
            <w:vAlign w:val="center"/>
          </w:tcPr>
          <w:p>
            <w:pPr>
              <w:pStyle w:val="TableContents"/>
              <w:spacing w:before="0" w:after="283"/>
              <w:rPr/>
            </w:pPr>
            <w:r>
              <w:rPr/>
              <w:t> </w:t>
            </w:r>
          </w:p>
        </w:tc>
        <w:tc>
          <w:tcPr>
            <w:tcW w:w="1430" w:type="dxa"/>
            <w:gridSpan w:val="4"/>
            <w:tcBorders>
              <w:left w:val="single" w:sz="2" w:space="0" w:color="FFFFFF"/>
            </w:tcBorders>
            <w:shd w:fill="262626" w:val="clear"/>
            <w:tcMar>
              <w:left w:w="28" w:type="dxa"/>
            </w:tcMar>
            <w:vAlign w:val="center"/>
          </w:tcPr>
          <w:p>
            <w:pPr>
              <w:pStyle w:val="TableContents"/>
              <w:spacing w:before="0" w:after="283"/>
              <w:rPr/>
            </w:pPr>
            <w:r>
              <w:rPr/>
              <w:t> </w:t>
            </w:r>
          </w:p>
        </w:tc>
      </w:tr>
      <w:tr>
        <w:trPr/>
        <w:tc>
          <w:tcPr>
            <w:tcW w:w="1040" w:type="dxa"/>
            <w:tcBorders>
              <w:bottom w:val="single" w:sz="2"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655"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Involuntary</w:t>
              <w:br/>
              <w:t>Termination</w:t>
              <w:br/>
              <w:t>without Cause</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265"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Early</w:t>
              <w:br/>
              <w:t>Retirement</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685"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Involuntary</w:t>
              <w:br/>
              <w:t>termination for</w:t>
              <w:br/>
              <w:t>Cause or</w:t>
              <w:br/>
              <w:t>voluntary</w:t>
              <w:br/>
              <w:t>resignation</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760" w:type="dxa"/>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Termination for</w:t>
              <w:br/>
              <w:t>good reason</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070"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Death or</w:t>
              <w:br/>
              <w:t>Disability</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c>
          <w:tcPr>
            <w:tcW w:w="60" w:type="dxa"/>
            <w:tcBorders>
              <w:left w:val="single" w:sz="2" w:space="0" w:color="FFFFFF"/>
              <w:bottom w:val="single" w:sz="2" w:space="0" w:color="B94831"/>
            </w:tcBorders>
            <w:shd w:fill="262626" w:val="clear"/>
            <w:tcMar>
              <w:left w:w="28" w:type="dxa"/>
              <w:bottom w:w="28" w:type="dxa"/>
            </w:tcMar>
            <w:vAlign w:val="bottom"/>
          </w:tcPr>
          <w:p>
            <w:pPr>
              <w:pStyle w:val="TableContents"/>
              <w:spacing w:before="0" w:after="283"/>
              <w:rPr/>
            </w:pPr>
            <w:r>
              <w:rPr/>
              <w:t> </w:t>
            </w:r>
          </w:p>
        </w:tc>
        <w:tc>
          <w:tcPr>
            <w:tcW w:w="1310" w:type="dxa"/>
            <w:gridSpan w:val="2"/>
            <w:tcBorders>
              <w:bottom w:val="single" w:sz="2" w:space="0" w:color="B94831"/>
            </w:tcBorders>
            <w:shd w:fill="262626" w:val="clear"/>
            <w:tcMar>
              <w:bottom w:w="28" w:type="dxa"/>
            </w:tcMar>
            <w:vAlign w:val="bottom"/>
          </w:tcPr>
          <w:p>
            <w:pPr>
              <w:pStyle w:val="TableContents"/>
              <w:spacing w:before="0" w:after="283"/>
              <w:jc w:val="right"/>
              <w:rPr>
                <w:rFonts w:ascii="Arial" w:hAnsi="Arial"/>
                <w:b/>
                <w:color w:val="FFFFFF"/>
              </w:rPr>
            </w:pPr>
            <w:r>
              <w:rPr>
                <w:rFonts w:ascii="Arial" w:hAnsi="Arial"/>
                <w:b/>
                <w:color w:val="FFFFFF"/>
              </w:rPr>
              <w:t>Qualifying</w:t>
              <w:br/>
              <w:t>double</w:t>
              <w:br/>
              <w:t>trigger</w:t>
              <w:br/>
              <w:t>termination</w:t>
              <w:br/>
              <w:t>following  a</w:t>
              <w:br/>
              <w:t>Change of</w:t>
              <w:br/>
              <w:t>Control1</w:t>
            </w:r>
          </w:p>
        </w:tc>
        <w:tc>
          <w:tcPr>
            <w:tcW w:w="60" w:type="dxa"/>
            <w:tcBorders>
              <w:bottom w:val="single" w:sz="2" w:space="0" w:color="B94831"/>
            </w:tcBorders>
            <w:shd w:fill="262626"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Steve Hasker</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Severance</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w:t>
            </w:r>
          </w:p>
        </w:tc>
        <w:tc>
          <w:tcPr>
            <w:tcW w:w="1469" w:type="dxa"/>
            <w:tcBorders>
              <w:bottom w:val="single" w:sz="2" w:space="0" w:color="AFAFAF"/>
            </w:tcBorders>
            <w:shd w:fill="auto" w:val="clear"/>
            <w:tcMar>
              <w:bottom w:w="28" w:type="dxa"/>
            </w:tcMar>
            <w:vAlign w:val="bottom"/>
          </w:tcPr>
          <w:p>
            <w:pPr>
              <w:pStyle w:val="TableContents"/>
              <w:spacing w:before="0" w:after="283"/>
              <w:jc w:val="right"/>
              <w:rPr/>
            </w:pPr>
            <w:r>
              <w:rPr/>
              <w:t>2,293,370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w:t>
            </w:r>
          </w:p>
        </w:tc>
        <w:tc>
          <w:tcPr>
            <w:tcW w:w="1147" w:type="dxa"/>
            <w:tcBorders>
              <w:bottom w:val="single" w:sz="2" w:space="0" w:color="AFAFAF"/>
            </w:tcBorders>
            <w:shd w:fill="auto" w:val="clear"/>
            <w:tcMar>
              <w:bottom w:w="28" w:type="dxa"/>
            </w:tcMar>
            <w:vAlign w:val="bottom"/>
          </w:tcPr>
          <w:p>
            <w:pPr>
              <w:pStyle w:val="TableContents"/>
              <w:spacing w:before="0" w:after="283"/>
              <w:jc w:val="right"/>
              <w:rPr/>
            </w:pPr>
            <w:r>
              <w:rPr/>
              <w:t>2,293,370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Equity-based compensation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$6,412,000</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$20,863,500</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Pension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Benefits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70,000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14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8,775,370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$20,863,500</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w:t>
            </w:r>
          </w:p>
        </w:tc>
        <w:tc>
          <w:tcPr>
            <w:tcW w:w="1147" w:type="dxa"/>
            <w:tcBorders>
              <w:bottom w:val="single" w:sz="8" w:space="0" w:color="B94831"/>
            </w:tcBorders>
            <w:shd w:fill="auto" w:val="clear"/>
            <w:tcMar>
              <w:bottom w:w="28" w:type="dxa"/>
            </w:tcMar>
            <w:vAlign w:val="bottom"/>
          </w:tcPr>
          <w:p>
            <w:pPr>
              <w:pStyle w:val="TableContents"/>
              <w:spacing w:before="0" w:after="283"/>
              <w:jc w:val="right"/>
              <w:rPr/>
            </w:pPr>
            <w:r>
              <w:rPr/>
              <w:t>2,293,370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Mike Eastwood</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Severance</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w:t>
            </w:r>
          </w:p>
        </w:tc>
        <w:tc>
          <w:tcPr>
            <w:tcW w:w="1469" w:type="dxa"/>
            <w:tcBorders>
              <w:bottom w:val="single" w:sz="2" w:space="0" w:color="AFAFAF"/>
            </w:tcBorders>
            <w:shd w:fill="auto" w:val="clear"/>
            <w:tcMar>
              <w:bottom w:w="28" w:type="dxa"/>
            </w:tcMar>
            <w:vAlign w:val="bottom"/>
          </w:tcPr>
          <w:p>
            <w:pPr>
              <w:pStyle w:val="TableContents"/>
              <w:spacing w:before="0" w:after="283"/>
              <w:jc w:val="right"/>
              <w:rPr/>
            </w:pPr>
            <w:r>
              <w:rPr/>
              <w:t>1,418,975</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w:t>
            </w:r>
          </w:p>
        </w:tc>
        <w:tc>
          <w:tcPr>
            <w:tcW w:w="1147" w:type="dxa"/>
            <w:tcBorders>
              <w:bottom w:val="single" w:sz="2" w:space="0" w:color="AFAFAF"/>
            </w:tcBorders>
            <w:shd w:fill="auto" w:val="clear"/>
            <w:tcMar>
              <w:bottom w:w="28" w:type="dxa"/>
            </w:tcMar>
            <w:vAlign w:val="bottom"/>
          </w:tcPr>
          <w:p>
            <w:pPr>
              <w:pStyle w:val="TableContents"/>
              <w:spacing w:before="0" w:after="283"/>
              <w:jc w:val="right"/>
              <w:rPr/>
            </w:pPr>
            <w:r>
              <w:rPr/>
              <w:t>1,418,975</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Equity-based compensation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Pension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Benefits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70,000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14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1,488,975</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w:t>
            </w:r>
          </w:p>
        </w:tc>
        <w:tc>
          <w:tcPr>
            <w:tcW w:w="1147" w:type="dxa"/>
            <w:tcBorders>
              <w:bottom w:val="single" w:sz="8" w:space="0" w:color="B94831"/>
            </w:tcBorders>
            <w:shd w:fill="auto" w:val="clear"/>
            <w:tcMar>
              <w:bottom w:w="28" w:type="dxa"/>
            </w:tcMar>
            <w:vAlign w:val="bottom"/>
          </w:tcPr>
          <w:p>
            <w:pPr>
              <w:pStyle w:val="TableContents"/>
              <w:spacing w:before="0" w:after="283"/>
              <w:jc w:val="right"/>
              <w:rPr/>
            </w:pPr>
            <w:r>
              <w:rPr/>
              <w:t>1,418,975</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Kirsty Roth</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Severance</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w:t>
            </w:r>
          </w:p>
        </w:tc>
        <w:tc>
          <w:tcPr>
            <w:tcW w:w="1469" w:type="dxa"/>
            <w:tcBorders>
              <w:bottom w:val="single" w:sz="2" w:space="0" w:color="AFAFAF"/>
            </w:tcBorders>
            <w:shd w:fill="auto" w:val="clear"/>
            <w:tcMar>
              <w:bottom w:w="28" w:type="dxa"/>
            </w:tcMar>
            <w:vAlign w:val="bottom"/>
          </w:tcPr>
          <w:p>
            <w:pPr>
              <w:pStyle w:val="TableContents"/>
              <w:spacing w:before="0" w:after="283"/>
              <w:jc w:val="right"/>
              <w:rPr/>
            </w:pPr>
            <w:r>
              <w:rPr/>
              <w:t>1,437,249</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w:t>
            </w:r>
          </w:p>
        </w:tc>
        <w:tc>
          <w:tcPr>
            <w:tcW w:w="1147" w:type="dxa"/>
            <w:tcBorders>
              <w:bottom w:val="single" w:sz="2" w:space="0" w:color="AFAFAF"/>
            </w:tcBorders>
            <w:shd w:fill="auto" w:val="clear"/>
            <w:tcMar>
              <w:bottom w:w="28" w:type="dxa"/>
            </w:tcMar>
            <w:vAlign w:val="bottom"/>
          </w:tcPr>
          <w:p>
            <w:pPr>
              <w:pStyle w:val="TableContents"/>
              <w:spacing w:before="0" w:after="283"/>
              <w:jc w:val="right"/>
              <w:rPr/>
            </w:pPr>
            <w:r>
              <w:rPr/>
              <w:t>1,437,249</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Equity-based compensation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Pension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Benefits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70,000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14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1,507,249</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w:t>
            </w:r>
          </w:p>
        </w:tc>
        <w:tc>
          <w:tcPr>
            <w:tcW w:w="1147" w:type="dxa"/>
            <w:tcBorders>
              <w:bottom w:val="single" w:sz="8" w:space="0" w:color="B94831"/>
            </w:tcBorders>
            <w:shd w:fill="auto" w:val="clear"/>
            <w:tcMar>
              <w:bottom w:w="28" w:type="dxa"/>
            </w:tcMar>
            <w:vAlign w:val="bottom"/>
          </w:tcPr>
          <w:p>
            <w:pPr>
              <w:pStyle w:val="TableContents"/>
              <w:spacing w:before="0" w:after="283"/>
              <w:jc w:val="right"/>
              <w:rPr/>
            </w:pPr>
            <w:r>
              <w:rPr/>
              <w:t>1,437,249</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David Wong</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Severance</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w:t>
            </w:r>
          </w:p>
        </w:tc>
        <w:tc>
          <w:tcPr>
            <w:tcW w:w="1469" w:type="dxa"/>
            <w:tcBorders>
              <w:bottom w:val="single" w:sz="2" w:space="0" w:color="AFAFAF"/>
            </w:tcBorders>
            <w:shd w:fill="auto" w:val="clear"/>
            <w:tcMar>
              <w:bottom w:w="28" w:type="dxa"/>
            </w:tcMar>
            <w:vAlign w:val="bottom"/>
          </w:tcPr>
          <w:p>
            <w:pPr>
              <w:pStyle w:val="TableContents"/>
              <w:spacing w:before="0" w:after="283"/>
              <w:jc w:val="right"/>
              <w:rPr/>
            </w:pPr>
            <w:r>
              <w:rPr/>
              <w:t>1,214,949</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w:t>
            </w:r>
          </w:p>
        </w:tc>
        <w:tc>
          <w:tcPr>
            <w:tcW w:w="1147" w:type="dxa"/>
            <w:tcBorders>
              <w:bottom w:val="single" w:sz="2" w:space="0" w:color="AFAFAF"/>
            </w:tcBorders>
            <w:shd w:fill="auto" w:val="clear"/>
            <w:tcMar>
              <w:bottom w:w="28" w:type="dxa"/>
            </w:tcMar>
            <w:vAlign w:val="bottom"/>
          </w:tcPr>
          <w:p>
            <w:pPr>
              <w:pStyle w:val="TableContents"/>
              <w:spacing w:before="0" w:after="283"/>
              <w:jc w:val="right"/>
              <w:rPr/>
            </w:pPr>
            <w:r>
              <w:rPr/>
              <w:t>1,214,949</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Equity-based compensation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2" w:space="0" w:color="AFAFAF"/>
            </w:tcBorders>
            <w:shd w:fill="auto" w:val="clear"/>
            <w:tcMar>
              <w:bottom w:w="28" w:type="dxa"/>
            </w:tcMar>
          </w:tcPr>
          <w:p>
            <w:pPr>
              <w:pStyle w:val="TableContents"/>
              <w:spacing w:before="0" w:after="0"/>
              <w:rPr>
                <w:rFonts w:ascii="arial" w:hAnsi="arial"/>
                <w:sz w:val="16"/>
              </w:rPr>
            </w:pPr>
            <w:r>
              <w:rPr>
                <w:rFonts w:ascii="arial" w:hAnsi="arial"/>
                <w:sz w:val="16"/>
              </w:rPr>
              <w:t>Pension</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6" w:type="dxa"/>
            <w:tcBorders>
              <w:bottom w:val="single" w:sz="2" w:space="0" w:color="AFAFAF"/>
            </w:tcBorders>
            <w:shd w:fill="auto" w:val="clear"/>
            <w:tcMar>
              <w:bottom w:w="28" w:type="dxa"/>
            </w:tcMar>
            <w:vAlign w:val="bottom"/>
          </w:tcPr>
          <w:p>
            <w:pPr>
              <w:pStyle w:val="TableContents"/>
              <w:spacing w:before="0" w:after="283"/>
              <w:rPr/>
            </w:pPr>
            <w:r>
              <w:rPr/>
              <w:t> </w:t>
            </w:r>
          </w:p>
        </w:tc>
        <w:tc>
          <w:tcPr>
            <w:tcW w:w="1469"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85"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760"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82" w:type="dxa"/>
            <w:tcBorders>
              <w:bottom w:val="single" w:sz="2" w:space="0" w:color="AFAFAF"/>
            </w:tcBorders>
            <w:shd w:fill="auto" w:val="clear"/>
            <w:tcMar>
              <w:bottom w:w="28" w:type="dxa"/>
            </w:tcMar>
            <w:vAlign w:val="bottom"/>
          </w:tcPr>
          <w:p>
            <w:pPr>
              <w:pStyle w:val="TableContents"/>
              <w:spacing w:before="0" w:after="283"/>
              <w:rPr/>
            </w:pPr>
            <w:r>
              <w:rPr/>
              <w:t> </w:t>
            </w:r>
          </w:p>
        </w:tc>
        <w:tc>
          <w:tcPr>
            <w:tcW w:w="888"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163" w:type="dxa"/>
            <w:tcBorders>
              <w:bottom w:val="single" w:sz="2" w:space="0" w:color="AFAFAF"/>
            </w:tcBorders>
            <w:shd w:fill="auto" w:val="clear"/>
            <w:tcMar>
              <w:bottom w:w="28" w:type="dxa"/>
            </w:tcMar>
            <w:vAlign w:val="bottom"/>
          </w:tcPr>
          <w:p>
            <w:pPr>
              <w:pStyle w:val="TableContents"/>
              <w:spacing w:before="0" w:after="283"/>
              <w:rPr/>
            </w:pPr>
            <w:r>
              <w:rPr/>
              <w:t> </w:t>
            </w:r>
          </w:p>
        </w:tc>
        <w:tc>
          <w:tcPr>
            <w:tcW w:w="1147" w:type="dxa"/>
            <w:tcBorders>
              <w:bottom w:val="single" w:sz="2" w:space="0" w:color="AFAFAF"/>
            </w:tcBorders>
            <w:shd w:fill="auto" w:val="clear"/>
            <w:tcMar>
              <w:bottom w:w="28" w:type="dxa"/>
            </w:tcMar>
            <w:vAlign w:val="bottom"/>
          </w:tcPr>
          <w:p>
            <w:pPr>
              <w:pStyle w:val="TableContents"/>
              <w:spacing w:before="0" w:after="283"/>
              <w:jc w:val="center"/>
              <w:rPr/>
            </w:pPr>
            <w:r>
              <w:rPr/>
              <w:t></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Benefits</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70,000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 </w:t>
            </w:r>
          </w:p>
        </w:tc>
        <w:tc>
          <w:tcPr>
            <w:tcW w:w="1147"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r>
        <w:trPr/>
        <w:tc>
          <w:tcPr>
            <w:tcW w:w="1040" w:type="dxa"/>
            <w:tcBorders>
              <w:bottom w:val="single" w:sz="8" w:space="0" w:color="B94831"/>
            </w:tcBorders>
            <w:shd w:fill="auto" w:val="clear"/>
            <w:tcMar>
              <w:bottom w:w="28" w:type="dxa"/>
            </w:tcMar>
          </w:tcPr>
          <w:p>
            <w:pPr>
              <w:pStyle w:val="TableContents"/>
              <w:spacing w:before="0" w:after="0"/>
              <w:rPr>
                <w:rFonts w:ascii="arial" w:hAnsi="arial"/>
                <w:sz w:val="16"/>
              </w:rPr>
            </w:pPr>
            <w:r>
              <w:rPr>
                <w:rFonts w:ascii="arial" w:hAnsi="arial"/>
                <w:sz w:val="16"/>
              </w:rPr>
              <w:t>Total</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6" w:type="dxa"/>
            <w:tcBorders>
              <w:bottom w:val="single" w:sz="8" w:space="0" w:color="B94831"/>
            </w:tcBorders>
            <w:shd w:fill="auto" w:val="clear"/>
            <w:tcMar>
              <w:bottom w:w="28" w:type="dxa"/>
            </w:tcMar>
            <w:vAlign w:val="bottom"/>
          </w:tcPr>
          <w:p>
            <w:pPr>
              <w:pStyle w:val="TableContents"/>
              <w:spacing w:before="0" w:after="283"/>
              <w:rPr/>
            </w:pPr>
            <w:r>
              <w:rPr/>
              <w:t>$</w:t>
            </w:r>
          </w:p>
        </w:tc>
        <w:tc>
          <w:tcPr>
            <w:tcW w:w="1469" w:type="dxa"/>
            <w:tcBorders>
              <w:bottom w:val="single" w:sz="8" w:space="0" w:color="B94831"/>
            </w:tcBorders>
            <w:shd w:fill="auto" w:val="clear"/>
            <w:tcMar>
              <w:bottom w:w="28" w:type="dxa"/>
            </w:tcMar>
            <w:vAlign w:val="bottom"/>
          </w:tcPr>
          <w:p>
            <w:pPr>
              <w:pStyle w:val="TableContents"/>
              <w:spacing w:before="0" w:after="283"/>
              <w:jc w:val="right"/>
              <w:rPr/>
            </w:pPr>
            <w:r>
              <w:rPr/>
              <w:t>1,284,949</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26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85"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760" w:type="dxa"/>
            <w:tcBorders>
              <w:bottom w:val="single" w:sz="8" w:space="0" w:color="B94831"/>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82" w:type="dxa"/>
            <w:tcBorders>
              <w:bottom w:val="single" w:sz="8" w:space="0" w:color="B94831"/>
            </w:tcBorders>
            <w:shd w:fill="auto" w:val="clear"/>
            <w:tcMar>
              <w:bottom w:w="28" w:type="dxa"/>
            </w:tcMar>
            <w:vAlign w:val="bottom"/>
          </w:tcPr>
          <w:p>
            <w:pPr>
              <w:pStyle w:val="TableContents"/>
              <w:spacing w:before="0" w:after="283"/>
              <w:rPr/>
            </w:pPr>
            <w:r>
              <w:rPr/>
              <w:t>$</w:t>
            </w:r>
          </w:p>
        </w:tc>
        <w:tc>
          <w:tcPr>
            <w:tcW w:w="888" w:type="dxa"/>
            <w:tcBorders>
              <w:bottom w:val="single" w:sz="8" w:space="0" w:color="B94831"/>
            </w:tcBorders>
            <w:shd w:fill="auto" w:val="clear"/>
            <w:tcMar>
              <w:bottom w:w="28" w:type="dxa"/>
            </w:tcMar>
            <w:vAlign w:val="bottom"/>
          </w:tcPr>
          <w:p>
            <w:pPr>
              <w:pStyle w:val="TableContents"/>
              <w:spacing w:before="0" w:after="283"/>
              <w:jc w:val="right"/>
              <w:rPr/>
            </w:pPr>
            <w:r>
              <w:rPr/>
              <w:t>30,000</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163" w:type="dxa"/>
            <w:tcBorders>
              <w:bottom w:val="single" w:sz="8" w:space="0" w:color="B94831"/>
            </w:tcBorders>
            <w:shd w:fill="auto" w:val="clear"/>
            <w:tcMar>
              <w:bottom w:w="28" w:type="dxa"/>
            </w:tcMar>
            <w:vAlign w:val="bottom"/>
          </w:tcPr>
          <w:p>
            <w:pPr>
              <w:pStyle w:val="TableContents"/>
              <w:spacing w:before="0" w:after="283"/>
              <w:rPr/>
            </w:pPr>
            <w:r>
              <w:rPr/>
              <w:t>$</w:t>
            </w:r>
          </w:p>
        </w:tc>
        <w:tc>
          <w:tcPr>
            <w:tcW w:w="1147" w:type="dxa"/>
            <w:tcBorders>
              <w:bottom w:val="single" w:sz="8" w:space="0" w:color="B94831"/>
            </w:tcBorders>
            <w:shd w:fill="auto" w:val="clear"/>
            <w:tcMar>
              <w:bottom w:w="28" w:type="dxa"/>
            </w:tcMar>
            <w:vAlign w:val="bottom"/>
          </w:tcPr>
          <w:p>
            <w:pPr>
              <w:pStyle w:val="TableContents"/>
              <w:spacing w:before="0" w:after="283"/>
              <w:jc w:val="right"/>
              <w:rPr/>
            </w:pPr>
            <w:r>
              <w:rPr/>
              <w:t>1,214,949</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right"/>
              <w:rPr/>
            </w:pPr>
            <w:bookmarkStart w:id="75" w:name="tx494196_6a"/>
            <w:bookmarkEnd w:id="75"/>
            <w:r>
              <w:rPr/>
              <w:t>1</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283"/>
              <w:jc w:val="left"/>
              <w:rPr/>
            </w:pPr>
            <w:r>
              <w:rPr/>
              <w:t xml:space="preserve">Payable upon a double trigger (involuntary termination not for poor performance or without Cause within two years following a Change of Control). Amounts reflected for all named executive officers relate to a Change of Control of Thomson Reuters.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108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76" w:name="tx494196_500"/>
      <w:bookmarkEnd w:id="76"/>
      <w:r>
        <w:rPr>
          <w:rFonts w:ascii="arial" w:hAnsi="arial"/>
          <w:color w:val="B94831"/>
          <w:sz w:val="52"/>
        </w:rPr>
        <w:t xml:space="preserve">Information Regarding the Return of Capital Transaction </w:t>
      </w:r>
    </w:p>
    <w:p>
      <w:pPr>
        <w:pStyle w:val="TextBody"/>
        <w:spacing w:before="480" w:after="0"/>
        <w:jc w:val="left"/>
        <w:rPr>
          <w:rFonts w:ascii="Arial" w:hAnsi="Arial"/>
          <w:b/>
          <w:sz w:val="28"/>
        </w:rPr>
      </w:pPr>
      <w:bookmarkStart w:id="77" w:name="tx494196_501"/>
      <w:bookmarkEnd w:id="77"/>
      <w:r>
        <w:rPr>
          <w:rFonts w:ascii="Arial" w:hAnsi="Arial"/>
          <w:b/>
          <w:sz w:val="28"/>
        </w:rPr>
        <w:t xml:space="preserve">Background to and Reasons for the Return of Capital Transaction </w:t>
      </w:r>
    </w:p>
    <w:p>
      <w:pPr>
        <w:pStyle w:val="TextBody"/>
        <w:spacing w:before="120" w:after="0"/>
        <w:jc w:val="left"/>
        <w:rPr>
          <w:rFonts w:ascii="arial" w:hAnsi="arial"/>
          <w:sz w:val="20"/>
        </w:rPr>
      </w:pPr>
      <w:r>
        <w:rPr>
          <w:rFonts w:ascii="arial" w:hAnsi="arial"/>
          <w:sz w:val="20"/>
        </w:rPr>
        <w:t xml:space="preserve">In October 2018, we sold a 55% interest in our Financial &amp; Risk business to private equity funds managed by Blackstone for approximately US$17 billion and retained a 45% interest in the new company, which was renamed as Refinitiv (the F&amp;R Transaction). We subsequently returned US$10 billion of the proceeds of the F&amp;R Transaction to our shareholders through a series of transactions, including a return of capital transaction structured in the same manner as the Return of Capital Transaction currently being proposed. </w:t>
      </w:r>
    </w:p>
    <w:p>
      <w:pPr>
        <w:pStyle w:val="TextBody"/>
        <w:spacing w:before="120" w:after="0"/>
        <w:jc w:val="left"/>
        <w:rPr>
          <w:rFonts w:ascii="arial" w:hAnsi="arial"/>
          <w:sz w:val="20"/>
        </w:rPr>
      </w:pPr>
      <w:r>
        <w:rPr>
          <w:rFonts w:ascii="arial" w:hAnsi="arial"/>
          <w:sz w:val="20"/>
        </w:rPr>
        <w:t xml:space="preserve">In January 2021, our company and Blackstones consortium sold Refinitiv to LSEG in an all-share transaction for a total enterprise value of approximately $27 billion (at the time of announcement) (the LSEG Transaction). We hold our LSEG shares through YPL, an entity jointly owned by our company, Blackstones consortium and certain current LSEG and former members of Refinitiv senior management. Subject to certain exceptions, Thomson Reuters and Blackstones consortium agreed to be subject to a lock-up for their LSEG shares that will terminate on January 29, 2025. </w:t>
      </w:r>
    </w:p>
    <w:p>
      <w:pPr>
        <w:pStyle w:val="TextBody"/>
        <w:spacing w:before="120" w:after="0"/>
        <w:jc w:val="left"/>
        <w:rPr>
          <w:rFonts w:ascii="arial" w:hAnsi="arial"/>
          <w:sz w:val="20"/>
        </w:rPr>
      </w:pPr>
      <w:r>
        <w:rPr>
          <w:rFonts w:ascii="arial" w:hAnsi="arial"/>
          <w:sz w:val="20"/>
        </w:rPr>
        <w:t xml:space="preserve">During negotiation of the LSEG Transaction and following its closing, management discussed potential uses of the proceeds from the eventual sale of LSEG shares with the board of directors at scheduled meetings. We committed to our shareholders that the proceeds would be used to pursue organic and inorganic opportunities in key growth segments and provide returns to shareholders. </w:t>
      </w:r>
    </w:p>
    <w:p>
      <w:pPr>
        <w:pStyle w:val="TextBody"/>
        <w:spacing w:before="120" w:after="0"/>
        <w:jc w:val="left"/>
        <w:rPr>
          <w:rFonts w:ascii="arial" w:hAnsi="arial"/>
          <w:sz w:val="20"/>
        </w:rPr>
      </w:pPr>
      <w:r>
        <w:rPr>
          <w:rFonts w:ascii="arial" w:hAnsi="arial"/>
          <w:sz w:val="20"/>
        </w:rPr>
        <w:t xml:space="preserve">On January 31, 2023, our company and Blackstones consortium sold approximately 21.2 million LSEG shares through YPL to Microsoft, of which 10.5 million LSEG shares were indirectly owned by our company. We received approximately US$1.0 billion of gross proceeds from the sale. In conjunction with the sale of shares to Microsoft, LSEG amended the terms of the contractual lock-up provisions previously agreed between LSEG and the Blackstone/Thomson Reuters entities that hold the LSEG shares. As such, we are entitled to sell approximately 31 million of our companys indirectly owned shares in the twelve-month period beginning January 30, 2023, 22 million shares in the twelve-month period beginning January 30, 2024, and 8 million shares after the lock-up arrangement terminates on January 29, 2025. </w:t>
      </w:r>
    </w:p>
    <w:p>
      <w:pPr>
        <w:pStyle w:val="TextBody"/>
        <w:spacing w:before="120" w:after="0"/>
        <w:jc w:val="left"/>
        <w:rPr>
          <w:rFonts w:ascii="arial" w:hAnsi="arial"/>
          <w:sz w:val="20"/>
        </w:rPr>
      </w:pPr>
      <w:r>
        <w:rPr>
          <w:rFonts w:ascii="arial" w:hAnsi="arial"/>
          <w:sz w:val="20"/>
        </w:rPr>
        <w:t xml:space="preserve">On March 8, 2023, our company and Blackstones consortium collectively sold 28 million LSEG shares through a placement to institutional investors and an offer to retail investors. Of the shares sold, approximately 13.6 million were indirectly owned by Thomson Reuters and we received approximately US$1.26 billion of related gross proceeds. </w:t>
      </w:r>
    </w:p>
    <w:p>
      <w:pPr>
        <w:pStyle w:val="TextBody"/>
        <w:spacing w:before="120" w:after="0"/>
        <w:jc w:val="left"/>
        <w:rPr>
          <w:rFonts w:ascii="arial" w:hAnsi="arial"/>
          <w:sz w:val="20"/>
        </w:rPr>
      </w:pPr>
      <w:r>
        <w:rPr>
          <w:rFonts w:ascii="arial" w:hAnsi="arial"/>
          <w:sz w:val="20"/>
        </w:rPr>
        <w:t xml:space="preserve">Altogether, we have received approximately US$2.3 billion of gross proceeds related to the disposition of approximately 24.5 million LSEG shares indirectly owned by our company through the above transactions as well as additional shares sold through our participation in LSEGs open market buyback program. The market value of our investment in LSEG on April 21, 2023 was approximately US$4.7 billion, based on LSEGs closing share price and the 47 million LSEG shares indirectly owned by our company on that date. </w:t>
      </w:r>
    </w:p>
    <w:p>
      <w:pPr>
        <w:pStyle w:val="TextBody"/>
        <w:spacing w:before="120" w:after="0"/>
        <w:jc w:val="left"/>
        <w:rPr>
          <w:rFonts w:ascii="arial" w:hAnsi="arial"/>
          <w:sz w:val="20"/>
        </w:rPr>
      </w:pPr>
      <w:r>
        <w:rPr>
          <w:rFonts w:ascii="arial" w:hAnsi="arial"/>
          <w:sz w:val="20"/>
        </w:rPr>
        <w:t xml:space="preserve">At this time, we are proposing to return to our shareholders US$2.2 billion of the gross proceeds derived from sales of LSEG shares. Any funds retained by our company from the above noted proceeds and as a result of Eligible Opt-Out Shareholders opting out of the Return of Capital Transaction will be retained to pursue organic and inorganic opportunities in key growth segments, as well as other general corporate purposes. Management considered multiple alternatives for returning those proceeds to shareholders in a way that would reduce our companys outstanding share count and position our company to maintain our dividend amount per share, as well as limit the reduction in the public float and provide returns to our companys public shareholders in a manner that treats them equally, and determined that the Return of Capital Transaction, as compared to other alternatives, including normal course issuer bids, can be executed in a more efficient manner, as shares will be cancelled immediately upon the close of the transaction and are not limited by the liquidity rules that apply to normal course issuer bids. In considering different options, management consulted Woodbridge, as our principal shareholder. Woodbridge indicated that it was fully supportive of our companys objective of returning US$2.2 billion of the gross proceeds derived from sales of LSEG shares and wanted to receive its proportionate share of those proceeds in a manner that would be fair to all shareholders of our company. Following consideration, management determined to recommend proceeding with the Return of Capital Transaction to our board of directors for the reasons described below, including that the Return of Capital Transaction would facilitate the distribution of the gross proceeds on a timely and efficient basis while treating all shareholders fairly.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On April 3, 2023, our board of directors met to consider the distribution of US$2.2 billion to our shareholders. After discussion, including a separate discussion among our independent directors without members of management or representatives of Woodbridge present, our board of directors determined that the Return of Capital Transaction would be in the best interests of our company and approved proceeding with it. </w:t>
      </w:r>
    </w:p>
    <w:p>
      <w:pPr>
        <w:pStyle w:val="TextBody"/>
        <w:spacing w:before="120" w:after="0"/>
        <w:jc w:val="left"/>
        <w:rPr>
          <w:rFonts w:ascii="arial" w:hAnsi="arial"/>
          <w:sz w:val="20"/>
        </w:rPr>
      </w:pPr>
      <w:r>
        <w:rPr>
          <w:rFonts w:ascii="arial" w:hAnsi="arial"/>
          <w:sz w:val="20"/>
        </w:rPr>
        <w:t xml:space="preserve">In considering whether the Return of Capital Transaction would be in the best interests of our company, our board of directors gave careful consideration to a number of factors, including, without limitation,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facilitates the distribution on a timely and efficient basis of US$2.2 billion of the gross proceeds derived from sales of LSEG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as compared to other alternatives, including normal course issuer bids, can be executed in a more efficient manner, as shares will be cancelled immediately upon the close of the transaction and are not limited by the liquidity rules that apply to normal course issuer bids;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provides for fair treatment of all 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permits the distribution of cash on a basis that is generally expected to be tax-free for Canadian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is structured in a way that permits Eligible Opt-Out Share-holders to opt out in the event that they determine (among other relevant considerations) that the tax consequences in the relevant foreign jurisdiction of not participating in the Return of Capital Transaction would be preferable to those associated with participating in the Return of Capital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implementing the Return of Capital Transaction reduces our companys share count on a basis proportional to the return of capital distribution and reduces the cash outflow required for our company to pay dividends, but permits our company to maintain its dividend amount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participating shareholders wishing to maintain the value of their investment in our company may use the cash they receive to purchase additional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allows the market price of our shares and other per share market data, such as earnings and dividends per share, to remain comparable before and after the Effective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is consistent with previous disclosure made to our companys shareholders regarding the uses of proceeds from our sale of LSEG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after implementing the Return of Capital Transaction, our company will continue to have sufficient financial resources and working capital to conduct its ongoing business and operations and will continue to have sufficient financial resources to pursue its foreseeable or planned organic and inorganic business and strategic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Woodbridge indicated that it would vote in favour of the Return of Capital Transaction, which meets its objectives of receiving its proportionate share and fairness to all shareholders of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Arrangement must be approved by the Court, which will consider, among other things, the fairness and reasonableness of the Return of Capital Transaction to all shareholders;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the Return of Capital Transaction is not expected to adversely affect the liquidity of the shares. </w:t>
            </w:r>
          </w:p>
        </w:tc>
      </w:tr>
    </w:tbl>
    <w:p>
      <w:pPr>
        <w:pStyle w:val="TextBody"/>
        <w:spacing w:before="120" w:after="0"/>
        <w:jc w:val="left"/>
        <w:rPr>
          <w:rFonts w:ascii="arial" w:hAnsi="arial"/>
          <w:sz w:val="20"/>
        </w:rPr>
      </w:pPr>
      <w:r>
        <w:rPr>
          <w:rFonts w:ascii="arial" w:hAnsi="arial"/>
          <w:sz w:val="20"/>
        </w:rPr>
        <w:t xml:space="preserve">The foregoing summary of the factors considered by the board of directors is not, and is not intended to be, exhaustive. In view of the variety of factors and the amount of information considered in connection with its determination to proceed with the Return of Capital Transaction, the board of directors did not find it practical to, and did not, quantify or otherwise attempt to assign any relative weight to each specific factor considered in reaching its conclusion. </w:t>
      </w:r>
    </w:p>
    <w:p>
      <w:pPr>
        <w:pStyle w:val="TextBody"/>
        <w:spacing w:before="120" w:after="0"/>
        <w:jc w:val="left"/>
        <w:rPr>
          <w:rFonts w:ascii="arial" w:hAnsi="arial"/>
          <w:sz w:val="20"/>
        </w:rPr>
      </w:pPr>
      <w:r>
        <w:rPr>
          <w:rFonts w:ascii="arial" w:hAnsi="arial"/>
          <w:sz w:val="20"/>
        </w:rPr>
        <w:t xml:space="preserve">For the reasons set forth above, we believe that implementing the Return of Capital Transaction represents an appropriate use of our available cash on hand after the sale of LSEG shares described above. </w:t>
      </w:r>
    </w:p>
    <w:p>
      <w:pPr>
        <w:pStyle w:val="TextBody"/>
        <w:spacing w:before="120" w:after="0"/>
        <w:jc w:val="left"/>
        <w:rPr>
          <w:rFonts w:ascii="Arial" w:hAnsi="Arial"/>
          <w:b/>
          <w:sz w:val="28"/>
        </w:rPr>
      </w:pPr>
      <w:bookmarkStart w:id="78" w:name="tx494196_502"/>
      <w:bookmarkEnd w:id="78"/>
      <w:r>
        <w:rPr>
          <w:rFonts w:ascii="Arial" w:hAnsi="Arial"/>
          <w:b/>
          <w:sz w:val="28"/>
        </w:rPr>
        <w:t xml:space="preserve">Recommendation of the Board of Directors </w:t>
      </w:r>
    </w:p>
    <w:p>
      <w:pPr>
        <w:pStyle w:val="TextBody"/>
        <w:spacing w:before="0" w:after="0"/>
        <w:jc w:val="left"/>
        <w:rPr/>
      </w:pPr>
      <w:r>
        <w:rPr/>
        <w:t> </w:t>
      </w:r>
    </w:p>
    <w:p>
      <w:pPr>
        <w:pStyle w:val="TextBody"/>
        <w:pBdr/>
        <w:spacing w:before="0" w:after="0"/>
        <w:jc w:val="left"/>
        <w:rPr>
          <w:rFonts w:ascii="Arial" w:hAnsi="Arial"/>
          <w:b/>
          <w:sz w:val="20"/>
          <w:highlight w:val="red"/>
          <w:bdr w:val="single" w:sz="2" w:space="2" w:color="000000"/>
        </w:rPr>
      </w:pPr>
      <w:r>
        <w:rPr>
          <w:rFonts w:ascii="Arial" w:hAnsi="Arial"/>
          <w:b/>
          <w:sz w:val="20"/>
          <w:highlight w:val="red"/>
          <w:bdr w:val="single" w:sz="2" w:space="2" w:color="000000"/>
        </w:rPr>
        <w:t xml:space="preserve">Our board of directors has determined that the Arrangement is in the best interests of our company and unanimously recommends that you vote to approve the Arrangement.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110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79" w:name="tx494196_503"/>
      <w:bookmarkEnd w:id="79"/>
      <w:r>
        <w:rPr>
          <w:rFonts w:ascii="Arial" w:hAnsi="Arial"/>
          <w:b/>
          <w:sz w:val="28"/>
        </w:rPr>
        <w:t xml:space="preserve">Notice to U.S. Shareholders </w:t>
      </w:r>
    </w:p>
    <w:p>
      <w:pPr>
        <w:pStyle w:val="TextBody"/>
        <w:spacing w:before="120" w:after="0"/>
        <w:jc w:val="left"/>
        <w:rPr>
          <w:rFonts w:ascii="arial" w:hAnsi="arial"/>
          <w:sz w:val="20"/>
        </w:rPr>
      </w:pPr>
      <w:r>
        <w:rPr>
          <w:rFonts w:ascii="arial" w:hAnsi="arial"/>
          <w:sz w:val="20"/>
        </w:rPr>
        <w:t xml:space="preserve">The Return of Capital Transaction is being implemented by Thomson Reuters, a Canadian issuer, and while the Return of Capital Transaction is subject to the disclosure requirements of the Province of Ontario and the other provinces of Canada, U.S. shareholders should be aware that these disclosure requirements are different from those of the United States. Our financial statements have been prepared in accordance with International Financial Reporting Standards as issued by the International Accounting Standards Board and, therefore, they may not be comparable to financial statements of U.S. companies prepared in accordance with U.S. generally accepted accounting principles. </w:t>
      </w:r>
    </w:p>
    <w:p>
      <w:pPr>
        <w:pStyle w:val="TextBody"/>
        <w:spacing w:before="120" w:after="0"/>
        <w:jc w:val="left"/>
        <w:rPr>
          <w:rFonts w:ascii="arial" w:hAnsi="arial"/>
          <w:sz w:val="20"/>
        </w:rPr>
      </w:pPr>
      <w:r>
        <w:rPr>
          <w:rFonts w:ascii="arial" w:hAnsi="arial"/>
          <w:sz w:val="20"/>
        </w:rPr>
        <w:t xml:space="preserve">The enforcement by shareholders of civil liabilities under U.S. federal securities laws may be adversely affected by the fact that our company is continued under the provincial laws of Ontario, that some of our directors and officers are non-residents of the United States, that some of the experts named in the circular are non-residents of the United States and that some of the assets of our company and said persons are located outside the United States. It may be difficult to effect service of process on our company, our officers and directors and the experts named in the circular. Additionally, it might be difficult for shareholders to enforce judgments of United States courts based on civil liability provisions of the U.S. federal securities laws or the securities or blue sky laws of any state within the United States in a Canadian court against our company or any of our non-U.S. resident directors, officers or the experts named in the circular or to bring an original action in a Canadian court to enforce liabilities based on the U.S. federal or state securities laws against such persons. </w:t>
      </w:r>
    </w:p>
    <w:p>
      <w:pPr>
        <w:pStyle w:val="TextBody"/>
        <w:spacing w:before="120" w:after="0"/>
        <w:jc w:val="left"/>
        <w:rPr>
          <w:rFonts w:ascii="arial" w:hAnsi="arial"/>
          <w:sz w:val="20"/>
        </w:rPr>
      </w:pPr>
      <w:r>
        <w:rPr>
          <w:rFonts w:ascii="arial" w:hAnsi="arial"/>
          <w:sz w:val="20"/>
        </w:rPr>
        <w:t xml:space="preserve">The issuance of the shares pursuant to the Return of Capital Transaction will not be registered under the U.S. Securities Act of 1933, as amended (the U.S. Securities Act), and will be made in reliance on Section 3(a)(10) of the U.S. Securities Act. Section 3(a)(10) of the U.S. Securities Act exempts from registration the offer and sale of a security which is issued in exchange for outstanding securities, claims or property interests, or partly in such exchange and partly for cash, where the terms and conditions of such issue and exchange are approved, after a hearing upon the fairness of such terms and conditions at which all persons to whom it is proposed to issue securities in such exchange have the right to appear, by a court or governmental authority expressly authorized by law to grant such approval. In connection with the hearing for the Interim Order, the Court was informed that the Final Order will also constitute the basis for an exemption from registration under the U.S. Securities Act for the shares to be issued pursuant to the Return of Capital Transaction pursuant to Section 3(a)(10) of the U.S. Securities Act. Shareholders are entitled to appear before the Court in connection with their consideration of the Arrangement. </w:t>
      </w:r>
    </w:p>
    <w:p>
      <w:pPr>
        <w:pStyle w:val="TextBody"/>
        <w:spacing w:before="120" w:after="0"/>
        <w:jc w:val="left"/>
        <w:rPr>
          <w:rFonts w:ascii="arial" w:hAnsi="arial"/>
          <w:sz w:val="20"/>
        </w:rPr>
      </w:pPr>
      <w:r>
        <w:rPr>
          <w:rFonts w:ascii="arial" w:hAnsi="arial"/>
          <w:sz w:val="20"/>
        </w:rPr>
        <w:t xml:space="preserve">U.S. shareholders should be aware that participating in the Return of Capital Transaction may have certain tax consequences under United States and Canadian law. See the sections entitled Income Tax Considerations  Certain Canadian Federal Income Tax Considerations and Income Tax Considerations  Certain U.S. Federal Income Tax Considerations below in this circular. Shareholders should consult their own tax advisors with respect to their particular circumstances and tax considerations applicable to them. </w:t>
      </w:r>
    </w:p>
    <w:p>
      <w:pPr>
        <w:pStyle w:val="TextBody"/>
        <w:spacing w:before="120" w:after="0"/>
        <w:jc w:val="left"/>
        <w:rPr>
          <w:rFonts w:ascii="Arial" w:hAnsi="Arial"/>
          <w:b/>
          <w:sz w:val="28"/>
        </w:rPr>
      </w:pPr>
      <w:bookmarkStart w:id="80" w:name="tx494196_504"/>
      <w:bookmarkEnd w:id="80"/>
      <w:r>
        <w:rPr>
          <w:rFonts w:ascii="Arial" w:hAnsi="Arial"/>
          <w:b/>
          <w:sz w:val="28"/>
        </w:rPr>
        <w:t xml:space="preserve">Terms of the Arrangement </w:t>
      </w:r>
    </w:p>
    <w:p>
      <w:pPr>
        <w:pStyle w:val="TextBody"/>
        <w:spacing w:before="120" w:after="0"/>
        <w:jc w:val="left"/>
        <w:rPr>
          <w:rFonts w:ascii="arial" w:hAnsi="arial"/>
          <w:color w:val="B94831"/>
          <w:sz w:val="28"/>
        </w:rPr>
      </w:pPr>
      <w:r>
        <w:rPr>
          <w:rFonts w:ascii="arial" w:hAnsi="arial"/>
          <w:color w:val="B94831"/>
          <w:sz w:val="28"/>
        </w:rPr>
        <w:t xml:space="preserve">Overview </w:t>
      </w:r>
    </w:p>
    <w:p>
      <w:pPr>
        <w:pStyle w:val="TextBody"/>
        <w:spacing w:before="120" w:after="0"/>
        <w:jc w:val="left"/>
        <w:rPr>
          <w:rFonts w:ascii="arial" w:hAnsi="arial"/>
          <w:sz w:val="20"/>
        </w:rPr>
      </w:pPr>
      <w:r>
        <w:rPr>
          <w:rFonts w:ascii="arial" w:hAnsi="arial"/>
          <w:sz w:val="20"/>
        </w:rPr>
        <w:t xml:space="preserve">The Arrangement will be effected in accordance with the Plan of Arrangement (attached as Appendix C to this circular) pursuant to section 182 of the OBCA. Subject to obtaining the requisite shareholder approval, obtaining the Final Order from the Court, obtaining TSX and NYSE approvals, and filing of articles of arrangement, the Arrangement will become effective on the Effective Date, expected to be on or about June 23, 2023. </w:t>
      </w:r>
    </w:p>
    <w:p>
      <w:pPr>
        <w:pStyle w:val="TextBody"/>
        <w:spacing w:before="120" w:after="0"/>
        <w:jc w:val="left"/>
        <w:rPr>
          <w:rFonts w:ascii="arial" w:hAnsi="arial"/>
          <w:sz w:val="20"/>
        </w:rPr>
      </w:pPr>
      <w:r>
        <w:rPr>
          <w:rFonts w:ascii="arial" w:hAnsi="arial"/>
          <w:sz w:val="20"/>
        </w:rPr>
        <w:t xml:space="preserve">Generally, the Arrangement consists of (i) a cash distribution of US$4.67 per common share, or approximately US$2.2 billion in the aggregate, and (ii) a consolidation of our outstanding common shares (or reverse stock split) on a basis that is proportional to the cash distribution. As described below, Eligible Opt-Out Shareholders have the right to opt out of the Return of Capital Transaction. </w:t>
      </w:r>
    </w:p>
    <w:p>
      <w:pPr>
        <w:pStyle w:val="TextBody"/>
        <w:spacing w:before="120" w:after="0"/>
        <w:jc w:val="left"/>
        <w:rPr>
          <w:rFonts w:ascii="arial" w:hAnsi="arial"/>
          <w:sz w:val="20"/>
        </w:rPr>
      </w:pPr>
      <w:r>
        <w:rPr>
          <w:rFonts w:ascii="arial" w:hAnsi="arial"/>
          <w:sz w:val="20"/>
        </w:rPr>
        <w:t xml:space="preserve">The Return of Capital Transaction will be implemented through the following series of steps, which will occur at the Effective Time and will not require any action to be taken by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our articles will be amended to create an unlimited number of New Common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each issued and outstanding participating share will be disposed of to Thomson Reuters in exchange for (i) the Cash Distribution Per Share, and (ii) a portion of a New Common Share equal to the Share Consolidation Ratio, and the participating shares so exchanged will be cancelled;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in connection with the exchange of participating shares for the Cash Distribution Per Share and New Common Shares, we will deduct from the stated capital of the shares an amount equal to the aggregate stated capital, immediately before the exchange, of the participating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we will add to the stated capital account of the New Common Shares an amount in Canadian dollars equal to the difference between (i) the aggregate PUC of the shares of the participating shares immediately before the exchange, and (ii) the Aggregate Cash Distribution Amount as converted into Canadian dollars using the average daily exchange rate as reported by the Bank of Canada on the Effective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1"/>
        <w:gridCol w:w="9902"/>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each New Common Share will be exchanged for one share and each portion of a New Common Share issued will be exchanged for the same portion of a share, and the New Common Shares so exchanged will be cancelled;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
        <w:gridCol w:w="9902"/>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0" w:type="dxa"/>
            <w:tcBorders/>
            <w:shd w:fill="auto" w:val="clear"/>
          </w:tcPr>
          <w:p>
            <w:pPr>
              <w:pStyle w:val="TableContents"/>
              <w:spacing w:before="0" w:after="283"/>
              <w:rPr/>
            </w:pPr>
            <w:r>
              <w:rPr/>
              <w:t> </w:t>
            </w:r>
          </w:p>
        </w:tc>
        <w:tc>
          <w:tcPr>
            <w:tcW w:w="9902" w:type="dxa"/>
            <w:tcBorders/>
            <w:shd w:fill="auto" w:val="clear"/>
          </w:tcPr>
          <w:p>
            <w:pPr>
              <w:pStyle w:val="TableContents"/>
              <w:spacing w:before="0" w:after="0"/>
              <w:jc w:val="left"/>
              <w:rPr>
                <w:rFonts w:ascii="arial" w:hAnsi="arial"/>
                <w:sz w:val="20"/>
              </w:rPr>
            </w:pPr>
            <w:r>
              <w:rPr>
                <w:rFonts w:ascii="arial" w:hAnsi="arial"/>
                <w:sz w:val="20"/>
              </w:rPr>
              <w:t xml:space="preserve">in connection with the exchange of New Common Shares for shares, we will deduct an amount equal to the aggregate stated capital of the New Common Shares immediately before the exchange from the stated capital of the New Common Shares and we will add that amount to the stated capital of the shares in respect of the shares that are issued in exchange for the New Common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our articles will be amended to delete the amendments made to the authorized capital of our company pursuant to the Plan of Arrangement, such that our articles as so amended will read as they read immediately before the Effective Time. </w:t>
            </w:r>
          </w:p>
        </w:tc>
      </w:tr>
    </w:tbl>
    <w:p>
      <w:pPr>
        <w:pStyle w:val="TextBody"/>
        <w:spacing w:before="120" w:after="0"/>
        <w:jc w:val="left"/>
        <w:rPr>
          <w:rFonts w:ascii="arial" w:hAnsi="arial"/>
          <w:sz w:val="20"/>
        </w:rPr>
      </w:pPr>
      <w:r>
        <w:rPr>
          <w:rFonts w:ascii="arial" w:hAnsi="arial"/>
          <w:sz w:val="20"/>
        </w:rPr>
        <w:t xml:space="preserve">The issuance of the shares pursuant to the Return of Capital Transaction will not be registered under the U.S. Securities Act and will be made in reliance on Section 3(a)(10) of the U.S. Securities Act. Section 3(a)(10) of the U.S. Securities Act exempts from registration the offer and sale of a security which is issued in exchange for outstanding securities, claims or property interests, or partly in such exchange and partly for cash, where the terms and conditions of such issue and exchange are approved, after a hearing upon the fairness of such terms and conditions at which all persons to whom it is proposed to issue securities in such exchange have the right to appear, by a court or governmental authority expressly authorized by law to grant such approval. In connection with the hearing for the Interim Order, the Court was informed that the Final Order will also constitute the basis for an exemption from registration under the U.S. Securities Act for the shares to be issued pursuant to the Return of Capital Transaction pursuant to Section 3(a)(10) of the U.S. Securities Act. Shareholders are entitled to appear before the Court in connection with their consideration of the Arrangement. For more information, see the Court Approval of the Arrangement  Final Order section of this circular below. </w:t>
      </w:r>
    </w:p>
    <w:p>
      <w:pPr>
        <w:pStyle w:val="TextBody"/>
        <w:spacing w:before="0" w:after="0"/>
        <w:jc w:val="left"/>
        <w:rPr/>
      </w:pPr>
      <w:r>
        <w:rPr/>
        <w:t> </w:t>
      </w:r>
    </w:p>
    <w:p>
      <w:pPr>
        <w:pStyle w:val="TextBody"/>
        <w:pBdr/>
        <w:spacing w:before="0" w:after="0"/>
        <w:jc w:val="left"/>
        <w:rPr>
          <w:rFonts w:ascii="arial" w:hAnsi="arial"/>
          <w:sz w:val="24"/>
          <w:highlight w:val="red"/>
          <w:bdr w:val="single" w:sz="2" w:space="2" w:color="000000"/>
        </w:rPr>
      </w:pPr>
      <w:r>
        <w:rPr>
          <w:rFonts w:ascii="arial" w:hAnsi="arial"/>
          <w:sz w:val="24"/>
          <w:highlight w:val="red"/>
          <w:bdr w:val="single" w:sz="2" w:space="2" w:color="000000"/>
        </w:rPr>
        <w:t xml:space="preserve">Share Consolidation Ratio </w:t>
      </w:r>
    </w:p>
    <w:p>
      <w:pPr>
        <w:pStyle w:val="TextBody"/>
        <w:spacing w:before="120" w:after="0"/>
        <w:jc w:val="left"/>
        <w:rPr>
          <w:rFonts w:ascii="arial" w:hAnsi="arial"/>
          <w:sz w:val="20"/>
          <w:highlight w:val="red"/>
          <w:bdr w:val="single" w:sz="2" w:space="2" w:color="000000"/>
        </w:rPr>
      </w:pPr>
      <w:r>
        <w:rPr>
          <w:rFonts w:ascii="arial" w:hAnsi="arial"/>
          <w:sz w:val="20"/>
          <w:highlight w:val="red"/>
          <w:bdr w:val="single" w:sz="2" w:space="2" w:color="000000"/>
        </w:rPr>
        <w:t xml:space="preserve">The Share Consolidation Ratio will be calculated as follows: </w:t>
      </w:r>
    </w:p>
    <w:p>
      <w:pPr>
        <w:pStyle w:val="TextBody"/>
        <w:spacing w:before="240" w:after="0"/>
        <w:jc w:val="center"/>
        <w:rPr>
          <w:rFonts w:ascii="arial" w:hAnsi="arial"/>
          <w:sz w:val="20"/>
          <w:highlight w:val="red"/>
          <w:bdr w:val="single" w:sz="2" w:space="2" w:color="000000"/>
        </w:rPr>
      </w:pPr>
      <w:r>
        <w:rPr>
          <w:rFonts w:ascii="arial" w:hAnsi="arial"/>
          <w:sz w:val="20"/>
          <w:highlight w:val="red"/>
          <w:u w:val="single"/>
          <w:bdr w:val="single" w:sz="2" w:space="2" w:color="000000"/>
        </w:rPr>
        <w:t>US$X  Cash Distribution Per Share</w:t>
      </w:r>
      <w:r>
        <w:rPr>
          <w:rFonts w:ascii="arial" w:hAnsi="arial"/>
          <w:sz w:val="20"/>
          <w:highlight w:val="red"/>
          <w:bdr w:val="single" w:sz="2" w:space="2" w:color="000000"/>
        </w:rPr>
        <w:t xml:space="preserve"> </w:t>
      </w:r>
    </w:p>
    <w:p>
      <w:pPr>
        <w:pStyle w:val="TextBody"/>
        <w:spacing w:before="40" w:after="0"/>
        <w:jc w:val="center"/>
        <w:rPr>
          <w:rFonts w:ascii="arial" w:hAnsi="arial"/>
          <w:sz w:val="20"/>
          <w:highlight w:val="red"/>
          <w:bdr w:val="single" w:sz="2" w:space="2" w:color="000000"/>
        </w:rPr>
      </w:pPr>
      <w:r>
        <w:rPr>
          <w:rFonts w:ascii="arial" w:hAnsi="arial"/>
          <w:sz w:val="20"/>
          <w:highlight w:val="red"/>
          <w:bdr w:val="single" w:sz="2" w:space="2" w:color="000000"/>
        </w:rPr>
        <w:t xml:space="preserve">US$X </w:t>
      </w:r>
    </w:p>
    <w:p>
      <w:pPr>
        <w:pStyle w:val="TextBody"/>
        <w:spacing w:before="240" w:after="0"/>
        <w:jc w:val="left"/>
        <w:rPr>
          <w:rFonts w:ascii="arial" w:hAnsi="arial"/>
          <w:sz w:val="20"/>
          <w:highlight w:val="red"/>
          <w:bdr w:val="single" w:sz="2" w:space="2" w:color="000000"/>
        </w:rPr>
      </w:pPr>
      <w:r>
        <w:rPr>
          <w:rFonts w:ascii="arial" w:hAnsi="arial"/>
          <w:sz w:val="20"/>
          <w:highlight w:val="red"/>
          <w:bdr w:val="single" w:sz="2" w:space="2" w:color="000000"/>
        </w:rPr>
        <w:t xml:space="preserve">where X is the volume weighted average trading price of our shares on the NYSE for the five trading days on which our shares trade on the NYSE immediately preceding the Effective Date. </w:t>
      </w:r>
    </w:p>
    <w:p>
      <w:pPr>
        <w:pStyle w:val="TextBody"/>
        <w:pBdr/>
        <w:spacing w:before="240" w:after="0"/>
        <w:jc w:val="left"/>
        <w:rPr>
          <w:rFonts w:ascii="arial" w:hAnsi="arial"/>
          <w:sz w:val="20"/>
          <w:highlight w:val="red"/>
          <w:bdr w:val="single" w:sz="2" w:space="2" w:color="000000"/>
        </w:rPr>
      </w:pPr>
      <w:r>
        <w:rPr>
          <w:rFonts w:ascii="arial" w:hAnsi="arial"/>
          <w:sz w:val="20"/>
          <w:highlight w:val="red"/>
          <w:bdr w:val="single" w:sz="2" w:space="2" w:color="000000"/>
        </w:rPr>
        <w:t xml:space="preserve">The Share Consolidation Ratio will be fixed after close of business on the last trading day preceding the Effective Date in order to allow us to consolidate the shares on a basis that is proportional to the return of capital distribution. </w:t>
      </w:r>
    </w:p>
    <w:p>
      <w:pPr>
        <w:pStyle w:val="TextBody"/>
        <w:spacing w:before="120" w:after="0"/>
        <w:jc w:val="left"/>
        <w:rPr>
          <w:rFonts w:ascii="arial" w:hAnsi="arial"/>
          <w:color w:val="B94831"/>
          <w:sz w:val="28"/>
        </w:rPr>
      </w:pPr>
      <w:r>
        <w:rPr>
          <w:rFonts w:ascii="arial" w:hAnsi="arial"/>
          <w:color w:val="B94831"/>
          <w:sz w:val="28"/>
        </w:rPr>
        <w:t xml:space="preserve">Opt-Out Right </w:t>
      </w:r>
    </w:p>
    <w:p>
      <w:pPr>
        <w:pStyle w:val="TextBody"/>
        <w:spacing w:before="40" w:after="0"/>
        <w:jc w:val="left"/>
        <w:rPr>
          <w:rFonts w:ascii="arial" w:hAnsi="arial"/>
          <w:sz w:val="20"/>
        </w:rPr>
      </w:pPr>
      <w:r>
        <w:rPr>
          <w:rFonts w:ascii="arial" w:hAnsi="arial"/>
          <w:sz w:val="20"/>
        </w:rPr>
        <w:t xml:space="preserve">Each shareholder (whether registered or non-registered) who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jurisdiction) (each, an Eligible Opt-Out Shareholder) may elect to exercise the opt-out right on the terms set out in the Plan of Arrangement and in the Opt-Out Election and Certification Form, as described herein. The opt-out right is being given to those shareholders because in jurisdictions other than Canada the tax consequences of not participating in the Return of Capital Transaction may be preferable to those associated with participating in the Return of Capital Transaction. For more information, see the Income Tax Considerations section of this circular below.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112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Shares held by a shareholder that has duly exercised the opt-out right will not participate in the Return of Capital Transaction and, as such, will not receive the cash distribution and will continue to hold the same number of shares that it currently holds. Such opting-out shareholders will realize a proportionate increase in their equity and voting interests in our company by virtue of the consolidation of the participating shares under the Return of Capital Transaction. </w:t>
      </w:r>
    </w:p>
    <w:p>
      <w:pPr>
        <w:pStyle w:val="TextBody"/>
        <w:spacing w:before="120" w:after="0"/>
        <w:jc w:val="left"/>
        <w:rPr>
          <w:rFonts w:ascii="arial" w:hAnsi="arial"/>
          <w:sz w:val="20"/>
        </w:rPr>
      </w:pPr>
      <w:r>
        <w:rPr>
          <w:rFonts w:ascii="arial" w:hAnsi="arial"/>
          <w:sz w:val="20"/>
        </w:rPr>
        <w:t xml:space="preserve">In connection with our return of capital transaction in 2018, approximately 6.4% of the issued and outstanding shares were held by shareholders who opted-out of the transaction. Assuming a similar level of opt-outs in this years Return of Capital Transaction, we would expect the final total proceeds distributed to be between $2.0 billion and $2.1 billion. </w:t>
      </w:r>
    </w:p>
    <w:p>
      <w:pPr>
        <w:pStyle w:val="TextBody"/>
        <w:spacing w:before="0" w:after="0"/>
        <w:jc w:val="left"/>
        <w:rPr/>
      </w:pPr>
      <w:r>
        <w:rPr/>
        <w:t> </w:t>
      </w:r>
    </w:p>
    <w:p>
      <w:pPr>
        <w:pStyle w:val="TextBody"/>
        <w:pBdr/>
        <w:spacing w:before="0" w:after="0"/>
        <w:jc w:val="left"/>
        <w:rPr>
          <w:rFonts w:ascii="arial" w:hAnsi="arial"/>
          <w:sz w:val="20"/>
          <w:highlight w:val="red"/>
          <w:bdr w:val="single" w:sz="2" w:space="2" w:color="000000"/>
        </w:rPr>
      </w:pPr>
      <w:r>
        <w:rPr>
          <w:rFonts w:ascii="arial" w:hAnsi="arial"/>
          <w:sz w:val="20"/>
          <w:highlight w:val="red"/>
          <w:bdr w:val="single" w:sz="2" w:space="2" w:color="000000"/>
        </w:rPr>
        <w:t xml:space="preserve">An eligible registered shareholder (whether on behalf of itself or on behalf of one or more beneficial holders of shares) may exercise the opt-out right by depositing with the Depositary, prior to the opt-out deadline, a duly completed Opt-Out Election and Certification Form indicating such holders election and any such additional documents and instruments as the Depositary or our company may reasonably require. A registered shareholder holding share certificate(s) in its own name will also need to deliver to the Depositary a duly completed and executed Letter of Transmittal and the certificate(s) representing its shares by the opt-out deadline. </w:t>
      </w:r>
    </w:p>
    <w:p>
      <w:pPr>
        <w:pStyle w:val="TextBody"/>
        <w:pBdr/>
        <w:spacing w:before="120" w:after="0"/>
        <w:jc w:val="left"/>
        <w:rPr>
          <w:rFonts w:ascii="arial" w:hAnsi="arial"/>
          <w:sz w:val="20"/>
          <w:highlight w:val="red"/>
          <w:bdr w:val="single" w:sz="2" w:space="2" w:color="000000"/>
        </w:rPr>
      </w:pPr>
      <w:r>
        <w:rPr>
          <w:rFonts w:ascii="arial" w:hAnsi="arial"/>
          <w:sz w:val="20"/>
          <w:highlight w:val="red"/>
          <w:bdr w:val="single" w:sz="2" w:space="2" w:color="000000"/>
        </w:rPr>
        <w:t xml:space="preserve">Non-registered shareholders who wish to exercise their opt-out right should follow any instructions provided to them by their intermediary (or should contact their intermediary if they did not receive any such instructions). </w:t>
      </w:r>
    </w:p>
    <w:p>
      <w:pPr>
        <w:pStyle w:val="TextBody"/>
        <w:spacing w:before="120" w:after="0"/>
        <w:jc w:val="left"/>
        <w:rPr>
          <w:rFonts w:ascii="arial" w:hAnsi="arial"/>
          <w:sz w:val="20"/>
        </w:rPr>
      </w:pPr>
      <w:r>
        <w:rPr>
          <w:rFonts w:ascii="arial" w:hAnsi="arial"/>
          <w:sz w:val="20"/>
        </w:rPr>
        <w:t xml:space="preserve">The opt-out right may only be exercised in respect of all shares held by the ultimate beneficial shareholder. Registered shareholders, other than registered shareholders holding shares for the benefit of one or more beneficial shareholders, may only exercise the opt-out right in respect of all the shares they hold. Registered shareholders holding shares for the benefit of one or more beneficial holders of shares may only exercise the opt-out right, on behalf of each beneficial holder wishing to do so, in respect of all of the shares held by each beneficial holder wishing to opt out. </w:t>
      </w:r>
    </w:p>
    <w:p>
      <w:pPr>
        <w:pStyle w:val="TextBody"/>
        <w:spacing w:before="120" w:after="0"/>
        <w:jc w:val="left"/>
        <w:rPr>
          <w:rFonts w:ascii="arial" w:hAnsi="arial"/>
          <w:sz w:val="20"/>
        </w:rPr>
      </w:pPr>
      <w:r>
        <w:rPr>
          <w:rFonts w:ascii="arial" w:hAnsi="arial"/>
          <w:sz w:val="20"/>
        </w:rPr>
        <w:t xml:space="preserve">An Opt-Out Election and Certification Form may be withdrawn by a registered shareholder prior to the opt-out deadline, but is irrevocable thereafter. </w:t>
      </w:r>
    </w:p>
    <w:p>
      <w:pPr>
        <w:pStyle w:val="TextBody"/>
        <w:spacing w:before="120" w:after="0"/>
        <w:jc w:val="left"/>
        <w:rPr>
          <w:rFonts w:ascii="Arial" w:hAnsi="Arial"/>
          <w:b/>
          <w:sz w:val="20"/>
        </w:rPr>
      </w:pPr>
      <w:r>
        <w:rPr>
          <w:rFonts w:ascii="Arial" w:hAnsi="Arial"/>
          <w:b/>
          <w:sz w:val="20"/>
        </w:rPr>
        <w:t xml:space="preserve">Non-registered shareholders should note that their intermediaries may have earlier deadlines for exercising opt-out rights or withdrawing any Opt-Out Election and Certification. Accordingly, such shareholders are urged to contact their intermediaries promptly to learn of the intermediarys applicable deadlines. </w:t>
      </w:r>
    </w:p>
    <w:p>
      <w:pPr>
        <w:pStyle w:val="TextBody"/>
        <w:spacing w:before="120" w:after="0"/>
        <w:jc w:val="left"/>
        <w:rPr>
          <w:rFonts w:ascii="arial" w:hAnsi="arial"/>
          <w:sz w:val="20"/>
        </w:rPr>
      </w:pPr>
      <w:r>
        <w:rPr>
          <w:rFonts w:ascii="arial" w:hAnsi="arial"/>
          <w:sz w:val="20"/>
        </w:rPr>
        <w:t xml:space="preserve">To withdraw an Opt-Out Election and Certification Form, such registered shareholder must provide a written notice of revocation to the Depositary that (i) specifies the name of the shareholder having exercised the opt-out right under the Opt-Out Election and Certification Form to be withdrawn and (ii) is signed by the shareholder in the same manner as the signature on the Opt-Out Election and Certification Form to be withdrawn. If a shareholder does not revoke its election before the opt-out deadline, such shareholder will not be able to transfer its shares for any reason until the completion of the Return of Capital Transaction. </w:t>
      </w:r>
    </w:p>
    <w:p>
      <w:pPr>
        <w:pStyle w:val="TextBody"/>
        <w:spacing w:before="120" w:after="0"/>
        <w:jc w:val="left"/>
        <w:rPr>
          <w:rFonts w:ascii="arial" w:hAnsi="arial"/>
          <w:sz w:val="20"/>
        </w:rPr>
      </w:pPr>
      <w:r>
        <w:rPr>
          <w:rFonts w:ascii="arial" w:hAnsi="arial"/>
          <w:sz w:val="20"/>
        </w:rPr>
        <w:t xml:space="preserve">Non-registered shareholders who wish to withdraw an opt-out exercise should follow any instructions provided to them by their intermediary (or should contact their intermediary if they did not receive any such instructions). </w:t>
      </w:r>
    </w:p>
    <w:p>
      <w:pPr>
        <w:pStyle w:val="TextBody"/>
        <w:spacing w:before="120" w:after="0"/>
        <w:jc w:val="left"/>
        <w:rPr>
          <w:rFonts w:ascii="arial" w:hAnsi="arial"/>
          <w:sz w:val="20"/>
        </w:rPr>
      </w:pPr>
      <w:r>
        <w:rPr>
          <w:rFonts w:ascii="arial" w:hAnsi="arial"/>
          <w:sz w:val="20"/>
        </w:rPr>
        <w:t xml:space="preserve">As of the Effective Time, each registered opting-out shareholder shall be entitled to receive new DRS statement(s) or share certificate(s) (as applicable) representing its shares reflecting the new CUSIP number for the shares. See the Exchange Procedure section of this circular below. The accounts of non-registered opting-out shareholders will be adjusted by their intermediary to reflect the new CUSIP number for the shares. </w:t>
      </w:r>
    </w:p>
    <w:p>
      <w:pPr>
        <w:pStyle w:val="TextBody"/>
        <w:spacing w:before="120" w:after="0"/>
        <w:jc w:val="left"/>
        <w:rPr>
          <w:rFonts w:ascii="Arial" w:hAnsi="Arial"/>
          <w:b/>
          <w:sz w:val="20"/>
        </w:rPr>
      </w:pPr>
      <w:r>
        <w:rPr>
          <w:rFonts w:ascii="Arial" w:hAnsi="Arial"/>
          <w:b/>
          <w:sz w:val="20"/>
        </w:rPr>
        <w:t xml:space="preserve">Any shares in respect of which a duly completed Opt-Out Election and Certification Form has not been deposited with the Depositary prior to the opt-out deadline, or in respect of which any other requirements under the Plan of Arrangement and the Opt-Out Election and Certification Form have not been satisfied, shall be deemed to be participating shares. </w:t>
      </w:r>
    </w:p>
    <w:p>
      <w:pPr>
        <w:pStyle w:val="TextBody"/>
        <w:spacing w:before="120" w:after="0"/>
        <w:jc w:val="left"/>
        <w:rPr>
          <w:rFonts w:ascii="Arial" w:hAnsi="Arial"/>
          <w:b/>
          <w:sz w:val="20"/>
        </w:rPr>
      </w:pPr>
      <w:r>
        <w:rPr>
          <w:rFonts w:ascii="Arial" w:hAnsi="Arial"/>
          <w:b/>
          <w:sz w:val="20"/>
        </w:rPr>
        <w:t xml:space="preserve">Shareholders wishing to exercise their opt-out right should consult with their own tax advisors with respect to their particular circumstances and tax considerations applicable to them. </w:t>
      </w:r>
    </w:p>
    <w:p>
      <w:pPr>
        <w:pStyle w:val="TextBody"/>
        <w:spacing w:before="120" w:after="0"/>
        <w:jc w:val="left"/>
        <w:rPr>
          <w:rFonts w:ascii="arial" w:hAnsi="arial"/>
          <w:sz w:val="20"/>
        </w:rPr>
      </w:pPr>
      <w:r>
        <w:rPr>
          <w:rFonts w:ascii="arial" w:hAnsi="arial"/>
          <w:sz w:val="20"/>
        </w:rPr>
        <w:t xml:space="preserve">None of Thomson Reuters, our board of directors, the Information Agent or the Depositary makes any recommendation to any shareholder as to whether to opt out of the Return of Capital Transaction. Shareholders are urged to evaluate carefully all information in this circular, the accompanying Letter of Transmittal and Opt-Out Election and Certification Form, and other materials related to the Return of Capital Transaction, consult their own financial, legal, investment and tax advisors and make their own decisions as to whether to exercise the opt-out right.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Treatment of Equity-Based Awards </w:t>
      </w:r>
    </w:p>
    <w:p>
      <w:pPr>
        <w:pStyle w:val="TextBody"/>
        <w:spacing w:before="40" w:after="0"/>
        <w:jc w:val="left"/>
        <w:rPr>
          <w:rFonts w:ascii="arial" w:hAnsi="arial"/>
          <w:sz w:val="20"/>
        </w:rPr>
      </w:pPr>
      <w:r>
        <w:rPr>
          <w:rFonts w:ascii="arial" w:hAnsi="arial"/>
          <w:sz w:val="20"/>
        </w:rPr>
        <w:t xml:space="preserve">The Return of Capital Transaction has been structured to allow the market price of our shares to remain comparable before and after the Effective Date. As a result, we do not expect that the Return of Capital Transaction will affect the number or value of our outstanding equity-based awards, including stock options, DSUs, TRSUs and PRSUs and stock appreciation rights. Accordingly, equity-based awards outstanding at the Effective Time are expected to be based on the same terms and conditions as were applicable immediately prior to the Effective Time without the need for any adjustments. </w:t>
      </w:r>
    </w:p>
    <w:p>
      <w:pPr>
        <w:pStyle w:val="TextBody"/>
        <w:spacing w:before="120" w:after="0"/>
        <w:jc w:val="left"/>
        <w:rPr>
          <w:rFonts w:ascii="arial" w:hAnsi="arial"/>
          <w:color w:val="B94831"/>
          <w:sz w:val="28"/>
        </w:rPr>
      </w:pPr>
      <w:r>
        <w:rPr>
          <w:rFonts w:ascii="arial" w:hAnsi="arial"/>
          <w:color w:val="B94831"/>
          <w:sz w:val="28"/>
        </w:rPr>
        <w:t xml:space="preserve">Fractional Shares </w:t>
      </w:r>
    </w:p>
    <w:p>
      <w:pPr>
        <w:pStyle w:val="TextBody"/>
        <w:spacing w:before="40" w:after="0"/>
        <w:jc w:val="left"/>
        <w:rPr>
          <w:rFonts w:ascii="arial" w:hAnsi="arial"/>
          <w:sz w:val="20"/>
        </w:rPr>
      </w:pPr>
      <w:r>
        <w:rPr>
          <w:rFonts w:ascii="arial" w:hAnsi="arial"/>
          <w:sz w:val="20"/>
        </w:rPr>
        <w:t xml:space="preserve">Where the aggregate number of shares to be issued to a participating shareholder under the Return of Capital Transaction would result in a fraction of a share being issuable, the number of shares will be rounded down to the nearest whole number and the fractional share that otherwise would be issued to that participating shareholder will be issued to the Depositary (as agent for that purpose) for sale by the Depositary on behalf of that participating shareholder. All shares so issued to the Depositary will be pooled and sold in the market by a broker appointed by the Depositary as soon as practicable after the Effective Date, on such dates and at such prices as the broker determines in its sole discretion. The Depositary will not be obligated to seek or obtain a minimum price for any of the shares sold by it. Each such participating shareholder will receive a pro rata share of the cash proceeds from the sale of the shares sold by the Depositary (less commissions, other reasonable expenses incurred in connection with the sale of the Shares and any amount withheld in respect of taxes) for the fractional interests in the shares themselves. Neither our company nor the Depositary will be liable for any loss arising out of any such sales. </w:t>
      </w:r>
    </w:p>
    <w:p>
      <w:pPr>
        <w:pStyle w:val="TextBody"/>
        <w:spacing w:before="120" w:after="0"/>
        <w:jc w:val="left"/>
        <w:rPr>
          <w:rFonts w:ascii="arial" w:hAnsi="arial"/>
          <w:sz w:val="20"/>
        </w:rPr>
      </w:pPr>
      <w:r>
        <w:rPr>
          <w:rFonts w:ascii="arial" w:hAnsi="arial"/>
          <w:sz w:val="20"/>
        </w:rPr>
        <w:t xml:space="preserve">Shares issued pursuant to our dividend reinvestment plan (DRIP) and employee stock purchase plans (ESPP) which are held by participating shareholders will participate in the Arrangement and any fractional shares resulting therefrom will remain in such holders DRIP or ESPP accounts, as applicable. </w:t>
      </w:r>
    </w:p>
    <w:p>
      <w:pPr>
        <w:pStyle w:val="TextBody"/>
        <w:spacing w:before="120" w:after="0"/>
        <w:jc w:val="left"/>
        <w:rPr>
          <w:rFonts w:ascii="arial" w:hAnsi="arial"/>
          <w:color w:val="B94831"/>
          <w:sz w:val="28"/>
        </w:rPr>
      </w:pPr>
      <w:r>
        <w:rPr>
          <w:rFonts w:ascii="arial" w:hAnsi="arial"/>
          <w:color w:val="B94831"/>
          <w:sz w:val="28"/>
        </w:rPr>
        <w:t xml:space="preserve">Exchange Procedure </w:t>
      </w:r>
    </w:p>
    <w:p>
      <w:pPr>
        <w:pStyle w:val="TextBody"/>
        <w:spacing w:before="40" w:after="0"/>
        <w:jc w:val="left"/>
        <w:rPr>
          <w:rFonts w:ascii="arial" w:hAnsi="arial"/>
          <w:sz w:val="20"/>
        </w:rPr>
      </w:pPr>
      <w:r>
        <w:rPr>
          <w:rFonts w:ascii="arial" w:hAnsi="arial"/>
          <w:sz w:val="20"/>
        </w:rPr>
        <w:t xml:space="preserve">On or immediately prior to the Effective Date, we will deposit or cause to be deposited with the Depositary, (a) for the benefit of the participating shareholders, the Aggregate Cash Distribution Amount and the shares that such shareholders are entitled to receive under the Arrangement, and (b) for the benefit of the opting-out shareholders, the shares that such shareholders are entitled to receive under the Arrangement. The shares and cash deposited with the Depositary shall be held by the Depositary as agent and nominee for the participating and opting-out shareholders for distribution to such shareholders. </w:t>
      </w:r>
    </w:p>
    <w:p>
      <w:pPr>
        <w:pStyle w:val="TextBody"/>
        <w:spacing w:before="120" w:after="0"/>
        <w:jc w:val="left"/>
        <w:rPr>
          <w:rFonts w:ascii="arial" w:hAnsi="arial"/>
          <w:sz w:val="20"/>
        </w:rPr>
      </w:pPr>
      <w:r>
        <w:rPr>
          <w:rFonts w:ascii="arial" w:hAnsi="arial"/>
          <w:sz w:val="20"/>
        </w:rPr>
        <w:t xml:space="preserve">As soon as practicable after the Effective Time, the Depositary shall deliver to each registered participating shareholder a cheque for the portion of the Aggregate Cash Distribution Amount that it is entitled to receive as a result of the return of capital. A registered participating shareholder may instead request that this cash be paid by wire payment and must properly complete any documents and take all action that the Depositary may reasonably require in connection with such request. The Depositary has informed us that they will charge a banking fee of C$100 (plus applicable sales tax) in connection with any wire transfer. Registered participating shareholders who wish to receive their cash payment by wire transfer should contact the Depositary. Non-registered participating shareholders will receive the distribution through their intermediary. </w:t>
      </w:r>
    </w:p>
    <w:p>
      <w:pPr>
        <w:pStyle w:val="TextBody"/>
        <w:spacing w:before="120" w:after="0"/>
        <w:jc w:val="left"/>
        <w:rPr>
          <w:rFonts w:ascii="arial" w:hAnsi="arial"/>
          <w:sz w:val="20"/>
        </w:rPr>
      </w:pPr>
      <w:r>
        <w:rPr>
          <w:rFonts w:ascii="arial" w:hAnsi="arial"/>
          <w:sz w:val="20"/>
        </w:rPr>
        <w:t xml:space="preserve">Through our transfer agent, we will record the effects of the share consolidation under the Arrangement on our companys share register. </w:t>
      </w:r>
    </w:p>
    <w:p>
      <w:pPr>
        <w:pStyle w:val="TextBody"/>
        <w:spacing w:before="120" w:after="0"/>
        <w:jc w:val="left"/>
        <w:rPr>
          <w:rFonts w:ascii="arial" w:hAnsi="arial"/>
          <w:sz w:val="20"/>
        </w:rPr>
      </w:pPr>
      <w:r>
        <w:rPr>
          <w:rFonts w:ascii="arial" w:hAnsi="arial"/>
          <w:sz w:val="20"/>
        </w:rPr>
        <w:t xml:space="preserve">Upon surrender to the Depositary for cancellation of a certificate which immediately prior to the Effective Time represented one or more shares, together with a duly completed and executed Letter of Transmittal and such additional documents and instruments as the Depositary or our company may reasonably require, the registered holder of such surrendered certificate shall be entitled to receive in exchange therefor, and the Depositary shall deliver to such holder as soon as practicable following the Effective Time, (i) a new DRS statement (or share certificate), reflecting the new CUSIP for the shares, representing the number of shares such holder is entitled to receive under the Arrangement, and (ii) a cheque for any cash such holder is entitled to receive under the Arrangement for fractional shares. Unless indicated in a shareholders Letter of Transmittal, each shareholder will receive a new DRS statement instead of a new physical share certificate reflecting the share consolidation. </w:t>
      </w:r>
      <w:r>
        <w:rPr>
          <w:rFonts w:ascii="Arial" w:hAnsi="Arial"/>
          <w:b/>
          <w:sz w:val="20"/>
        </w:rPr>
        <w:t>Until such documents are received by the Depositary and a registered shareholder receives a new DRS statement (or share certificate) representing its shares reflecting the new CUSIP for the shares, share certificates outstanding on the Effective Date will represent the number of shares that the registered shareholder is entitled to hold following the Effective Time. A registered shareholder will not be able to sell or otherwise transfer its shares unless it obtains a new DRS statement (or share certificate) representing its shares following the Arrangement.</w:t>
      </w:r>
      <w:r>
        <w:rPr>
          <w:rFonts w:ascii="arial" w:hAnsi="arial"/>
          <w:sz w:val="20"/>
        </w:rPr>
        <w:t xml:space="preser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114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Registered shareholders holding their shares through DRS are not required to submit a Letter of Transmittal. Our transfer agent, Computershare Trust Company of Canada, will update such shareholders DRS position to reflect the number of shares such holder is entitled to receive under the Arrangement and such shareholder will be entitled to receive a new DRS statement and a cheque for any cash such holder is entitled to receive under the Arrangement for fractional shares. </w:t>
      </w:r>
    </w:p>
    <w:p>
      <w:pPr>
        <w:pStyle w:val="TextBody"/>
        <w:spacing w:before="120" w:after="0"/>
        <w:jc w:val="left"/>
        <w:rPr>
          <w:rFonts w:ascii="arial" w:hAnsi="arial"/>
          <w:sz w:val="20"/>
        </w:rPr>
      </w:pPr>
      <w:r>
        <w:rPr>
          <w:rFonts w:ascii="arial" w:hAnsi="arial"/>
          <w:sz w:val="20"/>
        </w:rPr>
        <w:t xml:space="preserve">If you are a non-registered shareholder, the effects of the Arrangement will be recorded in your account by your intermediary. You should contact your intermediary if you have any questions regarding this process. </w:t>
      </w:r>
    </w:p>
    <w:p>
      <w:pPr>
        <w:pStyle w:val="TextBody"/>
        <w:spacing w:before="120" w:after="0"/>
        <w:jc w:val="left"/>
        <w:rPr>
          <w:rFonts w:ascii="arial" w:hAnsi="arial"/>
          <w:b/>
          <w:sz w:val="21"/>
        </w:rPr>
      </w:pPr>
      <w:r>
        <w:rPr>
          <w:rFonts w:ascii="arial" w:hAnsi="arial"/>
          <w:b/>
          <w:sz w:val="21"/>
        </w:rPr>
        <w:t xml:space="preserve">DRS Statements </w:t>
      </w:r>
    </w:p>
    <w:p>
      <w:pPr>
        <w:pStyle w:val="TextBody"/>
        <w:spacing w:before="40" w:after="0"/>
        <w:jc w:val="left"/>
        <w:rPr>
          <w:rFonts w:ascii="arial" w:hAnsi="arial"/>
          <w:sz w:val="20"/>
        </w:rPr>
      </w:pPr>
      <w:r>
        <w:rPr>
          <w:rFonts w:ascii="arial" w:hAnsi="arial"/>
          <w:sz w:val="20"/>
        </w:rPr>
        <w:t xml:space="preserve">DRS is a system that allows registered shareholders to hold their shares in book-entry form without having physical share certificates issued as evidence of ownership. Instead, shares will be held in the name of registered shareholders and registered electronically in our companys share register, which will be maintained by our transfer agent. The first time the shares are recorded under DRS (upon completion of the consolidation) for registered shareholders who currently hold share certificates, such shareholders will receive an initial DRS statement acknowledging the number of shares held in their DRS account. Any time that there is movement of shares into or out of a registered shareholders DRS account, an updated DRS statement will be mailed. Registered shareholders may request a statement at any time by contacting our transfer agent. There is no fee to participate in DRS and dividends will not be affected by DRS. </w:t>
      </w:r>
    </w:p>
    <w:p>
      <w:pPr>
        <w:pStyle w:val="TextBody"/>
        <w:spacing w:before="120" w:after="0"/>
        <w:jc w:val="left"/>
        <w:rPr>
          <w:rFonts w:ascii="arial" w:hAnsi="arial"/>
          <w:b/>
          <w:sz w:val="21"/>
        </w:rPr>
      </w:pPr>
      <w:r>
        <w:rPr>
          <w:rFonts w:ascii="arial" w:hAnsi="arial"/>
          <w:b/>
          <w:sz w:val="21"/>
        </w:rPr>
        <w:t xml:space="preserve">Currency </w:t>
      </w:r>
    </w:p>
    <w:p>
      <w:pPr>
        <w:pStyle w:val="TextBody"/>
        <w:spacing w:before="40" w:after="0"/>
        <w:jc w:val="left"/>
        <w:rPr>
          <w:rFonts w:ascii="arial" w:hAnsi="arial"/>
          <w:sz w:val="20"/>
        </w:rPr>
      </w:pPr>
      <w:r>
        <w:rPr>
          <w:rFonts w:ascii="arial" w:hAnsi="arial"/>
          <w:sz w:val="20"/>
        </w:rPr>
        <w:t xml:space="preserve">The Aggregate Cash Distribution Amount and any cash payable in respect of fractional share entitlements will be denominated in U.S. dollars. The Depositarys currency exchange services will be used to convert payment of these amounts that each registered participating shareholder is entitled to receive based on the address of record of such shareholder. Each registered participating shareholder with an address within the U.S. or any other country outside of Canada and the United Kingdom will receive payment in U.S. dollars. Each registered participating shareholder with an address in Canada will receive payment in Canadian dollars. Each registered participating shareholder with an address in United Kingdom will receive payment in British Pounds. There is no additional fee payable by registered participating shareholders in relation to such conversions of payments. A shareholder may request that its portion of the Aggregate Cash Distribution Amount and any cash payable in respect of fractional share entitlements be paid in a different currency from that specified above. The shareholder should contact the Depositary in connection with such request. </w:t>
      </w:r>
    </w:p>
    <w:p>
      <w:pPr>
        <w:pStyle w:val="TextBody"/>
        <w:spacing w:before="120" w:after="0"/>
        <w:jc w:val="left"/>
        <w:rPr>
          <w:rFonts w:ascii="arial" w:hAnsi="arial"/>
          <w:sz w:val="20"/>
        </w:rPr>
      </w:pPr>
      <w:r>
        <w:rPr>
          <w:rFonts w:ascii="arial" w:hAnsi="arial"/>
          <w:sz w:val="20"/>
        </w:rPr>
        <w:t xml:space="preserve">The exchange rates that will be used to convert payments from U.S. dollars into Canadian dollars and into British Pounds will be the rates established by Computershare Trust Company of Canada, in its capacity as the foreign exchange service provider, on the date that the funds are converted, which rates will be based on the prevailing market rates on such date. The risk of any fluctuations in exchange rates, including risks relating to the particular date and time at which funds are converted, will be borne solely by the registered participating shareholder. Computershare Trust Company of Canada will act as principal in such currency conversion transactions. </w:t>
      </w:r>
    </w:p>
    <w:p>
      <w:pPr>
        <w:pStyle w:val="TextBody"/>
        <w:spacing w:before="120" w:after="0"/>
        <w:jc w:val="left"/>
        <w:rPr>
          <w:rFonts w:ascii="arial" w:hAnsi="arial"/>
          <w:sz w:val="20"/>
        </w:rPr>
      </w:pPr>
      <w:r>
        <w:rPr>
          <w:rFonts w:ascii="arial" w:hAnsi="arial"/>
          <w:sz w:val="20"/>
        </w:rPr>
        <w:t xml:space="preserve">Non-registered participating shareholders should contact their intermediary in connection with the currency of payment. </w:t>
      </w:r>
    </w:p>
    <w:p>
      <w:pPr>
        <w:pStyle w:val="TextBody"/>
        <w:spacing w:before="120" w:after="0"/>
        <w:jc w:val="left"/>
        <w:rPr>
          <w:rFonts w:ascii="arial" w:hAnsi="arial"/>
          <w:color w:val="B94831"/>
          <w:sz w:val="28"/>
        </w:rPr>
      </w:pPr>
      <w:r>
        <w:rPr>
          <w:rFonts w:ascii="arial" w:hAnsi="arial"/>
          <w:color w:val="B94831"/>
          <w:sz w:val="28"/>
        </w:rPr>
        <w:t xml:space="preserve">Lost, Stolen or Destroyed Certificates </w:t>
      </w:r>
    </w:p>
    <w:p>
      <w:pPr>
        <w:pStyle w:val="TextBody"/>
        <w:spacing w:before="40" w:after="0"/>
        <w:jc w:val="left"/>
        <w:rPr>
          <w:rFonts w:ascii="arial" w:hAnsi="arial"/>
          <w:sz w:val="20"/>
        </w:rPr>
      </w:pPr>
      <w:r>
        <w:rPr>
          <w:rFonts w:ascii="arial" w:hAnsi="arial"/>
          <w:sz w:val="20"/>
        </w:rPr>
        <w:t xml:space="preserve">In the event any certificate which immediately prior to the Effective Time represented one or more shares shall have been lost, stolen or destroyed, upon the making of an affidavit of that fact by the registered shareholder claiming such certificate to be lost, stolen or destroyed, the Depositary will issue in exchange therefor, the shares and/or the cash amount that such registered shareholder is entitled to receive under the Arrangement. When authorizing the delivery of such shares and/or cash in exchange for any lost, stolen or destroyed certificate, the registered shareholder to whom such shares and/or cash are being delivered shall, as a condition precedent to the delivery thereof, give a bond satisfactory to the Depositary and the company in such sum as the Depositary or we may direct and shall indemnify the Depositary and the company in a manner satisfactory to the Depositary and the company against any claim that may be made against the Depositary or the company with respect to the certificate alleged to have been lost, stolen or destroyed. Alternatively, a registered shareholder should refer to Box E in the Letter of Transmittal for additional replacement instructions if the value of the replacement is less than C$200,000.00.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Withholding Rights </w:t>
      </w:r>
    </w:p>
    <w:p>
      <w:pPr>
        <w:pStyle w:val="TextBody"/>
        <w:spacing w:before="40" w:after="0"/>
        <w:jc w:val="left"/>
        <w:rPr>
          <w:rFonts w:ascii="arial" w:hAnsi="arial"/>
          <w:sz w:val="20"/>
        </w:rPr>
      </w:pPr>
      <w:r>
        <w:rPr>
          <w:rFonts w:ascii="arial" w:hAnsi="arial"/>
          <w:sz w:val="20"/>
        </w:rPr>
        <w:t xml:space="preserve">Thomson Reuters and the Depositary shall be entitled to deduct and withhold from any payment, dividend, distribution or consideration otherwise payable to any registered shareholder such amounts as Thomson Reuters or the Depositary is required to deduct and withhold with respect to such payment under the Tax Act, the U.S. Internal Revenue Code of 1986, as amended, or any provision of federal, provincial, territorial, state, local or foreign tax law, in each case, as amended. To the extent that amounts are so withheld, such withheld amounts shall be treated for all purposes hereof as having been paid to the holder of the securities in respect of which such deduction and withholding was made, provided that such withheld amounts are actually remitted to the appropriate taxing authority. To the extent that the amount so required to be deducted or withheld from any payment to a holder exceeds the cash portion of the consideration otherwise payable to the holder, Thomson Reuters and the Depositary are hereby authorized to sell or otherwise dispose of such portion of the consideration as is necessary to provide sufficient funds to Thomson Reuters or the Depositary, as the case may be, to enable it to comply with such deduction or withholding requirement, and Thomson Reuters or the Depositary shall notify the holder thereof and remit any unapplied balance of the net proceeds of such sale. </w:t>
      </w:r>
    </w:p>
    <w:p>
      <w:pPr>
        <w:pStyle w:val="TextBody"/>
        <w:spacing w:before="120" w:after="0"/>
        <w:jc w:val="left"/>
        <w:rPr>
          <w:rFonts w:ascii="arial" w:hAnsi="arial"/>
          <w:color w:val="B94831"/>
          <w:sz w:val="28"/>
        </w:rPr>
      </w:pPr>
      <w:r>
        <w:rPr>
          <w:rFonts w:ascii="arial" w:hAnsi="arial"/>
          <w:color w:val="B94831"/>
          <w:sz w:val="28"/>
        </w:rPr>
        <w:t xml:space="preserve">Plan Amendments </w:t>
      </w:r>
    </w:p>
    <w:p>
      <w:pPr>
        <w:pStyle w:val="TextBody"/>
        <w:spacing w:before="40" w:after="0"/>
        <w:jc w:val="left"/>
        <w:rPr>
          <w:rFonts w:ascii="arial" w:hAnsi="arial"/>
          <w:sz w:val="20"/>
        </w:rPr>
      </w:pPr>
      <w:r>
        <w:rPr>
          <w:rFonts w:ascii="arial" w:hAnsi="arial"/>
          <w:sz w:val="20"/>
        </w:rPr>
        <w:t xml:space="preserve">The Plan of Arrangement may, at any time before or after the annual and special meeting, but not later than the Effective Time, be amended, modified and/or supplemented and any such amendment, modification or supplement will be effected in accordance with the terms of the Plan of Arrangement. </w:t>
      </w:r>
    </w:p>
    <w:p>
      <w:pPr>
        <w:pStyle w:val="TextBody"/>
        <w:spacing w:before="120" w:after="0"/>
        <w:jc w:val="left"/>
        <w:rPr>
          <w:rFonts w:ascii="Arial" w:hAnsi="Arial"/>
          <w:b/>
          <w:sz w:val="28"/>
        </w:rPr>
      </w:pPr>
      <w:bookmarkStart w:id="81" w:name="tx494196_505"/>
      <w:bookmarkEnd w:id="81"/>
      <w:r>
        <w:rPr>
          <w:rFonts w:ascii="Arial" w:hAnsi="Arial"/>
          <w:b/>
          <w:sz w:val="28"/>
        </w:rPr>
        <w:t xml:space="preserve">Dividends </w:t>
      </w:r>
    </w:p>
    <w:p>
      <w:pPr>
        <w:pStyle w:val="TextBody"/>
        <w:spacing w:before="120" w:after="0"/>
        <w:jc w:val="left"/>
        <w:rPr>
          <w:rFonts w:ascii="arial" w:hAnsi="arial"/>
          <w:color w:val="B94831"/>
          <w:sz w:val="28"/>
        </w:rPr>
      </w:pPr>
      <w:r>
        <w:rPr>
          <w:rFonts w:ascii="arial" w:hAnsi="arial"/>
          <w:color w:val="B94831"/>
          <w:sz w:val="28"/>
        </w:rPr>
        <w:t xml:space="preserve">Future Dividends </w:t>
      </w:r>
    </w:p>
    <w:p>
      <w:pPr>
        <w:pStyle w:val="TextBody"/>
        <w:spacing w:before="40" w:after="0"/>
        <w:jc w:val="left"/>
        <w:rPr>
          <w:rFonts w:ascii="arial" w:hAnsi="arial"/>
          <w:sz w:val="20"/>
        </w:rPr>
      </w:pPr>
      <w:r>
        <w:rPr>
          <w:rFonts w:ascii="arial" w:hAnsi="arial"/>
          <w:sz w:val="20"/>
        </w:rPr>
        <w:t xml:space="preserve">We do not expect that the announcement or completion of the Return of Capital Transaction will affect the amount or timing of future dividends per share. If you hold shares on a dividend record date, you will continue to receive the applicable dividend to which such record date applies. Details about any future dividend, including its amount, record date and payment date, will be announced at the time that such dividend is formally declared by the Board. </w:t>
      </w:r>
    </w:p>
    <w:p>
      <w:pPr>
        <w:pStyle w:val="TextBody"/>
        <w:spacing w:before="120" w:after="0"/>
        <w:jc w:val="left"/>
        <w:rPr>
          <w:rFonts w:ascii="arial" w:hAnsi="arial"/>
          <w:color w:val="B94831"/>
          <w:sz w:val="28"/>
        </w:rPr>
      </w:pPr>
      <w:r>
        <w:rPr>
          <w:rFonts w:ascii="arial" w:hAnsi="arial"/>
          <w:color w:val="B94831"/>
          <w:sz w:val="28"/>
        </w:rPr>
        <w:t xml:space="preserve">Temporary Suspension of the DRIP </w:t>
      </w:r>
    </w:p>
    <w:p>
      <w:pPr>
        <w:pStyle w:val="TextBody"/>
        <w:spacing w:before="40" w:after="0"/>
        <w:jc w:val="left"/>
        <w:rPr>
          <w:rFonts w:ascii="arial" w:hAnsi="arial"/>
          <w:sz w:val="20"/>
        </w:rPr>
      </w:pPr>
      <w:r>
        <w:rPr>
          <w:rFonts w:ascii="arial" w:hAnsi="arial"/>
          <w:sz w:val="20"/>
        </w:rPr>
        <w:t xml:space="preserve">Due to administrative complexities associated with the timing of the proposed Return of Capital Transaction, Thomson Reuters will temporarily suspend its DRIP for any dividend payable in advance of completion of the Return of Capital Transaction. This means that even if shareholders previously elected to reinvest their cash dividends in additional Thomson Reuters shares, any such dividend will not be reinvested but will be paid in cash. Thomson Reuters plans to resume the DRIP in connection with future dividends after completion of the Return of Capital Transaction. This temporary suspension of the DRIP will not have an impact on shareholders who currently receive their dividends in cash. </w:t>
      </w:r>
    </w:p>
    <w:p>
      <w:pPr>
        <w:pStyle w:val="TextBody"/>
        <w:spacing w:before="120" w:after="0"/>
        <w:jc w:val="left"/>
        <w:rPr>
          <w:rFonts w:ascii="Arial" w:hAnsi="Arial"/>
          <w:b/>
          <w:sz w:val="28"/>
        </w:rPr>
      </w:pPr>
      <w:bookmarkStart w:id="82" w:name="tx494196_506"/>
      <w:bookmarkEnd w:id="82"/>
      <w:r>
        <w:rPr>
          <w:rFonts w:ascii="Arial" w:hAnsi="Arial"/>
          <w:b/>
          <w:sz w:val="28"/>
        </w:rPr>
        <w:t xml:space="preserve">Stock Exchange Listings </w:t>
      </w:r>
    </w:p>
    <w:p>
      <w:pPr>
        <w:pStyle w:val="TextBody"/>
        <w:spacing w:before="120" w:after="0"/>
        <w:jc w:val="left"/>
        <w:rPr>
          <w:rFonts w:ascii="arial" w:hAnsi="arial"/>
          <w:sz w:val="20"/>
        </w:rPr>
      </w:pPr>
      <w:r>
        <w:rPr>
          <w:rFonts w:ascii="arial" w:hAnsi="arial"/>
          <w:sz w:val="20"/>
        </w:rPr>
        <w:t xml:space="preserve">Our shares are listed on NYSE and the TSX under the symbol TRI. The Return of Capital Transaction has been structured to allow the market price of our shares and other per share market data, such as earnings and dividends per share, to remain comparable before and after the Effective Date. The post-consolidation shares are expected to begin trading on the TSX and NYSE when markets open on the Effective Date. Completion of the Return of Capital Transaction is subject to fulfilling all of the requirements of the TSX and the NYSE. </w:t>
      </w:r>
    </w:p>
    <w:p>
      <w:pPr>
        <w:pStyle w:val="TextBody"/>
        <w:spacing w:before="120" w:after="0"/>
        <w:jc w:val="left"/>
        <w:rPr>
          <w:rFonts w:ascii="Arial" w:hAnsi="Arial"/>
          <w:b/>
          <w:sz w:val="28"/>
        </w:rPr>
      </w:pPr>
      <w:bookmarkStart w:id="83" w:name="tx494196_507"/>
      <w:bookmarkEnd w:id="83"/>
      <w:r>
        <w:rPr>
          <w:rFonts w:ascii="Arial" w:hAnsi="Arial"/>
          <w:b/>
          <w:sz w:val="28"/>
        </w:rPr>
        <w:t xml:space="preserve">Required Shareholder Approval </w:t>
      </w:r>
    </w:p>
    <w:p>
      <w:pPr>
        <w:pStyle w:val="TextBody"/>
        <w:spacing w:before="120" w:after="0"/>
        <w:jc w:val="left"/>
        <w:rPr>
          <w:rFonts w:ascii="arial" w:hAnsi="arial"/>
          <w:sz w:val="20"/>
        </w:rPr>
      </w:pPr>
      <w:r>
        <w:rPr>
          <w:rFonts w:ascii="arial" w:hAnsi="arial"/>
          <w:sz w:val="20"/>
        </w:rPr>
        <w:t xml:space="preserve">Shareholders are asked to consider and, if considered appropriate, to pass, with or without variation, the special resolution. The special resolution must be passed by not less than two-thirds (more than 66.6%) of votes cast by shareholders, in person or by proxy. The board of directors recommends that shareholders vote to approve the special resolution for the factors set out in the Background to and Reasons for the Return of Capital Transaction section of this circular. It is the intention of our directors designated in the enclosed form of proxy to vote the shares in respect of which they are appointed proxy to approve the special resolution unless a shareholder has specified in its proxy that the shareholders shares are to be voted against the special resolution. </w:t>
      </w:r>
    </w:p>
    <w:p>
      <w:pPr>
        <w:pStyle w:val="TextBody"/>
        <w:spacing w:before="120" w:after="0"/>
        <w:jc w:val="left"/>
        <w:rPr>
          <w:rFonts w:ascii="arial" w:hAnsi="arial"/>
          <w:sz w:val="20"/>
        </w:rPr>
      </w:pPr>
      <w:r>
        <w:rPr>
          <w:rFonts w:ascii="arial" w:hAnsi="arial"/>
          <w:sz w:val="20"/>
        </w:rPr>
        <w:t xml:space="preserve">Our principal and controlling shareholder, Woodbridge, holds, directly and indirectly, approximately 69% of the shares and has advised us that it intends to vote all of its shares in favour of the special resolution. Accordingly, we expect the resolution will be approved.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116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84" w:name="tx494196_508"/>
      <w:bookmarkEnd w:id="84"/>
      <w:r>
        <w:rPr>
          <w:rFonts w:ascii="Arial" w:hAnsi="Arial"/>
          <w:b/>
          <w:sz w:val="28"/>
        </w:rPr>
        <w:t xml:space="preserve">Court Approval of the Arrangement </w:t>
      </w:r>
    </w:p>
    <w:p>
      <w:pPr>
        <w:pStyle w:val="TextBody"/>
        <w:spacing w:before="120" w:after="0"/>
        <w:jc w:val="left"/>
        <w:rPr>
          <w:rFonts w:ascii="arial" w:hAnsi="arial"/>
          <w:color w:val="B94831"/>
          <w:sz w:val="28"/>
        </w:rPr>
      </w:pPr>
      <w:r>
        <w:rPr>
          <w:rFonts w:ascii="arial" w:hAnsi="arial"/>
          <w:color w:val="B94831"/>
          <w:sz w:val="28"/>
        </w:rPr>
        <w:t xml:space="preserve">Interim Order </w:t>
      </w:r>
    </w:p>
    <w:p>
      <w:pPr>
        <w:pStyle w:val="TextBody"/>
        <w:spacing w:before="40" w:after="0"/>
        <w:jc w:val="left"/>
        <w:rPr>
          <w:rFonts w:ascii="arial" w:hAnsi="arial"/>
          <w:sz w:val="20"/>
        </w:rPr>
      </w:pPr>
      <w:r>
        <w:rPr>
          <w:rFonts w:ascii="arial" w:hAnsi="arial"/>
          <w:sz w:val="20"/>
        </w:rPr>
        <w:t xml:space="preserve">We obtained the Interim Order from the Court on April 21, 2023. The Interim Order provides, among other things, that we are authorized to call, hold and conduct the annual and special meeting in the manner set forth in the Interim Order, and at the time and place set forth in the Notice, for the shareholders to consider and, if deemed advisable, pass, the special resolution. The Interim Order is attached as Appendix D to this circular. </w:t>
      </w:r>
    </w:p>
    <w:p>
      <w:pPr>
        <w:pStyle w:val="TextBody"/>
        <w:spacing w:before="120" w:after="0"/>
        <w:jc w:val="left"/>
        <w:rPr>
          <w:rFonts w:ascii="arial" w:hAnsi="arial"/>
          <w:color w:val="B94831"/>
          <w:sz w:val="28"/>
        </w:rPr>
      </w:pPr>
      <w:r>
        <w:rPr>
          <w:rFonts w:ascii="arial" w:hAnsi="arial"/>
          <w:color w:val="B94831"/>
          <w:sz w:val="28"/>
        </w:rPr>
        <w:t xml:space="preserve">Final Order </w:t>
      </w:r>
    </w:p>
    <w:p>
      <w:pPr>
        <w:pStyle w:val="TextBody"/>
        <w:spacing w:before="40" w:after="0"/>
        <w:jc w:val="left"/>
        <w:rPr>
          <w:rFonts w:ascii="arial" w:hAnsi="arial"/>
          <w:sz w:val="20"/>
        </w:rPr>
      </w:pPr>
      <w:r>
        <w:rPr>
          <w:rFonts w:ascii="arial" w:hAnsi="arial"/>
          <w:sz w:val="20"/>
        </w:rPr>
        <w:t xml:space="preserve">Pursuant to the OBCA, the Arrangement requires approval of the Court. If shareholders approve the special resolution at the annual and special meeting, we expect to make an application for the Final Order to be held by videoconference at 10:00 a.m. (Toronto time) on June 16, 2023, or as soon thereafter as is reasonably practicable, before the Court at 330 University Avenue, Toronto, Ontario. At the hearing for the Final Order, approval by the Court may be granted if the Court determines that the Arrangement meets the requirements of the Interim Order and the OBCA, that nothing has been done or purported to be done that is not authorized by the OBCA, and that the Arrangement is fair and reasonable. The Court may approve the Arrangement either as proposed or as amended in any manner the Court may direct, subject to compliance with those terms and conditions, if any, as the Court deems fit. The Notice of Application for the Final Order is attached as Appendix E to this circular. </w:t>
      </w:r>
    </w:p>
    <w:p>
      <w:pPr>
        <w:pStyle w:val="TextBody"/>
        <w:spacing w:before="120" w:after="0"/>
        <w:jc w:val="left"/>
        <w:rPr>
          <w:rFonts w:ascii="arial" w:hAnsi="arial"/>
          <w:sz w:val="20"/>
        </w:rPr>
      </w:pPr>
      <w:r>
        <w:rPr>
          <w:rFonts w:ascii="arial" w:hAnsi="arial"/>
          <w:sz w:val="20"/>
        </w:rPr>
        <w:t xml:space="preserve">In connection with the hearing for the Interim Order, the Court was informed that the Final Order will also constitute the basis for an exemption from registration under the U.S. Securities Act for the shares to be issued pursuant to the Return of Capital Transaction pursuant to Section 3(a)(10) of the U.S. Securities Act. Shareholders are entitled to appear before the Court in connection with their consideration of the Arrangement. </w:t>
      </w:r>
    </w:p>
    <w:p>
      <w:pPr>
        <w:pStyle w:val="TextBody"/>
        <w:spacing w:before="120" w:after="0"/>
        <w:jc w:val="left"/>
        <w:rPr>
          <w:rFonts w:ascii="Arial" w:hAnsi="Arial"/>
          <w:b/>
          <w:sz w:val="28"/>
        </w:rPr>
      </w:pPr>
      <w:bookmarkStart w:id="85" w:name="tx494196_509"/>
      <w:bookmarkEnd w:id="85"/>
      <w:r>
        <w:rPr>
          <w:rFonts w:ascii="Arial" w:hAnsi="Arial"/>
          <w:b/>
          <w:sz w:val="28"/>
        </w:rPr>
        <w:t xml:space="preserve">Filing of Articles of Arrangement </w:t>
      </w:r>
    </w:p>
    <w:p>
      <w:pPr>
        <w:pStyle w:val="TextBody"/>
        <w:spacing w:before="120" w:after="0"/>
        <w:jc w:val="left"/>
        <w:rPr>
          <w:rFonts w:ascii="arial" w:hAnsi="arial"/>
          <w:sz w:val="20"/>
        </w:rPr>
      </w:pPr>
      <w:r>
        <w:rPr>
          <w:rFonts w:ascii="arial" w:hAnsi="arial"/>
          <w:sz w:val="20"/>
        </w:rPr>
        <w:t xml:space="preserve">The Arrangement will take place on the date shown on the certificate of arrangement to be endorsed by the Director appointed under the OBCA. We will announce the expected Effective Date after the annual and special meeting. In the event that shareholder approval is not given to the Arrangement, the TSX or the NYSE do not approve the Arrangement, the Final Order is not granted or our board of directors otherwise decides to revoke the special resolution prior to the Arrangement coming into force, the articles of arrangement will not be filed and the Arrangement will not be effective.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86" w:name="tx494196_510"/>
      <w:bookmarkEnd w:id="86"/>
      <w:r>
        <w:rPr>
          <w:rFonts w:ascii="arial" w:hAnsi="arial"/>
          <w:color w:val="B94831"/>
          <w:sz w:val="52"/>
        </w:rPr>
        <w:t xml:space="preserve">Interest of Certain Persons in Matters to be Acted Upon </w:t>
      </w:r>
    </w:p>
    <w:p>
      <w:pPr>
        <w:pStyle w:val="TextBody"/>
        <w:spacing w:before="480" w:after="0"/>
        <w:jc w:val="left"/>
        <w:rPr>
          <w:rFonts w:ascii="arial" w:hAnsi="arial"/>
          <w:sz w:val="20"/>
        </w:rPr>
      </w:pPr>
      <w:r>
        <w:rPr>
          <w:rFonts w:ascii="arial" w:hAnsi="arial"/>
          <w:sz w:val="20"/>
        </w:rPr>
        <w:t xml:space="preserve">Directors and officers who are Eligible Opt-Out Shareholders may elect to opt out of the Return of Capital Transaction. Other than as set forth above, no person who has been a director or an officer of our company since the beginning of our companys most recently completed financial year, or any associate or affiliate of any of the foregoing persons, has any material interest, direct or indirect, by way of beneficial ownership of securities or otherwise, in any matter to be acted upon at the annual and special meeting. </w:t>
      </w:r>
    </w:p>
    <w:p>
      <w:pPr>
        <w:pStyle w:val="TextBody"/>
        <w:spacing w:before="480" w:after="0"/>
        <w:jc w:val="left"/>
        <w:rPr>
          <w:rFonts w:ascii="arial" w:hAnsi="arial"/>
          <w:color w:val="B94831"/>
          <w:sz w:val="52"/>
        </w:rPr>
      </w:pPr>
      <w:bookmarkStart w:id="87" w:name="tx494196_511"/>
      <w:bookmarkEnd w:id="87"/>
      <w:r>
        <w:rPr>
          <w:rFonts w:ascii="arial" w:hAnsi="arial"/>
          <w:color w:val="B94831"/>
          <w:sz w:val="52"/>
        </w:rPr>
        <w:t xml:space="preserve">Risk Factors </w:t>
      </w:r>
    </w:p>
    <w:p>
      <w:pPr>
        <w:pStyle w:val="TextBody"/>
        <w:spacing w:before="480" w:after="0"/>
        <w:jc w:val="left"/>
        <w:rPr>
          <w:rFonts w:ascii="arial" w:hAnsi="arial"/>
          <w:sz w:val="20"/>
        </w:rPr>
      </w:pPr>
      <w:r>
        <w:rPr>
          <w:rFonts w:ascii="arial" w:hAnsi="arial"/>
          <w:sz w:val="20"/>
        </w:rPr>
        <w:t xml:space="preserve">The completion of the Return of Capital Transaction is subject to a number of conditions precedent, some of which are outside the control of our company, including receipt of approval of the applicable special resolution by the shareholders and the approval of the Court, the TSX and the NYSE. There can be no certainty, nor can our company provide any assurance, that these conditions precedent will be satisfied or, if satisfied, when they will be satisfied. </w:t>
      </w:r>
    </w:p>
    <w:p>
      <w:pPr>
        <w:pStyle w:val="TextBody"/>
        <w:spacing w:before="120" w:after="0"/>
        <w:jc w:val="left"/>
        <w:rPr>
          <w:rFonts w:ascii="arial" w:hAnsi="arial"/>
          <w:sz w:val="20"/>
        </w:rPr>
      </w:pPr>
      <w:r>
        <w:rPr>
          <w:rFonts w:ascii="arial" w:hAnsi="arial"/>
          <w:sz w:val="20"/>
        </w:rPr>
        <w:t xml:space="preserve">There can be no assurance that calculating the Share Consolidation Ratio using the volume weighted average trading price of our shares on the NYSE will result in a share consolidation that is exactly proportional to the Aggregate Cash Distribution Amount. </w:t>
      </w:r>
    </w:p>
    <w:p>
      <w:pPr>
        <w:pStyle w:val="TextBody"/>
        <w:spacing w:before="120" w:after="0"/>
        <w:jc w:val="left"/>
        <w:rPr>
          <w:rFonts w:ascii="arial" w:hAnsi="arial"/>
          <w:sz w:val="20"/>
        </w:rPr>
      </w:pPr>
      <w:r>
        <w:rPr>
          <w:rFonts w:ascii="arial" w:hAnsi="arial"/>
          <w:sz w:val="20"/>
        </w:rPr>
        <w:t xml:space="preserve">There can be no assurance that the trading price of our shares will remain comparable before and after the Return of Capital Transaction. Furthermore, the liquidity of our shares could be adversely affected by the reduced number of shares that would be outstanding after the Return of Capital Transaction. </w:t>
      </w:r>
    </w:p>
    <w:p>
      <w:pPr>
        <w:pStyle w:val="TextBody"/>
        <w:spacing w:before="120" w:after="0"/>
        <w:jc w:val="left"/>
        <w:rPr>
          <w:rFonts w:ascii="arial" w:hAnsi="arial"/>
          <w:sz w:val="20"/>
        </w:rPr>
      </w:pPr>
      <w:r>
        <w:rPr>
          <w:rFonts w:ascii="arial" w:hAnsi="arial"/>
          <w:sz w:val="20"/>
        </w:rPr>
        <w:t xml:space="preserve">The Return of Capital Transaction may result in some shareholders owning odd lots of fewer than 100 shares. Odd lots may be more difficult to sell or involve greater transaction costs, including higher brokerage commissions. </w:t>
      </w:r>
    </w:p>
    <w:p>
      <w:pPr>
        <w:pStyle w:val="TextBody"/>
        <w:spacing w:before="120" w:after="0"/>
        <w:jc w:val="left"/>
        <w:rPr>
          <w:rFonts w:ascii="arial" w:hAnsi="arial"/>
          <w:sz w:val="20"/>
        </w:rPr>
      </w:pPr>
      <w:r>
        <w:rPr>
          <w:rFonts w:ascii="arial" w:hAnsi="arial"/>
          <w:sz w:val="20"/>
        </w:rPr>
        <w:t xml:space="preserve">Shareholders who do not hold a sufficient number of our shares to receive at least one share under the Arrangement will not have a continuing interest in our company upon completion of the Return of Capital Transaction. </w:t>
      </w:r>
    </w:p>
    <w:p>
      <w:pPr>
        <w:pStyle w:val="TextBody"/>
        <w:spacing w:before="120" w:after="0"/>
        <w:jc w:val="left"/>
        <w:rPr>
          <w:rFonts w:ascii="arial" w:hAnsi="arial"/>
          <w:sz w:val="20"/>
        </w:rPr>
      </w:pPr>
      <w:r>
        <w:rPr>
          <w:rFonts w:ascii="arial" w:hAnsi="arial"/>
          <w:sz w:val="20"/>
        </w:rPr>
        <w:t xml:space="preserve">Notwithstanding the shareholders approving the Arrangement, the board of directors will retain the discretion not to proceed with the Return of Capital Transaction if it determines that such transaction is no longer in the best interests of our company. </w:t>
      </w:r>
    </w:p>
    <w:p>
      <w:pPr>
        <w:pStyle w:val="TextBody"/>
        <w:spacing w:before="120" w:after="0"/>
        <w:jc w:val="left"/>
        <w:rPr>
          <w:rFonts w:ascii="arial" w:hAnsi="arial"/>
          <w:sz w:val="20"/>
        </w:rPr>
      </w:pPr>
      <w:r>
        <w:rPr>
          <w:rFonts w:ascii="arial" w:hAnsi="arial"/>
          <w:sz w:val="20"/>
        </w:rPr>
        <w:t xml:space="preserve">There are certain costs related to the Return of Capital Transaction, such as legal and accounting fees incurred, that must be paid even if the Return of Capital Transaction is not completed. </w:t>
      </w:r>
    </w:p>
    <w:p>
      <w:pPr>
        <w:pStyle w:val="TextBody"/>
        <w:spacing w:before="480" w:after="0"/>
        <w:jc w:val="left"/>
        <w:rPr>
          <w:rFonts w:ascii="arial" w:hAnsi="arial"/>
          <w:color w:val="B94831"/>
          <w:sz w:val="52"/>
        </w:rPr>
      </w:pPr>
      <w:bookmarkStart w:id="88" w:name="tx494196_512"/>
      <w:bookmarkEnd w:id="88"/>
      <w:r>
        <w:rPr>
          <w:rFonts w:ascii="arial" w:hAnsi="arial"/>
          <w:color w:val="B94831"/>
          <w:sz w:val="52"/>
        </w:rPr>
        <w:t xml:space="preserve">Depositary </w:t>
      </w:r>
    </w:p>
    <w:p>
      <w:pPr>
        <w:pStyle w:val="TextBody"/>
        <w:spacing w:before="480" w:after="0"/>
        <w:jc w:val="left"/>
        <w:rPr>
          <w:rFonts w:ascii="arial" w:hAnsi="arial"/>
          <w:sz w:val="20"/>
        </w:rPr>
      </w:pPr>
      <w:r>
        <w:rPr>
          <w:rFonts w:ascii="arial" w:hAnsi="arial"/>
          <w:sz w:val="20"/>
        </w:rPr>
        <w:t xml:space="preserve">We have retained the services of Computershare Investor Services Inc. as the Depositary for the receipt of the Letters of Transmittal, the Opt-Out Election and Certification Forms and the certificates representing the shares and for the delivery and payment of the consideration payable as a result of the Return of Capital Transaction. The Depositary will receive reasonable and customary compensation for its services in connection with the Return of Capital Transaction, will be reimbursed for certain reasonable out-of-pocket expenses and will be indemnified against certain liabilities, including liabilities under securities laws and expenses in connection therewith.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118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89" w:name="tx494196_513"/>
      <w:bookmarkEnd w:id="89"/>
      <w:r>
        <w:rPr>
          <w:rFonts w:ascii="arial" w:hAnsi="arial"/>
          <w:color w:val="B94831"/>
          <w:sz w:val="52"/>
        </w:rPr>
        <w:t xml:space="preserve">Information Agent </w:t>
      </w:r>
    </w:p>
    <w:p>
      <w:pPr>
        <w:pStyle w:val="TextBody"/>
        <w:spacing w:before="480" w:after="0"/>
        <w:jc w:val="left"/>
        <w:rPr>
          <w:rFonts w:ascii="arial" w:hAnsi="arial"/>
          <w:sz w:val="20"/>
        </w:rPr>
      </w:pPr>
      <w:r>
        <w:rPr>
          <w:rFonts w:ascii="arial" w:hAnsi="arial"/>
          <w:sz w:val="20"/>
        </w:rPr>
        <w:t xml:space="preserve">We have retained the services of D.F. King as the Information Agent to solicit proxies from shareholders for the annual and special meeting for a fee of approximately US$25,000. The Information Agent will be reimbursed for certain reasonable out-of-pocket expenses. All costs of the solicitation will be borne by the company. </w:t>
      </w:r>
    </w:p>
    <w:p>
      <w:pPr>
        <w:pStyle w:val="TextBody"/>
        <w:spacing w:before="480" w:after="0"/>
        <w:jc w:val="left"/>
        <w:rPr>
          <w:rFonts w:ascii="arial" w:hAnsi="arial"/>
          <w:color w:val="B94831"/>
          <w:sz w:val="52"/>
        </w:rPr>
      </w:pPr>
      <w:bookmarkStart w:id="90" w:name="tx494196_514"/>
      <w:bookmarkEnd w:id="90"/>
      <w:r>
        <w:rPr>
          <w:rFonts w:ascii="arial" w:hAnsi="arial"/>
          <w:color w:val="B94831"/>
          <w:sz w:val="52"/>
        </w:rPr>
        <w:t xml:space="preserve">Income Tax Considerations </w:t>
      </w:r>
    </w:p>
    <w:p>
      <w:pPr>
        <w:pStyle w:val="TextBody"/>
        <w:spacing w:before="480" w:after="0"/>
        <w:jc w:val="left"/>
        <w:rPr>
          <w:rFonts w:ascii="arial" w:hAnsi="arial"/>
          <w:sz w:val="20"/>
        </w:rPr>
      </w:pPr>
      <w:r>
        <w:rPr>
          <w:rFonts w:ascii="arial" w:hAnsi="arial"/>
          <w:sz w:val="20"/>
        </w:rPr>
        <w:t xml:space="preserve">This document does not address tax consequences to shareholders subject to tax in jurisdictions other than Canada and the United  States. We encourage such shareholders to seek their own tax advice on these transactions. </w:t>
      </w:r>
    </w:p>
    <w:p>
      <w:pPr>
        <w:pStyle w:val="TextBody"/>
        <w:spacing w:before="120" w:after="0"/>
        <w:jc w:val="left"/>
        <w:rPr>
          <w:rFonts w:ascii="Arial" w:hAnsi="Arial"/>
          <w:b/>
          <w:sz w:val="28"/>
        </w:rPr>
      </w:pPr>
      <w:bookmarkStart w:id="91" w:name="tx494196_515"/>
      <w:bookmarkEnd w:id="91"/>
      <w:r>
        <w:rPr>
          <w:rFonts w:ascii="Arial" w:hAnsi="Arial"/>
          <w:b/>
          <w:sz w:val="28"/>
        </w:rPr>
        <w:t xml:space="preserve">Certain Canadian Federal Income Tax Considerations </w:t>
      </w:r>
    </w:p>
    <w:p>
      <w:pPr>
        <w:pStyle w:val="TextBody"/>
        <w:spacing w:before="120" w:after="0"/>
        <w:jc w:val="left"/>
        <w:rPr>
          <w:rFonts w:ascii="arial" w:hAnsi="arial"/>
          <w:color w:val="B94831"/>
          <w:sz w:val="28"/>
        </w:rPr>
      </w:pPr>
      <w:r>
        <w:rPr>
          <w:rFonts w:ascii="arial" w:hAnsi="arial"/>
          <w:color w:val="B94831"/>
          <w:sz w:val="28"/>
        </w:rPr>
        <w:t xml:space="preserve">General </w:t>
      </w:r>
    </w:p>
    <w:p>
      <w:pPr>
        <w:pStyle w:val="TextBody"/>
        <w:spacing w:before="40" w:after="0"/>
        <w:jc w:val="left"/>
        <w:rPr>
          <w:rFonts w:ascii="arial" w:hAnsi="arial"/>
          <w:sz w:val="20"/>
        </w:rPr>
      </w:pPr>
      <w:r>
        <w:rPr>
          <w:rFonts w:ascii="arial" w:hAnsi="arial"/>
          <w:sz w:val="20"/>
        </w:rPr>
        <w:t xml:space="preserve">In the opinion of Torys LLP, the following summary describes, as of the date hereof, certain of the material Canadian federal income tax considerations under the Tax Act of the Return of Capital Transaction generally applicable to shareholders. </w:t>
      </w:r>
    </w:p>
    <w:p>
      <w:pPr>
        <w:pStyle w:val="TextBody"/>
        <w:spacing w:before="120" w:after="0"/>
        <w:jc w:val="left"/>
        <w:rPr>
          <w:rFonts w:ascii="arial" w:hAnsi="arial"/>
          <w:sz w:val="20"/>
        </w:rPr>
      </w:pPr>
      <w:r>
        <w:rPr>
          <w:rFonts w:ascii="arial" w:hAnsi="arial"/>
          <w:sz w:val="20"/>
        </w:rPr>
        <w:t xml:space="preserve">This summary is based on the current provisions of the Tax Act and the regulations thereunder, all specific proposals to amend the Tax Act and the regulations thereunder publicly announced by or on behalf of the Minister of Finance (Canada) prior to the date hereof (referred to in this part as the Tax Proposals) and counsels understanding of the current administrative polices and assessing practices of the Canada Revenue Agency which have been published in writing prior to the date hereof. The summary assumes that all of the Tax Proposals will be implemented in the form proposed, although no assurance in this regard can be given. This summary does not otherwise take into account or anticipate any changes in law or administrative policies and practices, whether by legislative, regulatory, administrative or judicial decision or action, nor does it take into account provincial, territorial or foreign tax considerations, which may differ significantly from those discussed herein. </w:t>
      </w:r>
    </w:p>
    <w:p>
      <w:pPr>
        <w:pStyle w:val="TextBody"/>
        <w:spacing w:before="120" w:after="0"/>
        <w:jc w:val="left"/>
        <w:rPr>
          <w:rFonts w:ascii="arial" w:hAnsi="arial"/>
          <w:sz w:val="20"/>
        </w:rPr>
      </w:pPr>
      <w:r>
        <w:rPr>
          <w:rFonts w:ascii="arial" w:hAnsi="arial"/>
          <w:sz w:val="20"/>
        </w:rPr>
        <w:t xml:space="preserve">This summary is not applicable to a shareholder (i) that is a financial institution for the purposes of the mark-to-market rules, (ii) that is a specified financial institution, (iii) that reports its Canadian tax results in a currency other than Canadian dollars, (iv) an interest in which is a tax shelter investment, or (v) that has entered into a derivative forward agreement or a dividend rental arrangement as defined in the Tax Act in respect of the common shares, as each of those terms is defined in the Tax Act. This summary is also not applicable to a shareholder that acquired common shares pursuant to the exercise of an employee stock option and whose common shares participate in the Return of Capital Transaction. All of the foregoing shareholders should consult their own tax advisors regarding their particular circumstances. </w:t>
      </w:r>
    </w:p>
    <w:p>
      <w:pPr>
        <w:pStyle w:val="TextBody"/>
        <w:spacing w:before="120" w:after="0"/>
        <w:jc w:val="left"/>
        <w:rPr>
          <w:rFonts w:ascii="Arial" w:hAnsi="Arial"/>
          <w:b/>
          <w:sz w:val="20"/>
        </w:rPr>
      </w:pPr>
      <w:r>
        <w:rPr>
          <w:rFonts w:ascii="Arial" w:hAnsi="Arial"/>
          <w:b/>
          <w:sz w:val="20"/>
        </w:rPr>
        <w:t xml:space="preserve">This summary is not exhaustive of all Canadian federal income tax considerations. Further, this summary is of a general nature only and is not intended to be, nor should it be considered to be, legal or tax advice to any particular shareholder and no representation is made with respect to the income tax consequences to any particular shareholder. Accordingly, shareholders should consult their own tax advisors concerning the application and effect of the income and other taxes of any country, province, territory, state or local tax authority, having regard to their particular circumstances. </w:t>
      </w:r>
    </w:p>
    <w:p>
      <w:pPr>
        <w:pStyle w:val="TextBody"/>
        <w:spacing w:before="120" w:after="0"/>
        <w:jc w:val="left"/>
        <w:rPr>
          <w:rFonts w:ascii="arial" w:hAnsi="arial"/>
          <w:color w:val="B94831"/>
          <w:sz w:val="28"/>
        </w:rPr>
      </w:pPr>
      <w:r>
        <w:rPr>
          <w:rFonts w:ascii="arial" w:hAnsi="arial"/>
          <w:color w:val="B94831"/>
          <w:sz w:val="28"/>
        </w:rPr>
        <w:t xml:space="preserve">Canadian Currency </w:t>
      </w:r>
    </w:p>
    <w:p>
      <w:pPr>
        <w:pStyle w:val="TextBody"/>
        <w:spacing w:before="40" w:after="0"/>
        <w:jc w:val="left"/>
        <w:rPr>
          <w:rFonts w:ascii="arial" w:hAnsi="arial"/>
          <w:sz w:val="20"/>
        </w:rPr>
      </w:pPr>
      <w:r>
        <w:rPr>
          <w:rFonts w:ascii="arial" w:hAnsi="arial"/>
          <w:sz w:val="20"/>
        </w:rPr>
        <w:t xml:space="preserve">Generally, for purposes of the Tax Act, all amounts relating to the acquisition, holding or disposition or deemed disposition of a common share must be expressed in Canadian dollars. Amounts denominated in another currency must be converted into Canadian dollars using the applicable rate of exchange (for purposes of the Tax Act) quoted by the Bank of Canada on the date such amounts arose, or such other rate of exchange as is acceptable to the CRA. </w:t>
      </w:r>
    </w:p>
    <w:p>
      <w:pPr>
        <w:pStyle w:val="TextBody"/>
        <w:spacing w:before="120" w:after="0"/>
        <w:jc w:val="left"/>
        <w:rPr>
          <w:rFonts w:ascii="arial" w:hAnsi="arial"/>
          <w:color w:val="B94831"/>
          <w:sz w:val="28"/>
        </w:rPr>
      </w:pPr>
      <w:r>
        <w:rPr>
          <w:rFonts w:ascii="arial" w:hAnsi="arial"/>
          <w:color w:val="B94831"/>
          <w:sz w:val="28"/>
        </w:rPr>
        <w:t xml:space="preserve">Shareholders Resident in Canada </w:t>
      </w:r>
    </w:p>
    <w:p>
      <w:pPr>
        <w:pStyle w:val="TextBody"/>
        <w:spacing w:before="40" w:after="0"/>
        <w:jc w:val="left"/>
        <w:rPr>
          <w:rFonts w:ascii="arial" w:hAnsi="arial"/>
          <w:sz w:val="20"/>
        </w:rPr>
      </w:pPr>
      <w:r>
        <w:rPr>
          <w:rFonts w:ascii="arial" w:hAnsi="arial"/>
          <w:sz w:val="20"/>
        </w:rPr>
        <w:t xml:space="preserve">The following portion of the summary is, subject to the discussion under General above, applicable to a shareholder who, for the purposes of the Tax Act and at all relevant times, is or is deemed to be a resident of Canada, deals at arms length with, and is not affiliated with, Thomson Reuters, holds its common shares as capital property and is not exempt from tax under Part I of the Tax Act (referred to in this part as a Canadian Resident Shareholder). The common shares will generally be considered to be capital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property to a Canadian Resident Shareholder provided that the Canadian Resident Shareholder does not hold the common shares in the course of carrying on a business of buying and selling shares and has not acquired the common shares in a transaction considered to be an adventure or concern in the nature of trade. Certain Canadian Resident Shareholders that might not otherwise be considered to hold their common shares as capital property may, in certain circumstances, be entitled to have the common shares and all other Canadian securities (as defined in the Tax Act) owned by such Canadian Resident Shareholders in the taxation year of the election and all subsequent taxation years deemed to be capital property by making the irrevocable election permitted by subsection 39(4) of the Tax Act. Such Canadian Resident Shareholders should consult their own tax advisors for advice with respect to whether an election under subsection 39(4) of the Tax Act is available or advisable having regard to their particular circumstances. </w:t>
      </w:r>
    </w:p>
    <w:p>
      <w:pPr>
        <w:pStyle w:val="TextBody"/>
        <w:spacing w:before="120" w:after="0"/>
        <w:jc w:val="left"/>
        <w:rPr>
          <w:rFonts w:ascii="arial" w:hAnsi="arial"/>
          <w:b/>
          <w:sz w:val="21"/>
        </w:rPr>
      </w:pPr>
      <w:r>
        <w:rPr>
          <w:rFonts w:ascii="arial" w:hAnsi="arial"/>
          <w:b/>
          <w:sz w:val="21"/>
        </w:rPr>
        <w:t xml:space="preserve">Exchange of Common Shares for Cash and New Common Shares </w:t>
      </w:r>
    </w:p>
    <w:p>
      <w:pPr>
        <w:pStyle w:val="TextBody"/>
        <w:spacing w:before="40" w:after="0"/>
        <w:jc w:val="left"/>
        <w:rPr>
          <w:rFonts w:ascii="arial" w:hAnsi="arial"/>
          <w:sz w:val="20"/>
        </w:rPr>
      </w:pPr>
      <w:r>
        <w:rPr>
          <w:rFonts w:ascii="arial" w:hAnsi="arial"/>
          <w:sz w:val="20"/>
        </w:rPr>
        <w:t xml:space="preserve">Pursuant to the Return of Capital Transaction, each participating shareholder will exchange their common shares for cash and New Common Shares. The following portion of this summary describes the principal Canadian federal income tax considerations generally applicable to a Canadian Resident Shareholder on the exchange of common shares for cash and New Common Shares. </w:t>
      </w:r>
    </w:p>
    <w:p>
      <w:pPr>
        <w:pStyle w:val="TextBody"/>
        <w:spacing w:before="120" w:after="0"/>
        <w:jc w:val="left"/>
        <w:rPr>
          <w:rFonts w:ascii="arial" w:hAnsi="arial"/>
          <w:sz w:val="20"/>
        </w:rPr>
      </w:pPr>
      <w:r>
        <w:rPr>
          <w:rFonts w:ascii="arial" w:hAnsi="arial"/>
          <w:sz w:val="20"/>
        </w:rPr>
        <w:t xml:space="preserve">On the exchange of common shares for cash and New Common Shares pursuant to the Return of Capital Transaction, a Canadian Resident Shareholder will be deemed to have received a taxable dividend on the common shares so exchanged equal to the amount, if any, by which (i) the sum of the amount of the cash received by the Canadian Resident Shareholder on the exchange and the amount of the PUC of the New Common Shares received by the Canadian Resident Shareholder on the exchange, exceeds (ii) the amount of the PUC of the common shares so exchanged immediately prior to the exchange. The estimated PUC of the common shares at the date of this circular is C$10.65 per share. Pursuant to the Return of Capital Transaction, the aggregate PUC of the New Common Shares will be an amount that is not greater than the difference between the PUC of the common shares to be exchanged and the Aggregate Cash Distribution Amount to be received in respect of the common shares to be exchanged. Accordingly, based on the foregoing, Thomson Reuters does not anticipate that any deemed dividend will arise on the exchange of common shares for cash and New Common Shares pursuant to the Return of Capital Transaction. </w:t>
      </w:r>
    </w:p>
    <w:p>
      <w:pPr>
        <w:pStyle w:val="TextBody"/>
        <w:spacing w:before="120" w:after="0"/>
        <w:jc w:val="left"/>
        <w:rPr>
          <w:rFonts w:ascii="arial" w:hAnsi="arial"/>
          <w:sz w:val="20"/>
        </w:rPr>
      </w:pPr>
      <w:r>
        <w:rPr>
          <w:rFonts w:ascii="arial" w:hAnsi="arial"/>
          <w:sz w:val="20"/>
        </w:rPr>
        <w:t xml:space="preserve">On the exchange of common shares for cash and New Common Shares pursuant to the Return of Capital Transaction, a Canadian Resident Shareholder will be deemed to have acquired the New Common Shares acquired by it pursuant to the Return of Capital Transaction at a cost equal to the amount, if any, by which the adjusted cost base to such Canadian Resident Shareholder of its common shares immediately prior to the exchange exceeds the amount of cash received by the Canadian Resident Shareholder for its common shares pursuant to the Return of Capital Transaction. </w:t>
      </w:r>
    </w:p>
    <w:p>
      <w:pPr>
        <w:pStyle w:val="TextBody"/>
        <w:spacing w:before="120" w:after="0"/>
        <w:jc w:val="left"/>
        <w:rPr>
          <w:rFonts w:ascii="arial" w:hAnsi="arial"/>
          <w:b/>
          <w:sz w:val="21"/>
        </w:rPr>
      </w:pPr>
      <w:r>
        <w:rPr>
          <w:rFonts w:ascii="arial" w:hAnsi="arial"/>
          <w:b/>
          <w:sz w:val="21"/>
        </w:rPr>
        <w:t xml:space="preserve">Capital Gain/Loss </w:t>
      </w:r>
    </w:p>
    <w:p>
      <w:pPr>
        <w:pStyle w:val="TextBody"/>
        <w:spacing w:before="40" w:after="0"/>
        <w:jc w:val="left"/>
        <w:rPr>
          <w:rFonts w:ascii="arial" w:hAnsi="arial"/>
          <w:sz w:val="20"/>
        </w:rPr>
      </w:pPr>
      <w:r>
        <w:rPr>
          <w:rFonts w:ascii="arial" w:hAnsi="arial"/>
          <w:sz w:val="20"/>
        </w:rPr>
        <w:t xml:space="preserve">On the exchange of common shares for cash and New Common Shares pursuant to the Return of Capital Transaction, a Canadian Resident Shareholder will be deemed to have disposed of its common shares for proceeds of disposition equal to the amount by which (i) the greater of the adjusted cost base of such common shares immediately before the exchange and the amount of the cash received by the Canadian Resident Shareholder on the exchange, exceeds (ii) the amount of any taxable dividend deemed to have been received by the Canadian Resident Shareholder on such common shares as described above. As noted above, Thomson Reuters does not anticipate that any deemed dividend will arise on the exchange of common shares for cash and New Common Shares pursuant to the Return of Capital Transaction, in which case a Canadian Resident Shareholder will be deemed to have disposed of its common shares for proceeds of disposition equal to the greater of the adjusted cost base of such common shares immediately before the exchange and the amount of the cash received by the Canadian Resident Shareholder in respect of its common shares on the exchange. A Canadian Resident Shareholder will realize a capital gain (or loss) to the extent that the deemed proceeds of disposition of its common shares exceed (or are less than) the adjusted cost base of the common shares immediately before the Effective Time. </w:t>
      </w:r>
    </w:p>
    <w:p>
      <w:pPr>
        <w:pStyle w:val="TextBody"/>
        <w:spacing w:before="120" w:after="0"/>
        <w:jc w:val="left"/>
        <w:rPr>
          <w:rFonts w:ascii="arial" w:hAnsi="arial"/>
          <w:b/>
          <w:sz w:val="21"/>
        </w:rPr>
      </w:pPr>
      <w:r>
        <w:rPr>
          <w:rFonts w:ascii="arial" w:hAnsi="arial"/>
          <w:b/>
          <w:sz w:val="21"/>
        </w:rPr>
        <w:t xml:space="preserve">Taxation of Capital Gains and Losses </w:t>
      </w:r>
    </w:p>
    <w:p>
      <w:pPr>
        <w:pStyle w:val="TextBody"/>
        <w:spacing w:before="40" w:after="0"/>
        <w:jc w:val="left"/>
        <w:rPr>
          <w:rFonts w:ascii="arial" w:hAnsi="arial"/>
          <w:sz w:val="20"/>
        </w:rPr>
      </w:pPr>
      <w:r>
        <w:rPr>
          <w:rFonts w:ascii="arial" w:hAnsi="arial"/>
          <w:sz w:val="20"/>
        </w:rPr>
        <w:t xml:space="preserve">Generally, a Canadian Resident Shareholder will be required to include in computing its income for a taxation year one-half of any capital gain (a taxable capital gain) realized by it in that year. Subject to and in accordance with the provisions of the Tax Act, a Canadian Resident Shareholder must deduct one-half of the amount of any capital loss realized in a taxation year from taxable capital gains realized by the Canadian Resident Shareholder in that year, and any excess may be carried back to any of the three preceding taxation years or carried forward to any subsequent taxation year and deducted against net taxable capital gains realized in such years.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amount of a capital loss realized on the disposition of a common share by a Canadian Resident Shareholder that is a corporation may, to the extent and under the circumstances specified in the Tax Act, be reduced by the amount of dividends received or deemed to be received on the common shares. Similar rules may apply where a corporation is a member of a partnership or a beneficiary of a trust that owns common shares, directly or indirectly, through a partnership or trust. Canadian Resident Shareholders who may be affected by these rules are urged to consult with their own tax advisors in this regard. </w:t>
      </w:r>
    </w:p>
    <w:p>
      <w:pPr>
        <w:pStyle w:val="TextBody"/>
        <w:spacing w:before="120" w:after="0"/>
        <w:jc w:val="left"/>
        <w:rPr>
          <w:rFonts w:ascii="arial" w:hAnsi="arial"/>
          <w:sz w:val="20"/>
        </w:rPr>
      </w:pPr>
      <w:r>
        <w:rPr>
          <w:rFonts w:ascii="arial" w:hAnsi="arial"/>
          <w:sz w:val="20"/>
        </w:rPr>
        <w:t xml:space="preserve">A Canadian Resident Shareholder who is an individual, including most trusts, may have all or a portion of any capital loss on the disposition of common shares pursuant to the Return of Capital Transaction denied if the superficial loss rules in the Tax Act apply. This may arise where the Canadian Resident Shareholder (or a person affiliated with the Canadian Resident Shareholder for purposes of the Tax Act) acquires additional common shares in the period commencing 30 days prior to, and ending 30 days after, the disposition of the common shares pursuant to the Return of Capital Transaction. Canadian Resident Shareholders are urged to consult their own tax advisors with respect to the superficial loss rules. </w:t>
      </w:r>
    </w:p>
    <w:p>
      <w:pPr>
        <w:pStyle w:val="TextBody"/>
        <w:spacing w:before="120" w:after="0"/>
        <w:jc w:val="left"/>
        <w:rPr>
          <w:rFonts w:ascii="arial" w:hAnsi="arial"/>
          <w:sz w:val="20"/>
        </w:rPr>
      </w:pPr>
      <w:r>
        <w:rPr>
          <w:rFonts w:ascii="arial" w:hAnsi="arial"/>
          <w:sz w:val="20"/>
        </w:rPr>
        <w:t xml:space="preserve">Similarly, a Canadian Resident Shareholder that is a corporation may have all or a portion of any capital loss on the disposition of the common shares pursuant to the Return of Capital Transaction suspended if it (or a person affiliated with it for purposes of the Tax Act) acquires additional common shares in the period commencing 30 days prior, and ending 30 days after, the disposition of common shares pursuant to the Return of Capital Transaction. A Canadian Resident Shareholder that is a corporation is urged to consult its own tax advisors with respect to the suspended loss rules. </w:t>
      </w:r>
    </w:p>
    <w:p>
      <w:pPr>
        <w:pStyle w:val="TextBody"/>
        <w:spacing w:before="120" w:after="0"/>
        <w:jc w:val="left"/>
        <w:rPr>
          <w:rFonts w:ascii="arial" w:hAnsi="arial"/>
          <w:sz w:val="20"/>
        </w:rPr>
      </w:pPr>
      <w:r>
        <w:rPr>
          <w:rFonts w:ascii="arial" w:hAnsi="arial"/>
          <w:sz w:val="20"/>
        </w:rPr>
        <w:t xml:space="preserve">A Canadian Resident Shareholder that is a Canadian-controlled private corporation throughout the year (as defined in the Tax Act) may be liable to pay an additional tax (refundable in certain circumstances) on its aggregate investment income for the year, which is defined to include an amount in respect of taxable capital gains (but not dividends, or deemed dividends, that are deductible in computing taxable income). This additional tax and refund mechanism in respect of aggregate investment income would also apply to substantive CCPCs, as defined in the Tax Proposals. Canadian Resident Shareholders that are corporations should consult their own tax advisors in this regard. </w:t>
      </w:r>
    </w:p>
    <w:p>
      <w:pPr>
        <w:pStyle w:val="TextBody"/>
        <w:spacing w:before="120" w:after="0"/>
        <w:jc w:val="left"/>
        <w:rPr>
          <w:rFonts w:ascii="arial" w:hAnsi="arial"/>
          <w:b/>
          <w:sz w:val="21"/>
        </w:rPr>
      </w:pPr>
      <w:r>
        <w:rPr>
          <w:rFonts w:ascii="arial" w:hAnsi="arial"/>
          <w:b/>
          <w:sz w:val="21"/>
        </w:rPr>
        <w:t xml:space="preserve">Alternative Minimum Tax </w:t>
      </w:r>
    </w:p>
    <w:p>
      <w:pPr>
        <w:pStyle w:val="TextBody"/>
        <w:spacing w:before="40" w:after="0"/>
        <w:jc w:val="left"/>
        <w:rPr>
          <w:rFonts w:ascii="arial" w:hAnsi="arial"/>
          <w:sz w:val="20"/>
        </w:rPr>
      </w:pPr>
      <w:r>
        <w:rPr>
          <w:rFonts w:ascii="arial" w:hAnsi="arial"/>
          <w:sz w:val="20"/>
        </w:rPr>
        <w:t xml:space="preserve">A capital gain realized, or a dividend received (or deemed to be received) by a Canadian Resident Shareholder who is an individual, including a trust (other than certain specified trusts), as a result of the disposition of common shares pursuant to the Return of Capital Transaction may give rise to a liability for alternative minimum tax. Such Canadian Resident Shareholders should consult their own tax advisors with respect to the alternative minimum tax rules set out in the Tax Act. </w:t>
      </w:r>
    </w:p>
    <w:p>
      <w:pPr>
        <w:pStyle w:val="TextBody"/>
        <w:spacing w:before="120" w:after="0"/>
        <w:jc w:val="left"/>
        <w:rPr>
          <w:rFonts w:ascii="arial" w:hAnsi="arial"/>
          <w:b/>
          <w:sz w:val="21"/>
        </w:rPr>
      </w:pPr>
      <w:r>
        <w:rPr>
          <w:rFonts w:ascii="arial" w:hAnsi="arial"/>
          <w:b/>
          <w:sz w:val="21"/>
        </w:rPr>
        <w:t xml:space="preserve">Exchange of New Common Shares for Common Shares </w:t>
      </w:r>
    </w:p>
    <w:p>
      <w:pPr>
        <w:pStyle w:val="TextBody"/>
        <w:spacing w:before="40" w:after="0"/>
        <w:jc w:val="left"/>
        <w:rPr>
          <w:rFonts w:ascii="arial" w:hAnsi="arial"/>
          <w:sz w:val="20"/>
        </w:rPr>
      </w:pPr>
      <w:r>
        <w:rPr>
          <w:rFonts w:ascii="arial" w:hAnsi="arial"/>
          <w:sz w:val="20"/>
        </w:rPr>
        <w:t xml:space="preserve">As part of the Return of Capital Transaction, each New Common Share held by a participating shareholder will be exchanged for one common share and each portion of a New Common Share issued will be exchanged for the same portion of a common share. Canadian Resident Shareholders will be deemed not to have disposed of the New Common Shares on such exchange. </w:t>
      </w:r>
    </w:p>
    <w:p>
      <w:pPr>
        <w:pStyle w:val="TextBody"/>
        <w:spacing w:before="120" w:after="0"/>
        <w:jc w:val="left"/>
        <w:rPr>
          <w:rFonts w:ascii="arial" w:hAnsi="arial"/>
          <w:sz w:val="20"/>
        </w:rPr>
      </w:pPr>
      <w:r>
        <w:rPr>
          <w:rFonts w:ascii="arial" w:hAnsi="arial"/>
          <w:sz w:val="20"/>
        </w:rPr>
        <w:t xml:space="preserve">The aggregate adjusted cost base of the common shares acquired by a Canadian Resident Shareholder on such exchange will be equal to the Canadian Resident Shareholders aggregate adjusted cost base of its New Common Shares immediately before such exchange. </w:t>
      </w:r>
    </w:p>
    <w:p>
      <w:pPr>
        <w:pStyle w:val="TextBody"/>
        <w:spacing w:before="120" w:after="0"/>
        <w:jc w:val="left"/>
        <w:rPr>
          <w:rFonts w:ascii="arial" w:hAnsi="arial"/>
          <w:b/>
          <w:sz w:val="21"/>
        </w:rPr>
      </w:pPr>
      <w:r>
        <w:rPr>
          <w:rFonts w:ascii="arial" w:hAnsi="arial"/>
          <w:b/>
          <w:sz w:val="21"/>
        </w:rPr>
        <w:t xml:space="preserve">Dividends on Common Shares (Post-Arrangement) </w:t>
      </w:r>
    </w:p>
    <w:p>
      <w:pPr>
        <w:pStyle w:val="TextBody"/>
        <w:spacing w:before="40" w:after="0"/>
        <w:jc w:val="left"/>
        <w:rPr>
          <w:rFonts w:ascii="arial" w:hAnsi="arial"/>
          <w:sz w:val="20"/>
        </w:rPr>
      </w:pPr>
      <w:r>
        <w:rPr>
          <w:rFonts w:ascii="arial" w:hAnsi="arial"/>
          <w:sz w:val="20"/>
        </w:rPr>
        <w:t xml:space="preserve">Dividends received, or deemed to be received, by a Canadian Resident Shareholder on its common shares after the Return of Capital Transaction will be included in computing the Canadian Resident Shareholders income for the purposes of the Tax Act. In the case of a Canadian Resident Shareholder who is an individual (other than certain trusts), such dividends will generally be subject to the gross-up and dividend tax credit rules in the Tax Act normally applicable to taxable dividends received from taxable Canadian corporations, including the enhanced gross-up and dividend tax credit rules applicable to any dividends designated as eligible dividends for these purposes (all within the meaning of the Tax Act). </w:t>
      </w:r>
    </w:p>
    <w:p>
      <w:pPr>
        <w:pStyle w:val="TextBody"/>
        <w:spacing w:before="120" w:after="0"/>
        <w:jc w:val="left"/>
        <w:rPr>
          <w:rFonts w:ascii="arial" w:hAnsi="arial"/>
          <w:sz w:val="20"/>
        </w:rPr>
      </w:pPr>
      <w:r>
        <w:rPr>
          <w:rFonts w:ascii="arial" w:hAnsi="arial"/>
          <w:sz w:val="20"/>
        </w:rPr>
        <w:t xml:space="preserve">Dividends received, or deemed to be received, on common shares by a Canadian Resident Shareholder who is an individual (including certain trusts) may result in such Canadian Resident Shareholder being liable for alternative minimum tax under the Tax Act. Canadian Resident Shareholders who are individuals should consult their own tax advisors in this regard. </w:t>
      </w:r>
    </w:p>
    <w:p>
      <w:pPr>
        <w:pStyle w:val="TextBody"/>
        <w:spacing w:before="120" w:after="0"/>
        <w:jc w:val="left"/>
        <w:rPr>
          <w:rFonts w:ascii="arial" w:hAnsi="arial"/>
          <w:sz w:val="20"/>
        </w:rPr>
      </w:pPr>
      <w:r>
        <w:rPr>
          <w:rFonts w:ascii="arial" w:hAnsi="arial"/>
          <w:sz w:val="20"/>
        </w:rPr>
        <w:t xml:space="preserve">Dividends received, or deemed to be received, by a Canadian Resident Shareholder that is a corporation on its common shares after the Return of Capital Transaction will be required to be included in computing the corporations income, but such dividends will generally be deductible in computing the corporations taxable income, subject to certain limitations in the Tax Act. In certain circumstances, subsection 55(2) of the Tax Act will treat a taxable dividend received by a Canadian Resident Shareholder that is a corporation as proceeds of disposition or a capital gain. Canadian Resident Shareholders that are corporations should consult their own tax advisors having regard to their own circumstances.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 Canadian Resident Shareholder that is a private corporation or a subject corporation (each as defined in the Tax Act) may be liable to pay a refundable tax on dividends received or deemed to be received on the common shares to the extent such dividends are deductible in computing the Canadian Resident Shareholders taxable income. </w:t>
      </w:r>
    </w:p>
    <w:p>
      <w:pPr>
        <w:pStyle w:val="TextBody"/>
        <w:spacing w:before="120" w:after="0"/>
        <w:jc w:val="left"/>
        <w:rPr>
          <w:rFonts w:ascii="arial" w:hAnsi="arial"/>
          <w:b/>
          <w:sz w:val="21"/>
        </w:rPr>
      </w:pPr>
      <w:r>
        <w:rPr>
          <w:rFonts w:ascii="arial" w:hAnsi="arial"/>
          <w:b/>
          <w:sz w:val="21"/>
        </w:rPr>
        <w:t xml:space="preserve">Dispositions of Common Shares (Post-Arrangement) </w:t>
      </w:r>
    </w:p>
    <w:p>
      <w:pPr>
        <w:pStyle w:val="TextBody"/>
        <w:spacing w:before="40" w:after="0"/>
        <w:jc w:val="left"/>
        <w:rPr>
          <w:rFonts w:ascii="arial" w:hAnsi="arial"/>
          <w:sz w:val="20"/>
        </w:rPr>
      </w:pPr>
      <w:r>
        <w:rPr>
          <w:rFonts w:ascii="arial" w:hAnsi="arial"/>
          <w:sz w:val="20"/>
        </w:rPr>
        <w:t xml:space="preserve">A disposition by a Canadian Resident Shareholder of common shares after the Return of Capital Transaction (including dispositions arising in connection with the treatment of fractional share entitlements) generally will result in a capital gain (or a capital loss) to such Canadian Resident Shareholder to the extent that the proceeds of disposition received exceed (or are exceeded by) the total of the Canadian Resident Shareholders adjusted cost base of the common shares and any reasonable costs of disposition. The tax treatment of capital gains and capital losses is discussed in this portion of the summary under the heading Taxation of Capital Gains and Losses. </w:t>
      </w:r>
    </w:p>
    <w:p>
      <w:pPr>
        <w:pStyle w:val="TextBody"/>
        <w:spacing w:before="120" w:after="0"/>
        <w:jc w:val="left"/>
        <w:rPr>
          <w:rFonts w:ascii="arial" w:hAnsi="arial"/>
          <w:color w:val="B94831"/>
          <w:sz w:val="28"/>
        </w:rPr>
      </w:pPr>
      <w:r>
        <w:rPr>
          <w:rFonts w:ascii="arial" w:hAnsi="arial"/>
          <w:color w:val="B94831"/>
          <w:sz w:val="28"/>
        </w:rPr>
        <w:t xml:space="preserve">Non-Canadian Resident Shareholders </w:t>
      </w:r>
    </w:p>
    <w:p>
      <w:pPr>
        <w:pStyle w:val="TextBody"/>
        <w:spacing w:before="40" w:after="0"/>
        <w:jc w:val="left"/>
        <w:rPr>
          <w:rFonts w:ascii="arial" w:hAnsi="arial"/>
          <w:sz w:val="20"/>
        </w:rPr>
      </w:pPr>
      <w:r>
        <w:rPr>
          <w:rFonts w:ascii="arial" w:hAnsi="arial"/>
          <w:sz w:val="20"/>
        </w:rPr>
        <w:t xml:space="preserve">The following portion of the summary is, subject to the discussion under General above, applicable to a shareholder who, for purposes of the Tax Act and at all relevant times: (i) is not resident or deemed to be resident in Canada, (ii) does not use or hold, and is not deemed to use or hold, its common shares in connection with carrying on a business in Canada, (iii) deals at arms length with, and is not affiliated with, Thomson Reuters, and (iv) is not an insurer that carries on an insurance business in Canada and elsewhere (referred to in this part as a Non-Canadian Resident Shareholder). </w:t>
      </w:r>
    </w:p>
    <w:p>
      <w:pPr>
        <w:pStyle w:val="TextBody"/>
        <w:spacing w:before="120" w:after="0"/>
        <w:jc w:val="left"/>
        <w:rPr>
          <w:rFonts w:ascii="arial" w:hAnsi="arial"/>
          <w:b/>
          <w:sz w:val="21"/>
        </w:rPr>
      </w:pPr>
      <w:r>
        <w:rPr>
          <w:rFonts w:ascii="arial" w:hAnsi="arial"/>
          <w:b/>
          <w:sz w:val="21"/>
        </w:rPr>
        <w:t xml:space="preserve">Exchange of Common Shares for Cash and New Common Shares </w:t>
      </w:r>
    </w:p>
    <w:p>
      <w:pPr>
        <w:pStyle w:val="TextBody"/>
        <w:spacing w:before="40" w:after="0"/>
        <w:jc w:val="left"/>
        <w:rPr>
          <w:rFonts w:ascii="arial" w:hAnsi="arial"/>
          <w:sz w:val="20"/>
        </w:rPr>
      </w:pPr>
      <w:r>
        <w:rPr>
          <w:rFonts w:ascii="arial" w:hAnsi="arial"/>
          <w:sz w:val="20"/>
        </w:rPr>
        <w:t xml:space="preserve">Pursuant to the Return of Capital Transaction, Non-Canadian Resident Shareholders that participate in the Return of Capital Transaction (those that do not elect to opt out) will exchange their common shares for cash and New Common Shares. The following portion of this summary describes the principal Canadian federal income tax considerations generally applicable to a Non-Canadian Resident Shareholder on the exchange of common shares for cash and New Common Shares. </w:t>
      </w:r>
    </w:p>
    <w:p>
      <w:pPr>
        <w:pStyle w:val="TextBody"/>
        <w:spacing w:before="120" w:after="0"/>
        <w:jc w:val="left"/>
        <w:rPr>
          <w:rFonts w:ascii="arial" w:hAnsi="arial"/>
          <w:sz w:val="20"/>
        </w:rPr>
      </w:pPr>
      <w:r>
        <w:rPr>
          <w:rFonts w:ascii="arial" w:hAnsi="arial"/>
          <w:sz w:val="20"/>
        </w:rPr>
        <w:t xml:space="preserve">On the exchange of common shares for cash and New Common Shares pursuant to the Return of Capital Transaction, a Non-Canadian Resident Shareholder will be deemed to have received a taxable dividend on the common shares so exchanged equal to the amount, if any, by which (i) the sum of the amount of the cash received by the Non-Canadian Resident Shareholder on the exchange and the amount of the PUC of the New Common Shares received by the Non-Canadian Resident Shareholder on the exchange, exceeds (ii) the amount of the PUC of the common shares so exchanged immediately prior to the exchange. The estimated PUC of the common shares at the date of this circular is C$10.65 per share. Pursuant to the Return of Capital Transaction, the aggregate PUC of the New Common Shares will be an amount that is not greater than the difference between the PUC of the common shares to be exchanged and the Aggregate Cash Distribution Amount to be received in respect of the common shares to be exchanged. Accordingly, based on the foregoing, Thomson Reuters does not anticipate that any deemed dividend will arise on the exchange of common shares for cash and New Common Shares by a Non-Canadian Resident Shareholder pursuant to the Return of Capital Transaction. On that basis, there will not be any Canadian withholding tax on that exchange. </w:t>
      </w:r>
    </w:p>
    <w:p>
      <w:pPr>
        <w:pStyle w:val="TextBody"/>
        <w:spacing w:before="120" w:after="0"/>
        <w:jc w:val="left"/>
        <w:rPr>
          <w:rFonts w:ascii="arial" w:hAnsi="arial"/>
          <w:sz w:val="20"/>
        </w:rPr>
      </w:pPr>
      <w:r>
        <w:rPr>
          <w:rFonts w:ascii="arial" w:hAnsi="arial"/>
          <w:sz w:val="20"/>
        </w:rPr>
        <w:t xml:space="preserve">On the exchange of common shares for cash and New Common Shares pursuant to the Return of Capital Transaction, a Non-Canadian Resident Shareholder will be deemed to have acquired the New Common Shares acquired by it pursuant to the Return of Capital Transaction at a cost equal to the amount, if any, by which the adjusted cost base to such Non-Canadian Resident Shareholder of its common shares immediately prior to the exchange exceeds the amount of cash received by the Non-Canadian Resident Shareholder for its common shares pursuant to the Return of Capital Transaction. </w:t>
      </w:r>
    </w:p>
    <w:p>
      <w:pPr>
        <w:pStyle w:val="TextBody"/>
        <w:spacing w:before="120" w:after="0"/>
        <w:jc w:val="left"/>
        <w:rPr>
          <w:rFonts w:ascii="arial" w:hAnsi="arial"/>
          <w:b/>
          <w:sz w:val="21"/>
        </w:rPr>
      </w:pPr>
      <w:r>
        <w:rPr>
          <w:rFonts w:ascii="arial" w:hAnsi="arial"/>
          <w:b/>
          <w:sz w:val="21"/>
        </w:rPr>
        <w:t xml:space="preserve">Capital Gain/Loss </w:t>
      </w:r>
    </w:p>
    <w:p>
      <w:pPr>
        <w:pStyle w:val="TextBody"/>
        <w:spacing w:before="40" w:after="0"/>
        <w:jc w:val="left"/>
        <w:rPr>
          <w:rFonts w:ascii="arial" w:hAnsi="arial"/>
          <w:sz w:val="20"/>
        </w:rPr>
      </w:pPr>
      <w:r>
        <w:rPr>
          <w:rFonts w:ascii="arial" w:hAnsi="arial"/>
          <w:sz w:val="20"/>
        </w:rPr>
        <w:t xml:space="preserve">On the exchange of common shares for cash and New Common Shares pursuant to the Return of Capital Transaction, a Non-Canadian Resident Shareholder will be deemed to have disposed of its common shares for proceeds of disposition equal to the amount by which (i) the greater of the adjusted cost base of such common shares immediately before the exchange and the amount of the cash received by the Non-Canadian Resident Shareholder on the exchange, exceeds (ii) the amount of any taxable dividend deemed to have been received by the Non-Canadian Resident Shareholder on such common shares as described above. As noted above, Thomson Reuters does not anticipate that any deemed dividend will arise on the exchange of common shares for cash and New Common Shares pursuant to the Return of Capital Transaction, in which case a Non-Canadian Resident Shareholder will be deemed to have disposed of its common shares for proceeds of disposition equal to the greater of the adjusted cost base of such common shares immediately before the exchange and the amount of the cash received by the Non-Canadian Resident Shareholder in respect of its common shares on the exchange. A Non-Canadian Resident Shareholder will realize a capital gain (or loss) to the extent that the deemed proceeds of disposition of its common shares exceed (or are less than) the adjusted cost base of the common shares immediately before the Effective Time.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1"/>
        </w:rPr>
      </w:pPr>
      <w:r>
        <w:rPr>
          <w:rFonts w:ascii="arial" w:hAnsi="arial"/>
          <w:b/>
          <w:sz w:val="21"/>
        </w:rPr>
        <w:t xml:space="preserve">Taxation of Capital Gains and Losses </w:t>
      </w:r>
    </w:p>
    <w:p>
      <w:pPr>
        <w:pStyle w:val="TextBody"/>
        <w:spacing w:before="40" w:after="0"/>
        <w:jc w:val="left"/>
        <w:rPr>
          <w:rFonts w:ascii="arial" w:hAnsi="arial"/>
          <w:sz w:val="20"/>
        </w:rPr>
      </w:pPr>
      <w:r>
        <w:rPr>
          <w:rFonts w:ascii="arial" w:hAnsi="arial"/>
          <w:sz w:val="20"/>
        </w:rPr>
        <w:t xml:space="preserve">A Non-Canadian Resident Shareholder will not be subject to tax under the Tax Act in respect of any capital gain realized on the disposition of common shares pursuant to the Return of Capital Transaction unless the common shares are taxable Canadian property to the Non-Canadian Resident Shareholder at the time of such disposition and such gain is not otherwise exempt from tax under the Tax Act pursuant to the provisions of an applicable tax treaty (if any). Generally, provided the common shares are listed on a designated stock exchange as defined in the Tax Act (which includes the TSX) at the time of disposition, the common shares will not constitute taxable Canadian property to a Non-Canadian Resident Shareholder, unless, at any time during the 60-month period immediately preceding the disposition, (a) the Non-Canadian Resident Shareholder, persons with whom the Non-Canadian Resident Shareholder did not deal at arms length, partnerships in which the Non-Canadian Resident Shareholder or such non-arms length persons holds a membership interest directly or indirectly, or the Non-Canadian Resident Shareholder together with all such foregoing persons, owned 25% or more of the issued common shares or any other issued class of Thomson Reuters common shares AND (b) more than 50% of the fair market value of the common shares was derived directly or indirectly from any one or combination of (i) real or immovable property situated in Canada, (ii) Canadian resource properties, (iii) timber resource properties, and (iv) options in respect of, or interests in, or for civil law rights in, property described in any of (i) to (iii), whether or not that property exists. A common share may also be deemed to be taxable Canadian property to a Non-Canadian Resident Shareholder in certain circumstances specified in the Tax Act. </w:t>
      </w:r>
    </w:p>
    <w:p>
      <w:pPr>
        <w:pStyle w:val="TextBody"/>
        <w:spacing w:before="120" w:after="0"/>
        <w:jc w:val="left"/>
        <w:rPr>
          <w:rFonts w:ascii="arial" w:hAnsi="arial"/>
          <w:sz w:val="20"/>
        </w:rPr>
      </w:pPr>
      <w:r>
        <w:rPr>
          <w:rFonts w:ascii="arial" w:hAnsi="arial"/>
          <w:sz w:val="20"/>
        </w:rPr>
        <w:t xml:space="preserve">Even if a common share is taxable Canadian property to a Non-Canadian Resident Shareholder, any gain realized on a disposition of the common share may be exempt from tax under the Tax Act pursuant to the provisions of an applicable tax treaty (if any). Non-Canadian Resident Shareholders should consult their own tax advisors in this regard. </w:t>
      </w:r>
    </w:p>
    <w:p>
      <w:pPr>
        <w:pStyle w:val="TextBody"/>
        <w:spacing w:before="120" w:after="0"/>
        <w:jc w:val="left"/>
        <w:rPr>
          <w:rFonts w:ascii="arial" w:hAnsi="arial"/>
          <w:sz w:val="20"/>
        </w:rPr>
      </w:pPr>
      <w:r>
        <w:rPr>
          <w:rFonts w:ascii="arial" w:hAnsi="arial"/>
          <w:sz w:val="20"/>
        </w:rPr>
        <w:t xml:space="preserve">In the event a common share is taxable Canadian property to a Non-Canadian Resident Shareholder at the time of disposition and the capital gain realized on the disposition of the common share is not exempt from tax under the Tax Act pursuant to the provisions of an applicable tax treaty, the tax consequences in respect of capital gains described above under Shareholders Resident in Canada  Taxation of Capital Gains and Losses will generally apply. </w:t>
      </w:r>
    </w:p>
    <w:p>
      <w:pPr>
        <w:pStyle w:val="TextBody"/>
        <w:spacing w:before="120" w:after="0"/>
        <w:jc w:val="left"/>
        <w:rPr>
          <w:rFonts w:ascii="arial" w:hAnsi="arial"/>
          <w:b/>
          <w:sz w:val="21"/>
        </w:rPr>
      </w:pPr>
      <w:r>
        <w:rPr>
          <w:rFonts w:ascii="arial" w:hAnsi="arial"/>
          <w:b/>
          <w:sz w:val="21"/>
        </w:rPr>
        <w:t xml:space="preserve">Exchange of New Common Shares for Common Shares </w:t>
      </w:r>
    </w:p>
    <w:p>
      <w:pPr>
        <w:pStyle w:val="TextBody"/>
        <w:spacing w:before="40" w:after="0"/>
        <w:jc w:val="left"/>
        <w:rPr>
          <w:rFonts w:ascii="arial" w:hAnsi="arial"/>
          <w:sz w:val="20"/>
        </w:rPr>
      </w:pPr>
      <w:r>
        <w:rPr>
          <w:rFonts w:ascii="arial" w:hAnsi="arial"/>
          <w:sz w:val="20"/>
        </w:rPr>
        <w:t xml:space="preserve">As part of the Return of Capital Transaction, each New Common Share held by a participating shareholder will be exchanged for one common share and each portion of a New Common Share issued will be exchanged for the same portion of a share. Non-Canadian Resident Shareholders will be deemed not to have disposed of the New Common Shares on such exchange. </w:t>
      </w:r>
    </w:p>
    <w:p>
      <w:pPr>
        <w:pStyle w:val="TextBody"/>
        <w:spacing w:before="120" w:after="0"/>
        <w:jc w:val="left"/>
        <w:rPr>
          <w:rFonts w:ascii="arial" w:hAnsi="arial"/>
          <w:sz w:val="20"/>
        </w:rPr>
      </w:pPr>
      <w:r>
        <w:rPr>
          <w:rFonts w:ascii="arial" w:hAnsi="arial"/>
          <w:sz w:val="20"/>
        </w:rPr>
        <w:t xml:space="preserve">The aggregate adjusted cost base of the common shares acquired by a Non-Canadian Resident Shareholder on such exchange will be equal to the Non-Canadian Resident Shareholders aggregate adjusted cost base of its New Common Shares immediately before such exchange. </w:t>
      </w:r>
    </w:p>
    <w:p>
      <w:pPr>
        <w:pStyle w:val="TextBody"/>
        <w:spacing w:before="120" w:after="0"/>
        <w:jc w:val="left"/>
        <w:rPr>
          <w:rFonts w:ascii="arial" w:hAnsi="arial"/>
          <w:b/>
          <w:sz w:val="21"/>
        </w:rPr>
      </w:pPr>
      <w:r>
        <w:rPr>
          <w:rFonts w:ascii="arial" w:hAnsi="arial"/>
          <w:b/>
          <w:sz w:val="21"/>
        </w:rPr>
        <w:t xml:space="preserve">Dividends on Common Shares (Post-Arrangement) </w:t>
      </w:r>
    </w:p>
    <w:p>
      <w:pPr>
        <w:pStyle w:val="TextBody"/>
        <w:spacing w:before="40" w:after="0"/>
        <w:jc w:val="left"/>
        <w:rPr>
          <w:rFonts w:ascii="arial" w:hAnsi="arial"/>
          <w:sz w:val="20"/>
        </w:rPr>
      </w:pPr>
      <w:r>
        <w:rPr>
          <w:rFonts w:ascii="arial" w:hAnsi="arial"/>
          <w:sz w:val="20"/>
        </w:rPr>
        <w:t xml:space="preserve">Dividends on common shares that are paid or credited, or that are deemed to be paid or credited, to a Non-Canadian Resident Shareholder after the Return of Capital Transaction will be subject to Canadian withholding tax at the rate of 25% of the gross amount of such dividends. This rate may be reduced under the provisions of an applicable tax treaty. For example, under the U.S. Treaty, a Non-Canadian Resident Shareholder that is a resident of the United States for the purposes of the U.S. Treaty and entitled to full benefits thereunder will generally be subject to Canadian withholding tax at a rate of 15% of the amount of such dividends. </w:t>
      </w:r>
    </w:p>
    <w:p>
      <w:pPr>
        <w:pStyle w:val="TextBody"/>
        <w:spacing w:before="120" w:after="0"/>
        <w:jc w:val="left"/>
        <w:rPr>
          <w:rFonts w:ascii="arial" w:hAnsi="arial"/>
          <w:b/>
          <w:sz w:val="21"/>
        </w:rPr>
      </w:pPr>
      <w:r>
        <w:rPr>
          <w:rFonts w:ascii="arial" w:hAnsi="arial"/>
          <w:b/>
          <w:sz w:val="21"/>
        </w:rPr>
        <w:t xml:space="preserve">Dispositions of Common Shares (Post-Arrangement) </w:t>
      </w:r>
    </w:p>
    <w:p>
      <w:pPr>
        <w:pStyle w:val="TextBody"/>
        <w:spacing w:before="40" w:after="0"/>
        <w:jc w:val="left"/>
        <w:rPr>
          <w:rFonts w:ascii="arial" w:hAnsi="arial"/>
          <w:sz w:val="20"/>
        </w:rPr>
      </w:pPr>
      <w:r>
        <w:rPr>
          <w:rFonts w:ascii="arial" w:hAnsi="arial"/>
          <w:sz w:val="20"/>
        </w:rPr>
        <w:t xml:space="preserve">A Non-Canadian Resident Shareholder will generally not be subject to tax under the Tax Act on any gain realized on a disposition of common shares after the Return of Capital Transaction (including dispositions arising in connection with the treatment of fractional share entitlements), unless the common shares are taxable Canadian property of the Non-Canadian Resident Shareholder at the time of disposition and the Non-Canadian Resident Shareholder is not entitled to relief under an applicable tax treaty. For additional details, see the discussion in this portion of the summary under the heading Non-Canadian Resident Shareholders that Participate in the Return of Capital Transaction  Taxation of Capital Gains and Losses. </w:t>
      </w:r>
    </w:p>
    <w:p>
      <w:pPr>
        <w:pStyle w:val="TextBody"/>
        <w:spacing w:before="120" w:after="0"/>
        <w:jc w:val="left"/>
        <w:rPr>
          <w:rFonts w:ascii="arial" w:hAnsi="arial"/>
          <w:b/>
          <w:sz w:val="21"/>
        </w:rPr>
      </w:pPr>
      <w:r>
        <w:rPr>
          <w:rFonts w:ascii="arial" w:hAnsi="arial"/>
          <w:b/>
          <w:sz w:val="21"/>
        </w:rPr>
        <w:t xml:space="preserve">Shareholders that do not Participate in the Return of Capital Transaction </w:t>
      </w:r>
    </w:p>
    <w:p>
      <w:pPr>
        <w:pStyle w:val="TextBody"/>
        <w:spacing w:before="40" w:after="0"/>
        <w:jc w:val="left"/>
        <w:rPr>
          <w:rFonts w:ascii="arial" w:hAnsi="arial"/>
          <w:sz w:val="20"/>
        </w:rPr>
      </w:pPr>
      <w:r>
        <w:rPr>
          <w:rFonts w:ascii="arial" w:hAnsi="arial"/>
          <w:sz w:val="20"/>
        </w:rPr>
        <w:t xml:space="preserve">Shareholders, whether Canadian Resident Shareholders or Non-Canadian Resident Shareholders, that do not participate in the Return of Capital Transaction will not incur any Canadian federal income tax liability solely as a result of the consummation of the Return of Capital Transaction.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8"/>
        </w:rPr>
      </w:pPr>
      <w:bookmarkStart w:id="92" w:name="tx494196_516"/>
      <w:bookmarkEnd w:id="92"/>
      <w:r>
        <w:rPr>
          <w:rFonts w:ascii="Arial" w:hAnsi="Arial"/>
          <w:b/>
          <w:sz w:val="28"/>
        </w:rPr>
        <w:t xml:space="preserve">Certain U.S. Federal Income Tax Considerations </w:t>
      </w:r>
    </w:p>
    <w:p>
      <w:pPr>
        <w:pStyle w:val="TextBody"/>
        <w:spacing w:before="120" w:after="0"/>
        <w:jc w:val="left"/>
        <w:rPr>
          <w:rFonts w:ascii="arial" w:hAnsi="arial"/>
          <w:sz w:val="20"/>
        </w:rPr>
      </w:pPr>
      <w:r>
        <w:rPr>
          <w:rFonts w:ascii="arial" w:hAnsi="arial"/>
          <w:sz w:val="20"/>
        </w:rPr>
        <w:t xml:space="preserve">The following is a summary of certain material U.S. federal income tax consequences of the Return of Capital Transaction to shareholders. This summary is based on the U.S. Internal Revenue Code of 1986, as amended (the Tax Code), applicable U.S. Treasury Regulations, and administrative and judicial interpretations, all as of the date hereof, and all of which are subject to change (possibly with retroactive effect). This summary does not discuss all the tax consequences that may be relevant to a particular shareholder in light of the shareholders particular circumstances, including the impact of the Medicare contribution tax on net investment income. Different rules that are not discussed below may apply to shareholders subject to special tax rules, such as partnerships (or entities classified as partnerships for U.S. federal income tax purposes), insurance companies, tax-exempt persons, financial institutions, regulated investment companies, dealers or traders in securities or currencies, persons that hold common shares as a position in a straddle or as part of a hedge, conversion transaction or other integrated investment, persons who received their common shares through the exercise of employee stock options or otherwise as compensation or through tax-qualified retirement plans, persons who own or have owned (directly, indirectly, or by attribution) 10% or more of the total combined voting power or value of all outstanding stock of our company, U.S. Holders (as defined below) whose functional currency is other than the United States dollar, Non-U.S. Holders (as defined below) who hold common shares in connection with a trade or business conducted in the United States, or Non-U.S. Holders who are individuals present in the United States for 183 days or more in the taxable year of the Return of Capital Transaction. This summary does not address any state, local, or non-U.S. tax or alternative minimum tax considerations that may be relevant to a shareholders participation in the Return of Capital Transaction. This summary assumes common shares are held as capital assets within the meaning of Section 1221 of the Tax Code. This summary further assumes that all payments made to shareholders who participate in the Return of Capital Transaction will be made in U.S. dollars. </w:t>
      </w:r>
    </w:p>
    <w:p>
      <w:pPr>
        <w:pStyle w:val="TextBody"/>
        <w:spacing w:before="120" w:after="0"/>
        <w:jc w:val="left"/>
        <w:rPr>
          <w:rFonts w:ascii="arial" w:hAnsi="arial"/>
          <w:sz w:val="20"/>
        </w:rPr>
      </w:pPr>
      <w:r>
        <w:rPr>
          <w:rFonts w:ascii="arial" w:hAnsi="arial"/>
          <w:sz w:val="20"/>
        </w:rPr>
        <w:t>A </w:t>
      </w:r>
      <w:r>
        <w:rPr>
          <w:rFonts w:ascii="Arial" w:hAnsi="Arial"/>
          <w:b/>
          <w:sz w:val="20"/>
        </w:rPr>
        <w:t>U.S. Holder</w:t>
      </w:r>
      <w:r>
        <w:rPr>
          <w:rFonts w:ascii="arial" w:hAnsi="arial"/>
          <w:sz w:val="20"/>
        </w:rPr>
        <w:t xml:space="preserve"> is a beneficial owner of common shares who is: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 citizen or individual resident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 corporation (or other business entity treated as a corporation for U.S. federal income tax purposes) created or organized in or under the laws of the United States,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a trust that (a) is subject to the primary supervision of a court within the United States and the control of one or more U.S. persons or (b) otherwise has validly elected to be treated as a U.S. domestic trust for U.S. federal income tax purposes. </w:t>
            </w:r>
          </w:p>
        </w:tc>
      </w:tr>
    </w:tbl>
    <w:p>
      <w:pPr>
        <w:pStyle w:val="TextBody"/>
        <w:spacing w:before="120" w:after="0"/>
        <w:jc w:val="left"/>
        <w:rPr>
          <w:rFonts w:ascii="arial" w:hAnsi="arial"/>
          <w:sz w:val="20"/>
        </w:rPr>
      </w:pPr>
      <w:r>
        <w:rPr>
          <w:rFonts w:ascii="arial" w:hAnsi="arial"/>
          <w:sz w:val="20"/>
        </w:rPr>
        <w:t>A </w:t>
      </w:r>
      <w:r>
        <w:rPr>
          <w:rFonts w:ascii="Arial" w:hAnsi="Arial"/>
          <w:b/>
          <w:sz w:val="20"/>
        </w:rPr>
        <w:t>Non-U.S. Holder</w:t>
      </w:r>
      <w:r>
        <w:rPr>
          <w:rFonts w:ascii="arial" w:hAnsi="arial"/>
          <w:sz w:val="20"/>
        </w:rPr>
        <w:t xml:space="preserve"> is a beneficial owner of common shares, other than a U.S. Holder or an entity or arrangement classified as a partnership or otherwise treated as fiscally transparent for U.S. federal income tax purposes. </w:t>
      </w:r>
    </w:p>
    <w:p>
      <w:pPr>
        <w:pStyle w:val="TextBody"/>
        <w:spacing w:before="120" w:after="0"/>
        <w:jc w:val="left"/>
        <w:rPr>
          <w:rFonts w:ascii="arial" w:hAnsi="arial"/>
          <w:sz w:val="20"/>
        </w:rPr>
      </w:pPr>
      <w:r>
        <w:rPr>
          <w:rFonts w:ascii="arial" w:hAnsi="arial"/>
          <w:sz w:val="20"/>
        </w:rPr>
        <w:t xml:space="preserve">The U.S. federal income tax treatment of a partner in a partnership (or an entity or arrangement classified as a partnership for U.S. federal income tax purposes) that holds common shares will depend on the status of the partner and the activities of the partnership. Prospective participants in the Return of Capital Transaction that are partnerships (or entities or arrangements classified as partnerships for U.S. federal income tax purposes) are urged to consult their own tax advisors concerning the U.S. federal income tax consequences to them of participating in the Return of Capital Transaction. </w:t>
      </w:r>
    </w:p>
    <w:p>
      <w:pPr>
        <w:pStyle w:val="TextBody"/>
        <w:spacing w:before="120" w:after="0"/>
        <w:jc w:val="left"/>
        <w:rPr>
          <w:rFonts w:ascii="arial" w:hAnsi="arial"/>
          <w:sz w:val="20"/>
        </w:rPr>
      </w:pPr>
      <w:r>
        <w:rPr>
          <w:rFonts w:ascii="Arial" w:hAnsi="Arial"/>
          <w:b/>
          <w:sz w:val="20"/>
        </w:rPr>
        <w:t>This summary is not exhaustive of all U.S. federal income tax considerations. Further, this summary is of a general nature only and is not intended to be, nor should it be considered to be, legal or tax advice to any particular shareholder, and no representation is made with respect to the income tax consequences to any particular shareholder. Accordingly, shareholders should consult their own tax advisors concerning the U.S. federal, state, local, and non-U.S. income tax consequences of the Return of Capital Transaction, having regard to their particular circumstances.</w:t>
      </w:r>
      <w:r>
        <w:rPr>
          <w:rFonts w:ascii="arial" w:hAnsi="arial"/>
          <w:sz w:val="20"/>
        </w:rPr>
        <w:t xml:space="preserve"> </w:t>
      </w:r>
    </w:p>
    <w:p>
      <w:pPr>
        <w:pStyle w:val="TextBody"/>
        <w:spacing w:before="120" w:after="0"/>
        <w:jc w:val="left"/>
        <w:rPr>
          <w:rFonts w:ascii="arial" w:hAnsi="arial"/>
          <w:color w:val="B94831"/>
          <w:sz w:val="28"/>
        </w:rPr>
      </w:pPr>
      <w:r>
        <w:rPr>
          <w:rFonts w:ascii="arial" w:hAnsi="arial"/>
          <w:color w:val="B94831"/>
          <w:sz w:val="28"/>
        </w:rPr>
        <w:t xml:space="preserve">Tax Consequences to U.S. Holders Who Participate in the Return of Capital Transaction </w:t>
      </w:r>
    </w:p>
    <w:p>
      <w:pPr>
        <w:pStyle w:val="TextBody"/>
        <w:spacing w:before="40" w:after="0"/>
        <w:jc w:val="left"/>
        <w:rPr>
          <w:rFonts w:ascii="arial" w:hAnsi="arial"/>
          <w:sz w:val="20"/>
        </w:rPr>
      </w:pPr>
      <w:r>
        <w:rPr>
          <w:rFonts w:ascii="arial" w:hAnsi="arial"/>
          <w:sz w:val="20"/>
        </w:rPr>
        <w:t xml:space="preserve">The U.S. federal income tax consequences to a U.S. Holder who participates in the Return of Capital Transaction depend on whether any other shareholder elects to exercise the opt-out right. If no shareholder elects to exercise the opt-out right, then the gross amount of cash received by each U.S. Holder who participates in the Return of Capital Transaction will be treated as a taxable distribution to such holder, as described below under Distribution in Respect of Common Shares. No shareholder has provided a firm commitment to our company to opt out of the Return of Capital Transaction, however, and no assurance can be provided that the foregoing tax consequences will not apply to U.S. Holders who participate in the Return of Capital Transaction. U.S. Holders are urged to consult their own tax advisors regarding the tax consequences of the Return of Capital Transaction if no shareholder elects to opt out. The following discussion assumes that at least some shareholders elect to opt out of the Return of Capital Transaction, so that the foregoing tax consequences do not apply to U.S. Holders who participate in the Return of Capital Transaction.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Treatment of the Return of Capital Transaction </w:t>
      </w:r>
    </w:p>
    <w:p>
      <w:pPr>
        <w:pStyle w:val="TextBody"/>
        <w:spacing w:before="40" w:after="0"/>
        <w:jc w:val="left"/>
        <w:rPr>
          <w:rFonts w:ascii="arial" w:hAnsi="arial"/>
          <w:sz w:val="20"/>
        </w:rPr>
      </w:pPr>
      <w:r>
        <w:rPr>
          <w:rFonts w:ascii="arial" w:hAnsi="arial"/>
          <w:sz w:val="20"/>
        </w:rPr>
        <w:t xml:space="preserve">We believe the return of capital distribution in conjunction with the share consolidation should be treated for U.S. federal income tax purposes as a redemption by our company of participating common shares for cash, although the matter is not entirely free from doubt. The following discussion assumes that the foregoing tax treatment as a redemption is correct. </w:t>
      </w:r>
    </w:p>
    <w:p>
      <w:pPr>
        <w:pStyle w:val="TextBody"/>
        <w:spacing w:before="120" w:after="0"/>
        <w:jc w:val="left"/>
        <w:rPr>
          <w:rFonts w:ascii="arial" w:hAnsi="arial"/>
          <w:sz w:val="20"/>
        </w:rPr>
      </w:pPr>
      <w:r>
        <w:rPr>
          <w:rFonts w:ascii="arial" w:hAnsi="arial"/>
          <w:sz w:val="20"/>
        </w:rPr>
        <w:t>Our companys redemption of common shares from a U.S. Holder in the Return of Capital Transaction will be treated either as a sale of the common shares or as a distribution by our company, depending upon the circumstances at the time of the Return of Capital Transaction. The redemption will be treated as a sale if (a) the redemption results in a complete redemption of the U.S. Holders equity interest in our company, (b) the receipt of cash by the U.S. Holder is not essentially equivalent to a dividend, or (c) as a result of the redemption there is a substantially disproportionate reduction in the U.S. Holders equity interest in our company, each within the meaning of Section 302(b) of the Tax Code, as described below (referred to as the </w:t>
      </w:r>
      <w:r>
        <w:rPr>
          <w:rFonts w:ascii="Arial" w:hAnsi="Arial"/>
          <w:b/>
          <w:sz w:val="20"/>
        </w:rPr>
        <w:t>Section 302 Tests</w:t>
      </w:r>
      <w:r>
        <w:rPr>
          <w:rFonts w:ascii="arial" w:hAnsi="arial"/>
          <w:sz w:val="20"/>
        </w:rPr>
        <w:t xml:space="preserve">). The redemption of common shares from a particular U.S. Holder will be treated as a distribution if none of the Section 302 Tests is satisfied with respect to such holder. </w:t>
      </w:r>
    </w:p>
    <w:p>
      <w:pPr>
        <w:pStyle w:val="TextBody"/>
        <w:spacing w:before="120" w:after="0"/>
        <w:jc w:val="left"/>
        <w:rPr>
          <w:rFonts w:ascii="arial" w:hAnsi="arial"/>
          <w:sz w:val="20"/>
        </w:rPr>
      </w:pPr>
      <w:r>
        <w:rPr>
          <w:rFonts w:ascii="arial" w:hAnsi="arial"/>
          <w:sz w:val="20"/>
        </w:rPr>
        <w:t xml:space="preserve">In applying the Section 302 Tests, the constructive ownership rules of Section 318 of the Tax Code apply. Thus, a U.S. Holder is treated as owning not only shares actually owned by the U.S. Holder but also shares actually (and in some cases constructively) owned by others. Under the constructive ownership rules, a U.S. Holder will be considered to own shares owned, directly or indirectly, by certain members of the U.S. Holders family and by certain entities (such as corporations, partnerships, trusts, and estates) in which the U.S. Holder has an equity interest, as well as shares that the U.S. Holder has an option to purchase.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2"/>
        <w:gridCol w:w="9901"/>
      </w:tblGrid>
      <w:tr>
        <w:trPr/>
        <w:tc>
          <w:tcPr>
            <w:tcW w:w="202"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Complete Redemption. The redemption of common shares in the Return of Capital Transaction will result in a complete redemption of the U.S. Holders interest in our company if, immediately after the Return of Capital Transaction, either (1) the U.S. Holder owns, actually and constructively, no stock of our company; or (2) the U.S. Holder actually owns no stock of our company and effectively waives constructive ownership of any constructively owned shares under the procedures described in Section 302(c)(2) of the Tax Code. U.S. Holders who desire to file such a waiver are urged to consult their own tax advisors.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arial" w:hAnsi="arial"/>
                <w:sz w:val="20"/>
              </w:rPr>
            </w:pPr>
            <w:r>
              <w:rPr>
                <w:rFonts w:ascii="arial" w:hAnsi="arial"/>
                <w:sz w:val="20"/>
              </w:rPr>
              <w:t xml:space="preserve">Not Essentially Equivalent to a Dividend. The redemption of common shares in the Return of Capital Transaction will be treated as not essentially equivalent to a dividend if it results in a meaningful reduction in the U.S. Holders proportionate interest in our company. Whether a U.S. Holder meets this test will depend on relevant facts and circumstances. In measuring the change, if any, in a U.S. Holders proportionate interest in our company, the meaningful reduction test is applied by taking into account all common shares redeemed in the Return of Capital Transaction, including common shares redeemed from other shareholders. In a published ruling, the IRS held that, under the particular facts of the ruling, a small reduction in the percentage share ownership of a small minority shareholder in a publicly and widely held corporation who did not exercise any control over corporate affairs constituted a meaningful reduction. If, taking into account the constructive ownership rules of Section 318 of the Tax Code, a U.S. Holder owns shares that constitute only a minimal interest in our company, and such holder does not exercise any control over the affairs of our company, then any reduction in the U.S. Holders percentage ownership interest in our company should constitute a meaningful reduction. Such participating U.S. Holder should, under these circumstances, be entitled to treat the redemption of such holders common shares in the Return of Capital Transaction as a sale for U.S. federal income tax purposes. Shareholders are urged to consult their own tax advisors with respect to the application of the not essentially equivalent to a dividend test in their particular circumstances.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rFonts w:ascii="SYMBOL" w:hAnsi="SYMBOL"/>
                <w:color w:val="B94831"/>
                <w:sz w:val="12"/>
              </w:rPr>
              <w:t>·</w:t>
            </w:r>
            <w:r>
              <w:rPr/>
              <w:t> </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arial" w:hAnsi="arial"/>
                <w:sz w:val="20"/>
              </w:rPr>
            </w:pPr>
            <w:r>
              <w:rPr>
                <w:rFonts w:ascii="arial" w:hAnsi="arial"/>
                <w:sz w:val="20"/>
              </w:rPr>
              <w:t xml:space="preserve">Substantially Disproportionate. The redemption of common shares in the Return of Capital Transaction will be substantially disproportionate as to a U.S. Holder if the percentage of the then outstanding common shares actually and constructively owned by such U.S. Holder immediately after the Return of Capital Transaction is less than 80% of the percentage of the outstanding common shares actually and constructively owned by such U.S. Holder immediately before the Return of Capital Transaction. Shareholders are urged to consult their own tax advisors with respect to the application of the substantially disproportionate test in their particular circumstances. </w:t>
            </w:r>
          </w:p>
        </w:tc>
      </w:tr>
    </w:tbl>
    <w:p>
      <w:pPr>
        <w:pStyle w:val="TextBody"/>
        <w:spacing w:before="120" w:after="0"/>
        <w:jc w:val="left"/>
        <w:rPr>
          <w:rFonts w:ascii="arial" w:hAnsi="arial"/>
          <w:sz w:val="20"/>
        </w:rPr>
      </w:pPr>
      <w:r>
        <w:rPr>
          <w:rFonts w:ascii="arial" w:hAnsi="arial"/>
          <w:sz w:val="20"/>
        </w:rPr>
        <w:t xml:space="preserve">It may be possible for a participating U.S. Holder to satisfy one of the Section 302 Tests by contemporaneously selling or otherwise disposing of all or some of the shares that such U.S. Holder actually or constructively owns that are not redeemed in the Return of Capital Transaction. Correspondingly, a participating U.S. Holder may not be able to satisfy one of the Section 302 Tests because of contemporaneous acquisitions of shares by such U.S. Holder or a related party whose shares are attributed to such U.S. Holder. Shareholders are urged to consult their own tax advisors regarding the tax consequences of such sales or acquisitions in their particular circumstances.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Sale of Common Shares </w:t>
      </w:r>
    </w:p>
    <w:p>
      <w:pPr>
        <w:pStyle w:val="TextBody"/>
        <w:spacing w:before="40" w:after="0"/>
        <w:jc w:val="left"/>
        <w:rPr>
          <w:rFonts w:ascii="arial" w:hAnsi="arial"/>
          <w:sz w:val="20"/>
        </w:rPr>
      </w:pPr>
      <w:r>
        <w:rPr>
          <w:rFonts w:ascii="arial" w:hAnsi="arial"/>
          <w:sz w:val="20"/>
        </w:rPr>
        <w:t xml:space="preserve">If any of the Section 302 Tests is satisfied by a U.S. Holder, then such holder generally will recognize taxable gain or loss equal to the difference between the amount of cash received in the Return of Capital Transaction (without reduction for withholding tax, if any) and such holders adjusted tax basis in the common shares deemed to be redeemed. A U.S. Holders adjusted tax basis in such common shares generally will be the amount paid to acquire the common shares. Any gain or loss will be capital gain or loss and will be long-term capital gain or loss if the holding period for the common shares is longer than one year at the time of the redemption. Any long-term capital gain recognized by a non-corporate U.S. Holder generally will be eligible for preferential tax rates. The deductibility of capital losses is subject to limitations. Any gain or loss recognized generally will be treated as U.S.-source gain or loss for U.S. foreign tax credit purposes. U.S. Holders who acquired different blocks of common shares at different times or at different prices are urged to consult their own tax advisors regarding the application of the foregoing rules in their particular circumstances. </w:t>
      </w:r>
    </w:p>
    <w:p>
      <w:pPr>
        <w:pStyle w:val="TextBody"/>
        <w:spacing w:before="120" w:after="0"/>
        <w:jc w:val="left"/>
        <w:rPr>
          <w:rFonts w:ascii="arial" w:hAnsi="arial"/>
          <w:color w:val="B94831"/>
          <w:sz w:val="28"/>
        </w:rPr>
      </w:pPr>
      <w:r>
        <w:rPr>
          <w:rFonts w:ascii="arial" w:hAnsi="arial"/>
          <w:color w:val="B94831"/>
          <w:sz w:val="28"/>
        </w:rPr>
        <w:t xml:space="preserve">Distribution in Respect of Common Shares </w:t>
      </w:r>
    </w:p>
    <w:p>
      <w:pPr>
        <w:pStyle w:val="TextBody"/>
        <w:spacing w:before="40" w:after="0"/>
        <w:jc w:val="left"/>
        <w:rPr>
          <w:rFonts w:ascii="arial" w:hAnsi="arial"/>
          <w:sz w:val="20"/>
        </w:rPr>
      </w:pPr>
      <w:r>
        <w:rPr>
          <w:rFonts w:ascii="arial" w:hAnsi="arial"/>
          <w:sz w:val="20"/>
        </w:rPr>
        <w:t xml:space="preserve">If none of the Section 302 tests is satisfied by a U.S. Holder, then the gross amount of cash received in the Return of Capital Transaction (without reduction for withholding tax, if any) will be treated as a distribution with respect to such holders common shares. The tax basis of the U.S. Holders common shares deemed to be redeemed will be added to the tax basis of such holders remaining common shares. This distribution will be treated as a dividend to the extent paid out of our current or accumulated earnings and profits, as determined under U.S. federal income tax principles. The dividend will be includible in a U.S. Holders gross income without reduction for the tax basis of the redeemed common shares, and no current loss will be recognized. To the extent that the amount received exceeds a U.S. Holders share of our current and accumulated earnings and profits, the excess first will be treated as a tax-free return of capital to the extent of such U.S. Holders tax basis in such common shares and then as capital gain from the sale or exchange of such common shares. However, because we do not calculate earnings and profits under U.S. federal income tax principles, U.S. Holders should expect the entire amount of cash received in the Return of Capital Transaction to be taxed as a dividend if such amount is treated as a distribution as described above. </w:t>
      </w:r>
    </w:p>
    <w:p>
      <w:pPr>
        <w:pStyle w:val="TextBody"/>
        <w:spacing w:before="120" w:after="0"/>
        <w:jc w:val="left"/>
        <w:rPr>
          <w:rFonts w:ascii="arial" w:hAnsi="arial"/>
          <w:sz w:val="20"/>
        </w:rPr>
      </w:pPr>
      <w:r>
        <w:rPr>
          <w:rFonts w:ascii="arial" w:hAnsi="arial"/>
          <w:sz w:val="20"/>
        </w:rPr>
        <w:t xml:space="preserve">Subject to applicable limitations, dividends paid to certain non-corporate U.S. Holders will be eligible for taxation as qualified dividend income and therefore will be taxable at rates applicable to long-term capital gains, provided that certain holding period and other requirements are satisfied. The amount of the dividend will be treated as foreign-source dividend income for U.S. foreign tax credit purposes. Any dividends paid will not be eligible for the dividends-received deduction generally allowed to U.S. corporations under the Tax Code. </w:t>
      </w:r>
    </w:p>
    <w:p>
      <w:pPr>
        <w:pStyle w:val="TextBody"/>
        <w:spacing w:before="120" w:after="0"/>
        <w:jc w:val="left"/>
        <w:rPr>
          <w:rFonts w:ascii="arial" w:hAnsi="arial"/>
          <w:color w:val="B94831"/>
          <w:sz w:val="28"/>
        </w:rPr>
      </w:pPr>
      <w:r>
        <w:rPr>
          <w:rFonts w:ascii="arial" w:hAnsi="arial"/>
          <w:color w:val="B94831"/>
          <w:sz w:val="28"/>
        </w:rPr>
        <w:t xml:space="preserve">Passive Foreign Investment Company Rules </w:t>
      </w:r>
    </w:p>
    <w:p>
      <w:pPr>
        <w:pStyle w:val="TextBody"/>
        <w:spacing w:before="40" w:after="0"/>
        <w:jc w:val="left"/>
        <w:rPr>
          <w:rFonts w:ascii="arial" w:hAnsi="arial"/>
          <w:sz w:val="20"/>
        </w:rPr>
      </w:pPr>
      <w:r>
        <w:rPr>
          <w:rFonts w:ascii="arial" w:hAnsi="arial"/>
          <w:sz w:val="20"/>
        </w:rPr>
        <w:t xml:space="preserve">We believe that our company is not a passive foreign investment company (a PFIC) for U.S. federal income tax purposes. However, because PFIC status depends upon the composition of our companys income and assets from time to time, no assurance can be provided that our company has not been, and will not be, a PFIC for any taxable year. If our company were a PFIC for any taxable year in which a U.S. Holder held shares, then the U.S. federal income tax consequences to such holder of participating in the Return of Capital Transaction could differ materially and adversely from those described above. Such holder could be subject to additional U.S. federal income tax on gain recognized with respect to the common shares and on certain distributions, plus an interest charge on certain taxes treated as having been deferred under the PFIC rules. A non-corporate U.S. Holder would not be eligible for reduced rates of taxation on any dividends received from our company if we were a PFIC for the taxable year in which such dividends were paid or for the preceding taxable year. U.S. Holders are urged to consult their own tax advisors regarding the adverse tax consequences if our company were a PFIC for any relevant taxable year. </w:t>
      </w:r>
    </w:p>
    <w:p>
      <w:pPr>
        <w:pStyle w:val="TextBody"/>
        <w:spacing w:before="120" w:after="0"/>
        <w:jc w:val="left"/>
        <w:rPr>
          <w:rFonts w:ascii="arial" w:hAnsi="arial"/>
          <w:color w:val="B94831"/>
          <w:sz w:val="28"/>
        </w:rPr>
      </w:pPr>
      <w:r>
        <w:rPr>
          <w:rFonts w:ascii="arial" w:hAnsi="arial"/>
          <w:color w:val="B94831"/>
          <w:sz w:val="28"/>
        </w:rPr>
        <w:t xml:space="preserve">Tax Consequences to Non-U.S. Holders Who Participate in the Return of Capital Transaction </w:t>
      </w:r>
    </w:p>
    <w:p>
      <w:pPr>
        <w:pStyle w:val="TextBody"/>
        <w:spacing w:before="40" w:after="0"/>
        <w:jc w:val="left"/>
        <w:rPr>
          <w:rFonts w:ascii="arial" w:hAnsi="arial"/>
          <w:sz w:val="20"/>
        </w:rPr>
      </w:pPr>
      <w:r>
        <w:rPr>
          <w:rFonts w:ascii="arial" w:hAnsi="arial"/>
          <w:sz w:val="20"/>
        </w:rPr>
        <w:t xml:space="preserve">Non-U.S. Holders generally will not be subject to U.S. federal income taxation as a result of participating in the Return of Capital Transaction. Non-U.S. Holders are urged to consult their own tax advisors concerning the application of U.S. federal, state, local and non-U.S. income tax laws in their particular circumstances. </w:t>
      </w:r>
    </w:p>
    <w:p>
      <w:pPr>
        <w:pStyle w:val="TextBody"/>
        <w:spacing w:before="120" w:after="0"/>
        <w:jc w:val="left"/>
        <w:rPr>
          <w:rFonts w:ascii="arial" w:hAnsi="arial"/>
          <w:color w:val="B94831"/>
          <w:sz w:val="28"/>
        </w:rPr>
      </w:pPr>
      <w:r>
        <w:rPr>
          <w:rFonts w:ascii="arial" w:hAnsi="arial"/>
          <w:color w:val="B94831"/>
          <w:sz w:val="28"/>
        </w:rPr>
        <w:t xml:space="preserve">Tax Consequences to Shareholders Who Opt Out of the Return of Capital Transaction </w:t>
      </w:r>
    </w:p>
    <w:p>
      <w:pPr>
        <w:pStyle w:val="TextBody"/>
        <w:spacing w:before="40" w:after="0"/>
        <w:jc w:val="left"/>
        <w:rPr>
          <w:rFonts w:ascii="arial" w:hAnsi="arial"/>
          <w:sz w:val="20"/>
        </w:rPr>
      </w:pPr>
      <w:r>
        <w:rPr>
          <w:rFonts w:ascii="arial" w:hAnsi="arial"/>
          <w:sz w:val="20"/>
        </w:rPr>
        <w:t xml:space="preserve">We believe that the Return of Capital Transaction is an isolated transaction and not part of a plan to periodically increase any shareholders proportionate interest in our assets or earnings and profits. Assuming this is correct, shareholders who opt out of the Return of Capital Transaction should not incur any U.S. federal income tax liability solely as a result of the consummation of the Return of Capital Transaction. The U.S. federal income tax laws applicable to the Return of Capital Transaction are, however, complex. Shareholders who opt out of the Return of Capital Transaction are urged to consult their own tax advisors regarding the tax consequences of the Return of Capital Transaction in their particular circumstances.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Backup Withholding </w:t>
      </w:r>
    </w:p>
    <w:p>
      <w:pPr>
        <w:pStyle w:val="TextBody"/>
        <w:spacing w:before="40" w:after="0"/>
        <w:jc w:val="left"/>
        <w:rPr>
          <w:rFonts w:ascii="arial" w:hAnsi="arial"/>
          <w:sz w:val="20"/>
        </w:rPr>
      </w:pPr>
      <w:r>
        <w:rPr>
          <w:rFonts w:ascii="arial" w:hAnsi="arial"/>
          <w:sz w:val="20"/>
        </w:rPr>
        <w:t xml:space="preserve">Under the U.S. federal income tax laws, payments to a participating shareholder may be subject to backup withholding at the applicable statutory rate, unless a participating shareholder (a) provides a correct taxpayer identification number and any other required information and otherwise complies with the backup withholding rules or (b) is an exempt recipient and, when required, demonstrates this fact. </w:t>
      </w:r>
    </w:p>
    <w:p>
      <w:pPr>
        <w:pStyle w:val="TextBody"/>
        <w:spacing w:before="120" w:after="0"/>
        <w:jc w:val="left"/>
        <w:rPr>
          <w:rFonts w:ascii="arial" w:hAnsi="arial"/>
          <w:sz w:val="20"/>
        </w:rPr>
      </w:pPr>
      <w:r>
        <w:rPr>
          <w:rFonts w:ascii="arial" w:hAnsi="arial"/>
          <w:sz w:val="20"/>
        </w:rPr>
        <w:t xml:space="preserve">A shareholder that does not provide a correct taxpayer identification number may be subject to penalties imposed by the IRS. To prevent backup withholding on cash payable in the Return of Capital Transaction, each shareholder that is a U.S. person (as defined in the instructions to the IRS Form W-9 included with the Letter of Transmittal) should provide the Depositary or other applicable withholding agent with his or her correct taxpayer identification number and certify that he or she is not subject to backup withholding by completing the IRS Form W-9. To eliminate any U.S. backup withholding, a shareholder that is not a U.S. person may be required to provide the Depositary or other applicable withholding agent with the appropriate IRS Form W-8, attesting to that shareholders non-U.S. status. </w:t>
      </w:r>
    </w:p>
    <w:p>
      <w:pPr>
        <w:pStyle w:val="TextBody"/>
        <w:spacing w:before="120" w:after="0"/>
        <w:jc w:val="left"/>
        <w:rPr>
          <w:rFonts w:ascii="arial" w:hAnsi="arial"/>
          <w:sz w:val="20"/>
        </w:rPr>
      </w:pPr>
      <w:r>
        <w:rPr>
          <w:rFonts w:ascii="arial" w:hAnsi="arial"/>
          <w:sz w:val="20"/>
        </w:rPr>
        <w:t xml:space="preserve">Backup withholding is not an additional tax. Taxpayers may use amounts withheld as a credit against their U.S. federal income tax liability, and may claim a refund if they timely provide certain required information to the IRS.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93" w:name="tx494196_51"/>
      <w:bookmarkEnd w:id="93"/>
      <w:r>
        <w:rPr>
          <w:rFonts w:ascii="arial" w:hAnsi="arial"/>
          <w:color w:val="B94831"/>
          <w:sz w:val="52"/>
        </w:rPr>
        <w:t xml:space="preserve">Indebtedness of Officers, Directors </w:t>
      </w:r>
    </w:p>
    <w:p>
      <w:pPr>
        <w:pStyle w:val="TextBody"/>
        <w:spacing w:before="0" w:after="0"/>
        <w:jc w:val="left"/>
        <w:rPr>
          <w:rFonts w:ascii="arial" w:hAnsi="arial"/>
          <w:color w:val="B94831"/>
          <w:sz w:val="52"/>
        </w:rPr>
      </w:pPr>
      <w:r>
        <w:rPr>
          <w:rFonts w:ascii="arial" w:hAnsi="arial"/>
          <w:color w:val="B94831"/>
          <w:sz w:val="52"/>
        </w:rPr>
        <w:t xml:space="preserve">and Employees </w:t>
      </w:r>
    </w:p>
    <w:p>
      <w:pPr>
        <w:pStyle w:val="TextBody"/>
        <w:spacing w:before="480" w:after="0"/>
        <w:jc w:val="left"/>
        <w:rPr>
          <w:rFonts w:ascii="arial" w:hAnsi="arial"/>
          <w:sz w:val="20"/>
        </w:rPr>
      </w:pPr>
      <w:r>
        <w:rPr>
          <w:rFonts w:ascii="arial" w:hAnsi="arial"/>
          <w:sz w:val="20"/>
        </w:rPr>
        <w:t xml:space="preserve">As of April 21, 2023, none of our current or former executive officers or directors were indebted to our company or any of our subsidiaries. As of April 21, 2023, there was no indebtedness (other than routine indebtedness under applicable Canadian securities laws) of the current and former officers, directors and employees of our company and our subsidiaries owing to Thomson Reuters or any of our subsidiaries. </w:t>
      </w:r>
    </w:p>
    <w:p>
      <w:pPr>
        <w:pStyle w:val="TextBody"/>
        <w:spacing w:before="480" w:after="0"/>
        <w:jc w:val="left"/>
        <w:rPr>
          <w:rFonts w:ascii="arial" w:hAnsi="arial"/>
          <w:color w:val="B94831"/>
          <w:sz w:val="52"/>
        </w:rPr>
      </w:pPr>
      <w:bookmarkStart w:id="94" w:name="tx494196_52"/>
      <w:bookmarkEnd w:id="94"/>
      <w:r>
        <w:rPr>
          <w:rFonts w:ascii="arial" w:hAnsi="arial"/>
          <w:color w:val="B94831"/>
          <w:sz w:val="52"/>
        </w:rPr>
        <w:t xml:space="preserve">Directors and Officers Indemnification and Insurance </w:t>
      </w:r>
    </w:p>
    <w:p>
      <w:pPr>
        <w:pStyle w:val="TextBody"/>
        <w:spacing w:before="580" w:after="0"/>
        <w:jc w:val="left"/>
        <w:rPr>
          <w:rFonts w:ascii="arial" w:hAnsi="arial"/>
          <w:sz w:val="20"/>
        </w:rPr>
      </w:pPr>
      <w:r>
        <w:rPr>
          <w:rFonts w:ascii="arial" w:hAnsi="arial"/>
          <w:sz w:val="20"/>
        </w:rPr>
        <w:t xml:space="preserve">We provide indemnification to our directors to the extent permitted by applicable laws and regulations. </w:t>
      </w:r>
    </w:p>
    <w:p>
      <w:pPr>
        <w:pStyle w:val="TextBody"/>
        <w:spacing w:before="120" w:after="0"/>
        <w:jc w:val="left"/>
        <w:rPr>
          <w:rFonts w:ascii="arial" w:hAnsi="arial"/>
          <w:sz w:val="20"/>
        </w:rPr>
      </w:pPr>
      <w:r>
        <w:rPr>
          <w:rFonts w:ascii="arial" w:hAnsi="arial"/>
          <w:sz w:val="20"/>
        </w:rPr>
        <w:t xml:space="preserve">Under the OBCA, our company may indemnify a present or former director or officer or another individual who acts or acted at our companys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to which the individual is involved because of that association with our company or other entity, if the individual acted honestly and in good faith with a view to the best interests of our company or, as the case may be, to the best interests of the other entity for which the individual acted as a director or officer or in a similar capacity at our companys request, and, in the case of a criminal or administrative action or proceeding that is enforced by a monetary penalty, such individual had reasonable grounds for believing that his or her conduct was lawful. </w:t>
      </w:r>
    </w:p>
    <w:p>
      <w:pPr>
        <w:pStyle w:val="TextBody"/>
        <w:spacing w:before="120" w:after="0"/>
        <w:jc w:val="left"/>
        <w:rPr>
          <w:rFonts w:ascii="arial" w:hAnsi="arial"/>
          <w:sz w:val="20"/>
        </w:rPr>
      </w:pPr>
      <w:r>
        <w:rPr>
          <w:rFonts w:ascii="arial" w:hAnsi="arial"/>
          <w:sz w:val="20"/>
        </w:rPr>
        <w:t xml:space="preserve">Pursuant to our organizational documents, we are required to indemnify the individuals referred to above and the heirs and legal representatives of such individuals to the extent permitted by the OBCA. </w:t>
      </w:r>
    </w:p>
    <w:p>
      <w:pPr>
        <w:pStyle w:val="TextBody"/>
        <w:spacing w:before="120" w:after="0"/>
        <w:jc w:val="left"/>
        <w:rPr>
          <w:rFonts w:ascii="arial" w:hAnsi="arial"/>
          <w:sz w:val="20"/>
        </w:rPr>
      </w:pPr>
      <w:r>
        <w:rPr>
          <w:rFonts w:ascii="arial" w:hAnsi="arial"/>
          <w:sz w:val="20"/>
        </w:rPr>
        <w:t xml:space="preserve">We maintain, at our expense, a directors and officers liability insurance policy that provides protection for our directors and officers against liability incurred by them in their capacities as such. This policy provides for a limit of up to $100 million for each claim and $100 million in the aggregate and there is no deductible for this coverage. The insurance applies in circumstances where we may not indemnify our directors and officers for their acts or omissions. Annual gross premiums paid by our company relating to directors and officers liability insurance are currently approximately $1.8 million.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128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95" w:name="tx494196_53"/>
      <w:bookmarkEnd w:id="95"/>
      <w:r>
        <w:rPr>
          <w:rFonts w:ascii="arial" w:hAnsi="arial"/>
          <w:color w:val="B94831"/>
          <w:sz w:val="52"/>
        </w:rPr>
        <w:t xml:space="preserve">Additional Information </w:t>
      </w:r>
    </w:p>
    <w:p>
      <w:pPr>
        <w:pStyle w:val="TextBody"/>
        <w:spacing w:before="480" w:after="0"/>
        <w:jc w:val="left"/>
        <w:rPr>
          <w:rFonts w:ascii="Arial" w:hAnsi="Arial"/>
          <w:b/>
          <w:sz w:val="28"/>
        </w:rPr>
      </w:pPr>
      <w:bookmarkStart w:id="96" w:name="tx494196_54"/>
      <w:bookmarkEnd w:id="96"/>
      <w:r>
        <w:rPr>
          <w:rFonts w:ascii="Arial" w:hAnsi="Arial"/>
          <w:b/>
          <w:sz w:val="28"/>
        </w:rPr>
        <w:t xml:space="preserve">Non-IFRS Financial Measures </w:t>
      </w:r>
    </w:p>
    <w:p>
      <w:pPr>
        <w:pStyle w:val="TextBody"/>
        <w:spacing w:before="120" w:after="0"/>
        <w:jc w:val="left"/>
        <w:rPr>
          <w:rFonts w:ascii="arial" w:hAnsi="arial"/>
          <w:sz w:val="20"/>
        </w:rPr>
      </w:pPr>
      <w:r>
        <w:rPr>
          <w:rFonts w:ascii="arial" w:hAnsi="arial"/>
          <w:sz w:val="20"/>
        </w:rPr>
        <w:t xml:space="preserve">This circular includes certain non-IFRS financial measures, which include ratios that incorporate one or more non-IFRS financial measures, such as adjusted EBITDA and the related margin (other than at the customer segment level), adjusted EBITDA less accrued capital expenditures and the related margin, free cash flow, adjusted EPS, effective tax rate on adjusted earnings, accrued capital expenditures expressed as a percentage of revenues, selected measures excluding the impact of foreign currency, changes in revenues computed on an organic basis as well as all financial measures for the Big 3 segments. In the Compensation Discussion and Analysis section of this circular, we explain why we use certain non-IFRS measures as part of our annual and long-term incentive awards. For reconciliations to the most directly comparable IFRS measure, please see Appendix B of the Managements Discussion and Analysis (MD&amp;A) section of our 2022 annual report. Our 2022 annual MD&amp;A has been filed on SEDAR and EDGAR and applicable reconciliations and disclosures from our 2022 annual MD&amp;A are incorporated by reference in this circular. Adjusted EBITDA less accrued capital expenditures and free cash flow, as discussed in this circular and as used for incentive compensation purposes, are reconciled to earnings from continuing operations and net cash provided by operating activities, respectively, as disclosed and reconciled in our 2022 annual MD&amp;A. Additionally, when we use the terms organic and organically, we are referring to our changes in revenues of our existing businesses at constant currency excluding the impacts of acquisitions and dispositions. Non-IFRS financial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w:t>
      </w:r>
    </w:p>
    <w:p>
      <w:pPr>
        <w:pStyle w:val="TextBody"/>
        <w:spacing w:before="120" w:after="0"/>
        <w:jc w:val="left"/>
        <w:rPr>
          <w:rFonts w:ascii="Arial" w:hAnsi="Arial"/>
          <w:b/>
          <w:sz w:val="28"/>
        </w:rPr>
      </w:pPr>
      <w:bookmarkStart w:id="97" w:name="tx494196_55"/>
      <w:bookmarkEnd w:id="97"/>
      <w:r>
        <w:rPr>
          <w:rFonts w:ascii="Arial" w:hAnsi="Arial"/>
          <w:b/>
          <w:sz w:val="28"/>
        </w:rPr>
        <w:t xml:space="preserve">How to Contact the Board </w:t>
      </w:r>
    </w:p>
    <w:p>
      <w:pPr>
        <w:pStyle w:val="TextBody"/>
        <w:spacing w:before="120" w:after="0"/>
        <w:jc w:val="left"/>
        <w:rPr>
          <w:rFonts w:ascii="arial" w:hAnsi="arial"/>
          <w:sz w:val="20"/>
        </w:rPr>
      </w:pPr>
      <w:r>
        <w:rPr>
          <w:rFonts w:ascii="arial" w:hAnsi="arial"/>
          <w:sz w:val="20"/>
        </w:rPr>
        <w:t xml:space="preserve">Shareholders and other interested parties may contact the Board or its non-management or independent directors as a group, or the directors who preside over their meetings, by writing to them by e-mail at </w:t>
      </w:r>
      <w:r>
        <w:rPr>
          <w:rFonts w:ascii="Arial" w:hAnsi="Arial"/>
          <w:b/>
          <w:color w:val="335367"/>
          <w:sz w:val="20"/>
        </w:rPr>
        <w:t>board@tr.com</w:t>
      </w:r>
      <w:r>
        <w:rPr>
          <w:rFonts w:ascii="arial" w:hAnsi="arial"/>
          <w:sz w:val="20"/>
        </w:rPr>
        <w:t xml:space="preserve"> or by mail c/o Jimma Elliot-Stevens, Interim Chief Legal Officer and Company Secretary, Thomson Reuters, 333 Bay Street, Suite 300, Toronto, Ontario, M5H 2R2, Canada. </w:t>
      </w:r>
    </w:p>
    <w:p>
      <w:pPr>
        <w:pStyle w:val="TextBody"/>
        <w:spacing w:before="120" w:after="0"/>
        <w:jc w:val="left"/>
        <w:rPr>
          <w:rFonts w:ascii="Arial" w:hAnsi="Arial"/>
          <w:b/>
          <w:sz w:val="28"/>
        </w:rPr>
      </w:pPr>
      <w:bookmarkStart w:id="98" w:name="tx494196_56"/>
      <w:bookmarkEnd w:id="98"/>
      <w:r>
        <w:rPr>
          <w:rFonts w:ascii="Arial" w:hAnsi="Arial"/>
          <w:b/>
          <w:sz w:val="28"/>
        </w:rPr>
        <w:t xml:space="preserve">2023 Annual and Special Meeting  Questions from Shareholders </w:t>
      </w:r>
    </w:p>
    <w:p>
      <w:pPr>
        <w:pStyle w:val="TextBody"/>
        <w:spacing w:before="120" w:after="0"/>
        <w:jc w:val="left"/>
        <w:rPr>
          <w:rFonts w:ascii="arial" w:hAnsi="arial"/>
          <w:sz w:val="20"/>
        </w:rPr>
      </w:pPr>
      <w:r>
        <w:rPr>
          <w:rFonts w:ascii="arial" w:hAnsi="arial"/>
          <w:sz w:val="20"/>
        </w:rPr>
        <w:t xml:space="preserve">At the annual and special meeting, shareholders in attendance will be provided with an opportunity to submit or ask questions to our Board, CEO, CFO and other members of senior management in attendance. If you are a shareholder who is attending the meeting by webcast as a guest or is unable to attend this years meeting online but have a question, you may e-mail your question to </w:t>
      </w:r>
      <w:r>
        <w:rPr>
          <w:rFonts w:ascii="Arial" w:hAnsi="Arial"/>
          <w:b/>
          <w:color w:val="335367"/>
          <w:sz w:val="20"/>
        </w:rPr>
        <w:t>investor.relations@tr.com</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While we will seek to respond to as many shareholder questions as possible at the meeting, we cannot assure you that all questions will be able to be addressed at the meeting. If there are questions pertinent to meeting matters that are unanswered during the meeting due to time constraints, we will post questions and answers in the Investor Relations section of our website, </w:t>
      </w:r>
      <w:r>
        <w:rPr>
          <w:rFonts w:ascii="Arial" w:hAnsi="Arial"/>
          <w:b/>
          <w:color w:val="335367"/>
          <w:sz w:val="20"/>
        </w:rPr>
        <w:t>www.tr.com</w:t>
      </w:r>
      <w:r>
        <w:rPr>
          <w:rFonts w:ascii="arial" w:hAnsi="arial"/>
          <w:sz w:val="20"/>
        </w:rPr>
        <w:t xml:space="preserve">, as soon as practicable after the meeting. </w:t>
      </w:r>
    </w:p>
    <w:p>
      <w:pPr>
        <w:pStyle w:val="TextBody"/>
        <w:spacing w:before="120" w:after="0"/>
        <w:jc w:val="left"/>
        <w:rPr>
          <w:rFonts w:ascii="arial" w:hAnsi="arial"/>
          <w:sz w:val="20"/>
        </w:rPr>
      </w:pPr>
      <w:r>
        <w:rPr>
          <w:rFonts w:ascii="arial" w:hAnsi="arial"/>
          <w:sz w:val="20"/>
        </w:rPr>
        <w:t xml:space="preserve">A replay of the annual and special meeting webcast will be posted on our website after the meeting. </w:t>
      </w:r>
    </w:p>
    <w:p>
      <w:pPr>
        <w:pStyle w:val="TextBody"/>
        <w:spacing w:before="120" w:after="0"/>
        <w:jc w:val="left"/>
        <w:rPr>
          <w:rFonts w:ascii="Arial" w:hAnsi="Arial"/>
          <w:b/>
          <w:sz w:val="28"/>
        </w:rPr>
      </w:pPr>
      <w:bookmarkStart w:id="99" w:name="tx494196_57"/>
      <w:bookmarkEnd w:id="99"/>
      <w:r>
        <w:rPr>
          <w:rFonts w:ascii="Arial" w:hAnsi="Arial"/>
          <w:b/>
          <w:sz w:val="28"/>
        </w:rPr>
        <w:t xml:space="preserve">Where to find Corporate Governance and Continuous Disclosure Documents </w:t>
      </w:r>
    </w:p>
    <w:p>
      <w:pPr>
        <w:pStyle w:val="TextBody"/>
        <w:spacing w:before="120" w:after="0"/>
        <w:jc w:val="left"/>
        <w:rPr>
          <w:rFonts w:ascii="arial" w:hAnsi="arial"/>
          <w:sz w:val="20"/>
        </w:rPr>
      </w:pPr>
      <w:r>
        <w:rPr>
          <w:rFonts w:ascii="arial" w:hAnsi="arial"/>
          <w:sz w:val="20"/>
        </w:rPr>
        <w:t xml:space="preserve">Our Code of Business Conduct and Ethics, Corporate Governance Guidelines and charters for the Audit Committee, Corporate Governance Committee, HR Committee and Risk Committee and position descriptions for the Chairman, Lead Independent Director, CEO and the Chair of each committee are available in print free of charge to any shareholder who requests a copy in writing to: Thomson Reuters, Attention: Investor Relations Department, 3 Times Square, New York, New York 10036, United States or by an e-mail request sent to </w:t>
      </w:r>
      <w:r>
        <w:rPr>
          <w:rFonts w:ascii="Arial" w:hAnsi="Arial"/>
          <w:b/>
          <w:color w:val="335367"/>
          <w:sz w:val="20"/>
        </w:rPr>
        <w:t>investor.relations@tr.com</w:t>
      </w:r>
      <w:r>
        <w:rPr>
          <w:rFonts w:ascii="arial" w:hAnsi="arial"/>
          <w:sz w:val="20"/>
        </w:rPr>
        <w:t xml:space="preserve">. These documents are also available on our website, </w:t>
      </w:r>
      <w:r>
        <w:rPr>
          <w:rFonts w:ascii="Arial" w:hAnsi="Arial"/>
          <w:b/>
          <w:color w:val="335367"/>
          <w:sz w:val="20"/>
        </w:rPr>
        <w:t xml:space="preserve">www.tr.com. </w:t>
      </w:r>
    </w:p>
    <w:p>
      <w:pPr>
        <w:pStyle w:val="TextBody"/>
        <w:spacing w:before="120" w:after="0"/>
        <w:jc w:val="left"/>
        <w:rPr>
          <w:rFonts w:ascii="arial" w:hAnsi="arial"/>
          <w:sz w:val="20"/>
        </w:rPr>
      </w:pPr>
      <w:r>
        <w:rPr>
          <w:rFonts w:ascii="arial" w:hAnsi="arial"/>
          <w:sz w:val="20"/>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hAnsi="Arial"/>
          <w:b/>
          <w:color w:val="335367"/>
          <w:sz w:val="20"/>
        </w:rPr>
        <w:t>www.tr.com</w:t>
      </w:r>
      <w:r>
        <w:rPr>
          <w:rFonts w:ascii="arial" w:hAnsi="arial"/>
          <w:sz w:val="20"/>
        </w:rPr>
        <w:t xml:space="preserve">. Additional information regarding our Audit Committee that is required to be disclosed pursuant to Canadian Securities Administrators Multilateral Instrument Form 52-110F1 is included in our 2022 annual report.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hAnsi="Arial"/>
          <w:b/>
          <w:color w:val="335367"/>
          <w:sz w:val="20"/>
        </w:rPr>
        <w:t>www.sedar.com</w:t>
      </w:r>
      <w:r>
        <w:rPr>
          <w:rFonts w:ascii="arial" w:hAnsi="arial"/>
          <w:sz w:val="20"/>
        </w:rPr>
        <w:t xml:space="preserve"> and in the United States with the SEC through EDGAR at </w:t>
      </w:r>
      <w:r>
        <w:rPr>
          <w:rFonts w:ascii="Arial" w:hAnsi="Arial"/>
          <w:b/>
          <w:color w:val="335367"/>
          <w:sz w:val="20"/>
        </w:rPr>
        <w:t>www.sec.gov</w:t>
      </w:r>
      <w:r>
        <w:rPr>
          <w:rFonts w:ascii="arial" w:hAnsi="arial"/>
          <w:sz w:val="20"/>
        </w:rPr>
        <w:t xml:space="preserve">. A copy of our Corporate Governance Guidelines has been filed on SEDAR and EDGAR and is incorporated by reference in this circular. </w:t>
      </w:r>
    </w:p>
    <w:p>
      <w:pPr>
        <w:pStyle w:val="TextBody"/>
        <w:spacing w:before="120" w:after="0"/>
        <w:jc w:val="left"/>
        <w:rPr>
          <w:rFonts w:ascii="arial" w:hAnsi="arial"/>
          <w:sz w:val="20"/>
        </w:rPr>
      </w:pPr>
      <w:r>
        <w:rPr>
          <w:rFonts w:ascii="arial" w:hAnsi="arial"/>
          <w:sz w:val="20"/>
        </w:rPr>
        <w:t xml:space="preserve">Under NYSE listing standards, we are required to disclose any significant ways in which our corporate governance practices differ from those required to be followed by U.S. domestic companies under NYSE listing standards. There is only one significant difference between our corporate governance practices and those required of domestic companies under NYSE listing standards. NYSE listing standards require shareholder approval of all equity compensation plans and material revisions to these types of plans (with limited exceptions). TSX rules require shareholder approval of security based compensation arrangements only for plans which involve newly issued shares or specified amendments to the plans. Similar to a number of other Canadian issuers, our company follows the TSX rules. </w:t>
      </w:r>
    </w:p>
    <w:p>
      <w:pPr>
        <w:pStyle w:val="TextBody"/>
        <w:spacing w:before="120" w:after="0"/>
        <w:jc w:val="left"/>
        <w:rPr>
          <w:rFonts w:ascii="Arial" w:hAnsi="Arial"/>
          <w:b/>
          <w:sz w:val="28"/>
        </w:rPr>
      </w:pPr>
      <w:bookmarkStart w:id="100" w:name="tx494196_58"/>
      <w:bookmarkEnd w:id="100"/>
      <w:r>
        <w:rPr>
          <w:rFonts w:ascii="Arial" w:hAnsi="Arial"/>
          <w:b/>
          <w:sz w:val="28"/>
        </w:rPr>
        <w:t xml:space="preserve">Thomson Reuters Trust Principles and Thomson Reuters Founders Share Company </w:t>
      </w:r>
    </w:p>
    <w:p>
      <w:pPr>
        <w:pStyle w:val="TextBody"/>
        <w:spacing w:before="120" w:after="0"/>
        <w:jc w:val="left"/>
        <w:rPr>
          <w:rFonts w:ascii="arial" w:hAnsi="arial"/>
          <w:sz w:val="20"/>
        </w:rPr>
      </w:pPr>
      <w:r>
        <w:rPr>
          <w:rFonts w:ascii="arial" w:hAnsi="arial"/>
          <w:sz w:val="20"/>
        </w:rPr>
        <w:t xml:space="preserve">We have issued a Founders Share to the Thomson Reuters Founders Share Company which enables it to exercise extraordinary voting power to safeguard the Thomson Reuters Trust Principles. </w:t>
      </w:r>
    </w:p>
    <w:p>
      <w:pPr>
        <w:pStyle w:val="TextBody"/>
        <w:spacing w:before="120" w:after="0"/>
        <w:jc w:val="left"/>
        <w:rPr>
          <w:rFonts w:ascii="arial" w:hAnsi="arial"/>
          <w:sz w:val="20"/>
        </w:rPr>
      </w:pPr>
      <w:r>
        <w:rPr>
          <w:rFonts w:ascii="arial" w:hAnsi="arial"/>
          <w:sz w:val="20"/>
        </w:rPr>
        <w:t xml:space="preserve">The directors of the Thomson Reuters Founders Share Company are experienced and eminent people from the world of politics, diplomacy, media, public service and business. They generally have all held high offices in their respective sectors. The directors are selected by a nomination committee and proposed to the board of the Thomson Reuters Founders Share Company to be considered for appointment. The nomination committee assists in scrutinizing candidates suitability and its members include two persons appointed by the chairman after consultation with the European Court of Human Rights (ECHR). These have historically been judges of the ECHR. Our Board currently has two representatives on the nomination committee. In addition to the chairman and deputy chairman of the Thomson Reuters Founders Share Company, who are also members of the nomination committee, the chairman of the Thomson Reuters Founders Share Company appoints three other directors of the Thomson Reuters Founders Share Company to the nomination committee. Other members are representatives of press associations from the United Kingdom and Australia. The chairman of the Thomson Reuters Founders Share Company acts as chairman of the nomination committee. </w:t>
      </w:r>
    </w:p>
    <w:p>
      <w:pPr>
        <w:pStyle w:val="TextBody"/>
        <w:spacing w:before="120" w:after="0"/>
        <w:jc w:val="left"/>
        <w:rPr>
          <w:rFonts w:ascii="arial" w:hAnsi="arial"/>
          <w:sz w:val="20"/>
        </w:rPr>
      </w:pPr>
      <w:r>
        <w:rPr>
          <w:rFonts w:ascii="arial" w:hAnsi="arial"/>
          <w:sz w:val="20"/>
        </w:rPr>
        <w:t xml:space="preserve">Under a Thomson Reuters Trust Principles Support Agreement, Woodbridge has agreed to support the Thomson Reuters Trust Principles and to exercise its voting rights to give effect to this support. Thomson Reuters Founders Share Company, Thomson Reuters and Reuters News are also party to an Amended and Restated Reuters Support Agreement governing the relationship between them. </w:t>
      </w:r>
    </w:p>
    <w:p>
      <w:pPr>
        <w:pStyle w:val="TextBody"/>
        <w:spacing w:before="120" w:after="0"/>
        <w:jc w:val="left"/>
        <w:rPr>
          <w:rFonts w:ascii="arial" w:hAnsi="arial"/>
          <w:sz w:val="20"/>
        </w:rPr>
      </w:pPr>
      <w:r>
        <w:rPr>
          <w:rFonts w:ascii="arial" w:hAnsi="arial"/>
          <w:sz w:val="20"/>
        </w:rPr>
        <w:t xml:space="preserve">For additional information about the Thomson Reuters Founders Share Company, its directors, the Thomson Reuters Trust Principles, the Founders Share that our company has issued to the Thomson Reuters Founders Share Company and the Amended and Restated Reuters Support Agreement, please see our 2022 annual report. </w:t>
      </w:r>
    </w:p>
    <w:p>
      <w:pPr>
        <w:pStyle w:val="TextBody"/>
        <w:spacing w:before="120" w:after="0"/>
        <w:jc w:val="left"/>
        <w:rPr>
          <w:rFonts w:ascii="Arial" w:hAnsi="Arial"/>
          <w:b/>
          <w:sz w:val="28"/>
        </w:rPr>
      </w:pPr>
      <w:bookmarkStart w:id="101" w:name="tx494196_59"/>
      <w:bookmarkEnd w:id="101"/>
      <w:r>
        <w:rPr>
          <w:rFonts w:ascii="Arial" w:hAnsi="Arial"/>
          <w:b/>
          <w:sz w:val="28"/>
        </w:rPr>
        <w:t xml:space="preserve">Additional Director Information </w:t>
      </w:r>
    </w:p>
    <w:p>
      <w:pPr>
        <w:pStyle w:val="TextBody"/>
        <w:spacing w:before="120" w:after="0"/>
        <w:jc w:val="left"/>
        <w:rPr>
          <w:rFonts w:ascii="arial" w:hAnsi="arial"/>
          <w:sz w:val="20"/>
        </w:rPr>
      </w:pPr>
      <w:r>
        <w:rPr>
          <w:rFonts w:ascii="arial" w:hAnsi="arial"/>
          <w:sz w:val="20"/>
        </w:rPr>
        <w:t xml:space="preserve">Steve Hasker, our President and Chief Executive Officer and a director of our company, was a director of Global Eagle Entertainment Inc. until May 2020. In July 2020, Global Eagle Entertainment Inc. commenced voluntary proceedings under Chapter 11 of the United States Bankruptcy Code. </w:t>
      </w:r>
    </w:p>
    <w:p>
      <w:pPr>
        <w:pStyle w:val="TextBody"/>
        <w:spacing w:before="120" w:after="0"/>
        <w:jc w:val="left"/>
        <w:rPr>
          <w:rFonts w:ascii="Arial" w:hAnsi="Arial"/>
          <w:b/>
          <w:sz w:val="28"/>
        </w:rPr>
      </w:pPr>
      <w:bookmarkStart w:id="102" w:name="tx494196_60"/>
      <w:bookmarkEnd w:id="102"/>
      <w:r>
        <w:rPr>
          <w:rFonts w:ascii="Arial" w:hAnsi="Arial"/>
          <w:b/>
          <w:sz w:val="28"/>
        </w:rPr>
        <w:t xml:space="preserve">Share Repurchases  Normal Course Issuer Bid </w:t>
      </w:r>
    </w:p>
    <w:p>
      <w:pPr>
        <w:pStyle w:val="TextBody"/>
        <w:spacing w:before="120" w:after="0"/>
        <w:jc w:val="left"/>
        <w:rPr>
          <w:rFonts w:ascii="arial" w:hAnsi="arial"/>
          <w:sz w:val="20"/>
        </w:rPr>
      </w:pPr>
      <w:r>
        <w:rPr>
          <w:rFonts w:ascii="arial" w:hAnsi="arial"/>
          <w:sz w:val="20"/>
        </w:rPr>
        <w:t xml:space="preserve">We buy back shares (and subsequently cancel them) from time to time as part of our capital strategy. Share repurchases are typically repurchased under a normal course issuer bid. Our existing normal course issuer bid enables us to purchase up to 24 million common shares between June 13, 2022 and June 12, 2023 at prevailing market prices in amounts and at times determined by our company. The normal course issuer bid permits us to purchase shares through the TSX or the NYSE and/or other exchanges and alternative trading systems, if eligible, or by such other means as were permitted by the TSX and/or NYSE or under applicable law by a registered investment dealer (or an affiliate of the dealer), including private agreement purchases if we had received an issuer bid exemption order from applicable securities regulatory authorities in Canada for such purchases. </w:t>
      </w:r>
    </w:p>
    <w:p>
      <w:pPr>
        <w:pStyle w:val="TextBody"/>
        <w:spacing w:before="120" w:after="0"/>
        <w:jc w:val="left"/>
        <w:rPr>
          <w:rFonts w:ascii="arial" w:hAnsi="arial"/>
          <w:sz w:val="20"/>
        </w:rPr>
      </w:pPr>
      <w:r>
        <w:rPr>
          <w:rFonts w:ascii="arial" w:hAnsi="arial"/>
          <w:sz w:val="20"/>
        </w:rPr>
        <w:t xml:space="preserve">In June 2022, we announced a program to repurchase up to $2.0 billion of our common shares. In 2022, we repurchased approximately 11.9 million common shares for $1.3 billion at an average price per share of $107.99 under the normal course issuer bid. We subsequently completed this program in the first quarter of 2023, with additional repurchases of 6.0 million common shares totaling approximately $0.7 billion at an average price per share of $120.10. Common shares that we purchased under the bid were cancelled. Please see our 2022 annual report for additional information regarding our share repurchases and normal course issuer bid. A copy of the notice of intention related to the normal course issuer bid is available at </w:t>
      </w:r>
      <w:r>
        <w:rPr>
          <w:rFonts w:ascii="Arial" w:hAnsi="Arial"/>
          <w:b/>
          <w:color w:val="335367"/>
          <w:sz w:val="20"/>
        </w:rPr>
        <w:t>www.sedar.com</w:t>
      </w:r>
      <w:r>
        <w:rPr>
          <w:rFonts w:ascii="arial" w:hAnsi="arial"/>
          <w:sz w:val="20"/>
        </w:rPr>
        <w:t xml:space="preserve"> and </w:t>
      </w:r>
      <w:r>
        <w:rPr>
          <w:rFonts w:ascii="Arial" w:hAnsi="Arial"/>
          <w:b/>
          <w:color w:val="335367"/>
          <w:sz w:val="20"/>
        </w:rPr>
        <w:t>www.sec.gov</w:t>
      </w:r>
      <w:r>
        <w:rPr>
          <w:rFonts w:ascii="arial" w:hAnsi="arial"/>
          <w:sz w:val="20"/>
        </w:rPr>
        <w:t xml:space="preserve"> and may also be obtained without charge from our Investor Relations Department at the address listed above.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130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3" w:name="tx494196_61"/>
      <w:bookmarkEnd w:id="103"/>
      <w:r>
        <w:rPr>
          <w:rFonts w:ascii="arial" w:hAnsi="arial"/>
          <w:color w:val="B94831"/>
          <w:sz w:val="52"/>
        </w:rPr>
        <w:t xml:space="preserve">Directors Approval </w:t>
      </w:r>
    </w:p>
    <w:p>
      <w:pPr>
        <w:pStyle w:val="TextBody"/>
        <w:spacing w:before="480" w:after="0"/>
        <w:jc w:val="left"/>
        <w:rPr>
          <w:rFonts w:ascii="arial" w:hAnsi="arial"/>
          <w:sz w:val="20"/>
        </w:rPr>
      </w:pPr>
      <w:r>
        <w:rPr>
          <w:rFonts w:ascii="arial" w:hAnsi="arial"/>
          <w:sz w:val="20"/>
        </w:rPr>
        <w:t xml:space="preserve">The Board of Directors of Thomson Reuters Corporation has approved the contents of this circular and the mailing of the circular to our shareholders. </w:t>
      </w:r>
    </w:p>
    <w:p>
      <w:pPr>
        <w:pStyle w:val="TextBody"/>
        <w:spacing w:before="0" w:after="0"/>
        <w:jc w:val="left"/>
        <w:rPr/>
      </w:pPr>
      <w:r>
        <w:rPr/>
        <w:t> </w:t>
      </w:r>
    </w:p>
    <w:p>
      <w:pPr>
        <w:pStyle w:val="TextBody"/>
        <w:spacing w:before="0" w:after="0"/>
        <w:jc w:val="left"/>
        <w:rPr/>
      </w:pPr>
      <w:r>
        <w:rPr/>
        <w:drawing>
          <wp:inline distT="0" distB="0" distL="0" distR="0">
            <wp:extent cx="152400" cy="730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52400" cy="73025"/>
                    </a:xfrm>
                    <a:prstGeom prst="rect">
                      <a:avLst/>
                    </a:prstGeom>
                  </pic:spPr>
                </pic:pic>
              </a:graphicData>
            </a:graphic>
          </wp:inline>
        </w:drawing>
      </w:r>
      <w:r>
        <w:rPr/>
        <w:t xml:space="preserve"> </w:t>
      </w:r>
    </w:p>
    <w:p>
      <w:pPr>
        <w:pStyle w:val="TextBody"/>
        <w:spacing w:before="120" w:after="0"/>
        <w:jc w:val="left"/>
        <w:rPr>
          <w:rFonts w:ascii="arial" w:hAnsi="arial"/>
          <w:sz w:val="20"/>
        </w:rPr>
      </w:pPr>
      <w:r>
        <w:rPr>
          <w:rFonts w:ascii="arial" w:hAnsi="arial"/>
          <w:sz w:val="20"/>
        </w:rPr>
        <w:t xml:space="preserve">Jimma Elliott-Stevens </w:t>
      </w:r>
    </w:p>
    <w:p>
      <w:pPr>
        <w:pStyle w:val="TextBody"/>
        <w:spacing w:before="0" w:after="0"/>
        <w:jc w:val="left"/>
        <w:rPr>
          <w:rFonts w:ascii="arial" w:hAnsi="arial"/>
          <w:sz w:val="20"/>
        </w:rPr>
      </w:pPr>
      <w:r>
        <w:rPr>
          <w:rFonts w:ascii="arial" w:hAnsi="arial"/>
          <w:sz w:val="20"/>
        </w:rPr>
        <w:t xml:space="preserve">Interim Chief Legal Officer and Company Secretary </w:t>
      </w:r>
    </w:p>
    <w:p>
      <w:pPr>
        <w:pStyle w:val="TextBody"/>
        <w:spacing w:before="80" w:after="0"/>
        <w:jc w:val="left"/>
        <w:rPr>
          <w:rFonts w:ascii="arial" w:hAnsi="arial"/>
          <w:sz w:val="20"/>
        </w:rPr>
      </w:pPr>
      <w:r>
        <w:rPr>
          <w:rFonts w:ascii="arial" w:hAnsi="arial"/>
          <w:sz w:val="20"/>
        </w:rPr>
        <w:t xml:space="preserve">April 26, 2023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4" w:name="tx494196_62"/>
      <w:bookmarkEnd w:id="104"/>
      <w:r>
        <w:rPr>
          <w:rFonts w:ascii="arial" w:hAnsi="arial"/>
          <w:color w:val="B94831"/>
          <w:sz w:val="52"/>
        </w:rPr>
        <w:t xml:space="preserve">Appendix A  Equity Compensation and Other Plan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58"/>
        <w:gridCol w:w="306"/>
        <w:gridCol w:w="6941"/>
      </w:tblGrid>
      <w:tr>
        <w:trPr/>
        <w:tc>
          <w:tcPr>
            <w:tcW w:w="295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694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2" w:space="0" w:color="B94831"/>
            </w:tcBorders>
            <w:shd w:fill="262626" w:val="clear"/>
            <w:tcMar>
              <w:bottom w:w="28" w:type="dxa"/>
            </w:tcMar>
            <w:vAlign w:val="bottom"/>
          </w:tcPr>
          <w:p>
            <w:pPr>
              <w:pStyle w:val="TableContents"/>
              <w:spacing w:before="0" w:after="283"/>
              <w:rPr>
                <w:rFonts w:ascii="Arial" w:hAnsi="Arial"/>
                <w:b/>
                <w:color w:val="FFFFFF"/>
              </w:rPr>
            </w:pPr>
            <w:r>
              <w:rPr>
                <w:rFonts w:ascii="Arial" w:hAnsi="Arial"/>
                <w:b/>
                <w:color w:val="FFFFFF"/>
              </w:rPr>
              <w:t>Stock Incentive Plan</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Eligibility</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Any employee or officer of Thomson Reuters (as may be determined by the HR Committee). Directors who are not employees or officers of our company are not eligible to participate in the plan.</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Purpose</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Provide an additional incentive to participants, encourage stock ownership by them and thereby increase their proprietary interest in our companys success and their desire to remain with Thomson Reuters.</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Maximum number of shares issuable</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69,150,969 shares, representing approximately 14.23% of our total issued and outstanding shares as of year end.</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Shares and awards issued in 2022</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In 2022, we issued approximately 2.0 million shares under the plan, which represented approximately 0.42% of our total issued and outstanding shares as of year-end. Total awards granted in 2022 represented approximately 0.29% of our total issued and outstanding shares as of year-end. Of this amount, options granted in 2022 represented approximately 0.08% and RSUs granted in 2022 represented approximately 0.21%.</w:t>
            </w:r>
          </w:p>
        </w:tc>
      </w:tr>
      <w:tr>
        <w:trPr/>
        <w:tc>
          <w:tcPr>
            <w:tcW w:w="2958" w:type="dxa"/>
            <w:tcBorders/>
            <w:shd w:fill="auto" w:val="clear"/>
          </w:tcPr>
          <w:p>
            <w:pPr>
              <w:pStyle w:val="TableContents"/>
              <w:spacing w:before="0" w:after="0"/>
              <w:rPr>
                <w:rFonts w:ascii="Arial" w:hAnsi="Arial"/>
                <w:b/>
                <w:sz w:val="16"/>
              </w:rPr>
            </w:pPr>
            <w:r>
              <w:rPr>
                <w:rFonts w:ascii="Arial" w:hAnsi="Arial"/>
                <w:b/>
                <w:sz w:val="16"/>
              </w:rPr>
              <w:t>Other limits</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Shares may consist, in whole or in part, of common shares issued from treasury or purchased on the open market or any combination thereof.</w:t>
            </w:r>
          </w:p>
        </w:tc>
      </w:tr>
      <w:tr>
        <w:trPr/>
        <w:tc>
          <w:tcPr>
            <w:tcW w:w="2958" w:type="dxa"/>
            <w:tcBorders/>
            <w:shd w:fill="auto" w:val="clear"/>
          </w:tcPr>
          <w:p>
            <w:pPr>
              <w:pStyle w:val="TableContents"/>
              <w:spacing w:before="0" w:after="283"/>
              <w:rPr>
                <w:sz w:val="4"/>
                <w:szCs w:val="4"/>
              </w:rPr>
            </w:pPr>
            <w:r>
              <w:rPr>
                <w:sz w:val="4"/>
                <w:szCs w:val="4"/>
              </w:rPr>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The maximum number of shares that may be issued in respect of RSU awards granted after December 31, 2016 will not exceed 13,503,378 shares.</w:t>
            </w:r>
          </w:p>
        </w:tc>
      </w:tr>
      <w:tr>
        <w:trPr/>
        <w:tc>
          <w:tcPr>
            <w:tcW w:w="2958" w:type="dxa"/>
            <w:tcBorders/>
            <w:shd w:fill="auto" w:val="clear"/>
          </w:tcPr>
          <w:p>
            <w:pPr>
              <w:pStyle w:val="TableContents"/>
              <w:spacing w:before="0" w:after="283"/>
              <w:rPr>
                <w:sz w:val="4"/>
                <w:szCs w:val="4"/>
              </w:rPr>
            </w:pPr>
            <w:r>
              <w:rPr>
                <w:sz w:val="4"/>
                <w:szCs w:val="4"/>
              </w:rPr>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The maximum number of shares that may be issued under plan awards held by any one person under the plan must not exceed 5% of our outstanding common shares determined on a non-diluted basis. The maximum number of shares for which plan awards may be granted and which may be otherwise awarded under the plan to any individual during any one-year period is 5,000,000.</w:t>
            </w:r>
          </w:p>
        </w:tc>
      </w:tr>
      <w:tr>
        <w:trPr/>
        <w:tc>
          <w:tcPr>
            <w:tcW w:w="2958" w:type="dxa"/>
            <w:tcBorders/>
            <w:shd w:fill="auto" w:val="clear"/>
          </w:tcPr>
          <w:p>
            <w:pPr>
              <w:pStyle w:val="TableContents"/>
              <w:spacing w:before="0" w:after="283"/>
              <w:rPr>
                <w:sz w:val="4"/>
                <w:szCs w:val="4"/>
              </w:rPr>
            </w:pPr>
            <w:r>
              <w:rPr>
                <w:sz w:val="4"/>
                <w:szCs w:val="4"/>
              </w:rPr>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The number of shares issued to insiders and their associates within any one-year period under the plan and any other security based compensation arrangement of Thomson Reuters cannot exceed 5% of the aggregate number of our issued and outstanding shares on a non-diluted basis. The maximum number of shares issuable to insiders, at any time, under the plan and any other share based compensation arrangement of Thomson Reuters cannot exceed 10% of the aggregate number of our issued and outstanding shares on a non-diluted basis.</w:t>
            </w:r>
          </w:p>
        </w:tc>
      </w:tr>
      <w:tr>
        <w:trPr/>
        <w:tc>
          <w:tcPr>
            <w:tcW w:w="2958" w:type="dxa"/>
            <w:tcBorders/>
            <w:shd w:fill="auto" w:val="clear"/>
          </w:tcPr>
          <w:p>
            <w:pPr>
              <w:pStyle w:val="TableContents"/>
              <w:spacing w:before="0" w:after="283"/>
              <w:rPr>
                <w:sz w:val="4"/>
                <w:szCs w:val="4"/>
              </w:rPr>
            </w:pPr>
            <w:r>
              <w:rPr>
                <w:sz w:val="4"/>
                <w:szCs w:val="4"/>
              </w:rPr>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The maximum number of shares that may be issued through incentive stock options (ISOs) under the plan is 5,000,000. We may not issue ISOs under the plan at this time.</w:t>
            </w:r>
          </w:p>
        </w:tc>
      </w:tr>
      <w:tr>
        <w:trPr/>
        <w:tc>
          <w:tcPr>
            <w:tcW w:w="2958" w:type="dxa"/>
            <w:tcBorders>
              <w:bottom w:val="single" w:sz="2" w:space="0" w:color="AFAFAF"/>
            </w:tcBorders>
            <w:shd w:fill="auto" w:val="clear"/>
            <w:tcMar>
              <w:bottom w:w="28" w:type="dxa"/>
            </w:tcMar>
          </w:tcPr>
          <w:p>
            <w:pPr>
              <w:pStyle w:val="TableContents"/>
              <w:spacing w:before="0" w:after="283"/>
              <w:rPr/>
            </w:pPr>
            <w:r>
              <w:rPr/>
              <w:t> </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Shares subject to awards which are cancelled, expired, forfeited or terminated without having been exercised are available for new awards under the stock incentive plan.</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Types of awards that may be issued</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Non-qualified stock options, stock appreciation rights (SARs), awards of RSUs and other awards of shares based on the value of shares. Through the date of this circular, we have only issued non-qualified stock options and RSUs under this plan. We issue SARs under our separate phantom stock plan.</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Maximum option term</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10-year expiration date from the date of grant.</w:t>
            </w:r>
          </w:p>
        </w:tc>
      </w:tr>
      <w:tr>
        <w:trPr/>
        <w:tc>
          <w:tcPr>
            <w:tcW w:w="2958"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Exercise price of options</w:t>
            </w:r>
          </w:p>
        </w:tc>
        <w:tc>
          <w:tcPr>
            <w:tcW w:w="306"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vAlign w:val="bottom"/>
          </w:tcPr>
          <w:p>
            <w:pPr>
              <w:pStyle w:val="TableContents"/>
              <w:spacing w:before="0" w:after="283"/>
              <w:rPr/>
            </w:pPr>
            <w:r>
              <w:rPr/>
              <w:t>Equal to the closing price of our shares on the NYSE on the trading day immediately preceding the date of the grant.</w:t>
            </w:r>
          </w:p>
        </w:tc>
      </w:tr>
      <w:tr>
        <w:trPr/>
        <w:tc>
          <w:tcPr>
            <w:tcW w:w="2958"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Vesting and exercise of options</w:t>
            </w:r>
          </w:p>
        </w:tc>
        <w:tc>
          <w:tcPr>
            <w:tcW w:w="306" w:type="dxa"/>
            <w:tcBorders>
              <w:bottom w:val="single" w:sz="8" w:space="0" w:color="B94831"/>
            </w:tcBorders>
            <w:shd w:fill="auto" w:val="clear"/>
            <w:tcMar>
              <w:bottom w:w="28" w:type="dxa"/>
            </w:tcMar>
            <w:vAlign w:val="bottom"/>
          </w:tcPr>
          <w:p>
            <w:pPr>
              <w:pStyle w:val="TableContents"/>
              <w:spacing w:before="0" w:after="283"/>
              <w:rPr/>
            </w:pPr>
            <w:r>
              <w:rPr/>
              <w:t>  </w:t>
            </w:r>
          </w:p>
        </w:tc>
        <w:tc>
          <w:tcPr>
            <w:tcW w:w="6941" w:type="dxa"/>
            <w:tcBorders>
              <w:bottom w:val="single" w:sz="8" w:space="0" w:color="B94831"/>
            </w:tcBorders>
            <w:shd w:fill="auto" w:val="clear"/>
            <w:tcMar>
              <w:bottom w:w="28" w:type="dxa"/>
            </w:tcMar>
            <w:vAlign w:val="bottom"/>
          </w:tcPr>
          <w:p>
            <w:pPr>
              <w:pStyle w:val="TableContents"/>
              <w:spacing w:before="0" w:after="283"/>
              <w:rPr/>
            </w:pPr>
            <w:r>
              <w:rPr/>
              <w:t>Stock options must be vested before they can be exercised. Options vest 25% each year over a four year period.</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469"/>
        <w:gridCol w:w="194"/>
        <w:gridCol w:w="5542"/>
      </w:tblGrid>
      <w:tr>
        <w:trPr/>
        <w:tc>
          <w:tcPr>
            <w:tcW w:w="446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5542"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4469" w:type="dxa"/>
            <w:tcBorders/>
            <w:shd w:fill="auto" w:val="clear"/>
            <w:vAlign w:val="center"/>
          </w:tcPr>
          <w:p>
            <w:pPr>
              <w:pStyle w:val="TableContents"/>
              <w:spacing w:before="0" w:after="283"/>
              <w:rPr>
                <w:sz w:val="4"/>
                <w:szCs w:val="4"/>
              </w:rPr>
            </w:pPr>
            <w:r>
              <w:rPr>
                <w:sz w:val="4"/>
                <w:szCs w:val="4"/>
              </w:rPr>
            </w:r>
          </w:p>
        </w:tc>
        <w:tc>
          <w:tcPr>
            <w:tcW w:w="5736" w:type="dxa"/>
            <w:gridSpan w:val="2"/>
            <w:tcBorders/>
            <w:shd w:fill="262626" w:val="clear"/>
            <w:vAlign w:val="center"/>
          </w:tcPr>
          <w:p>
            <w:pPr>
              <w:pStyle w:val="TableContents"/>
              <w:spacing w:before="0" w:after="283"/>
              <w:rPr>
                <w:sz w:val="4"/>
                <w:szCs w:val="4"/>
              </w:rPr>
            </w:pPr>
            <w:r>
              <w:rPr>
                <w:sz w:val="4"/>
                <w:szCs w:val="4"/>
              </w:rPr>
            </w:r>
          </w:p>
        </w:tc>
      </w:tr>
      <w:tr>
        <w:trPr/>
        <w:tc>
          <w:tcPr>
            <w:tcW w:w="4469" w:type="dxa"/>
            <w:tcBorders>
              <w:bottom w:val="single" w:sz="2" w:space="0" w:color="B94831"/>
            </w:tcBorders>
            <w:shd w:fill="auto" w:val="clear"/>
            <w:tcMar>
              <w:bottom w:w="28" w:type="dxa"/>
            </w:tcMar>
            <w:vAlign w:val="bottom"/>
          </w:tcPr>
          <w:p>
            <w:pPr>
              <w:pStyle w:val="TableContents"/>
              <w:spacing w:before="0" w:after="283"/>
              <w:rPr/>
            </w:pPr>
            <w:r>
              <w:rPr/>
              <w:t> </w:t>
            </w:r>
          </w:p>
        </w:tc>
        <w:tc>
          <w:tcPr>
            <w:tcW w:w="194" w:type="dxa"/>
            <w:tcBorders>
              <w:bottom w:val="single" w:sz="2" w:space="0" w:color="B94831"/>
            </w:tcBorders>
            <w:shd w:fill="262626" w:val="clear"/>
            <w:tcMar>
              <w:bottom w:w="28" w:type="dxa"/>
            </w:tcMar>
            <w:vAlign w:val="bottom"/>
          </w:tcPr>
          <w:p>
            <w:pPr>
              <w:pStyle w:val="TableContents"/>
              <w:spacing w:before="0" w:after="283"/>
              <w:rPr/>
            </w:pPr>
            <w:r>
              <w:rPr/>
              <w:t>  </w:t>
            </w:r>
          </w:p>
        </w:tc>
        <w:tc>
          <w:tcPr>
            <w:tcW w:w="5542" w:type="dxa"/>
            <w:tcBorders>
              <w:bottom w:val="single" w:sz="2" w:space="0" w:color="B94831"/>
            </w:tcBorders>
            <w:shd w:fill="262626" w:val="clear"/>
            <w:tcMar>
              <w:bottom w:w="28" w:type="dxa"/>
            </w:tcMar>
            <w:vAlign w:val="bottom"/>
          </w:tcPr>
          <w:p>
            <w:pPr>
              <w:pStyle w:val="TableContents"/>
              <w:spacing w:before="0" w:after="20"/>
              <w:jc w:val="center"/>
              <w:rPr>
                <w:rFonts w:ascii="Arial" w:hAnsi="Arial"/>
                <w:b/>
                <w:color w:val="FFFFFF"/>
                <w:sz w:val="17"/>
              </w:rPr>
            </w:pPr>
            <w:r>
              <w:rPr>
                <w:rFonts w:ascii="Arial" w:hAnsi="Arial"/>
                <w:b/>
                <w:color w:val="FFFFFF"/>
                <w:sz w:val="17"/>
              </w:rPr>
              <w:t>As of December 31, 2022</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Common shares issued under the plan</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283"/>
              <w:jc w:val="center"/>
              <w:rPr/>
            </w:pPr>
            <w:r>
              <w:rPr/>
              <w:t>55,993,170 (1)</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Common shares remaining for issuance</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0"/>
              <w:jc w:val="center"/>
              <w:rPr>
                <w:rFonts w:ascii="arial" w:hAnsi="arial"/>
                <w:sz w:val="16"/>
              </w:rPr>
            </w:pPr>
            <w:r>
              <w:rPr>
                <w:rFonts w:ascii="arial" w:hAnsi="arial"/>
                <w:sz w:val="16"/>
              </w:rPr>
              <w:t>13,157,799 (representing approximately 2.77% of our</w:t>
            </w:r>
          </w:p>
          <w:p>
            <w:pPr>
              <w:pStyle w:val="TableContents"/>
              <w:spacing w:before="0" w:after="20"/>
              <w:jc w:val="center"/>
              <w:rPr>
                <w:rFonts w:ascii="arial" w:hAnsi="arial"/>
                <w:sz w:val="16"/>
              </w:rPr>
            </w:pPr>
            <w:r>
              <w:rPr>
                <w:rFonts w:ascii="arial" w:hAnsi="arial"/>
                <w:sz w:val="16"/>
              </w:rPr>
              <w:t>issued and outstanding shares as of year-end)</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Stock options and RSUs outstanding</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0"/>
              <w:jc w:val="center"/>
              <w:rPr>
                <w:rFonts w:ascii="arial" w:hAnsi="arial"/>
                <w:sz w:val="16"/>
              </w:rPr>
            </w:pPr>
            <w:r>
              <w:rPr>
                <w:rFonts w:ascii="arial" w:hAnsi="arial"/>
                <w:sz w:val="16"/>
              </w:rPr>
              <w:t>4,088,324 (representing approximately 0.86% of our</w:t>
            </w:r>
          </w:p>
          <w:p>
            <w:pPr>
              <w:pStyle w:val="TableContents"/>
              <w:spacing w:before="0" w:after="20"/>
              <w:jc w:val="center"/>
              <w:rPr>
                <w:rFonts w:ascii="arial" w:hAnsi="arial"/>
                <w:sz w:val="16"/>
              </w:rPr>
            </w:pPr>
            <w:r>
              <w:rPr>
                <w:rFonts w:ascii="arial" w:hAnsi="arial"/>
                <w:sz w:val="16"/>
              </w:rPr>
              <w:t>issued and outstanding shares as of year-end)</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Common shares remaining for issuance less outstanding stock options and RSUs</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0"/>
              <w:jc w:val="center"/>
              <w:rPr>
                <w:rFonts w:ascii="arial" w:hAnsi="arial"/>
                <w:sz w:val="16"/>
              </w:rPr>
            </w:pPr>
            <w:r>
              <w:rPr>
                <w:rFonts w:ascii="arial" w:hAnsi="arial"/>
                <w:sz w:val="16"/>
              </w:rPr>
              <w:t>9,069,475 (representing approximately 1.91% of our</w:t>
            </w:r>
          </w:p>
          <w:p>
            <w:pPr>
              <w:pStyle w:val="TableContents"/>
              <w:spacing w:before="0" w:after="20"/>
              <w:jc w:val="center"/>
              <w:rPr>
                <w:rFonts w:ascii="arial" w:hAnsi="arial"/>
                <w:sz w:val="16"/>
              </w:rPr>
            </w:pPr>
            <w:r>
              <w:rPr>
                <w:rFonts w:ascii="arial" w:hAnsi="arial"/>
                <w:sz w:val="16"/>
              </w:rPr>
              <w:t>issued and outstanding shares as of year-end)</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Common shares issued and outstanding</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283"/>
              <w:jc w:val="center"/>
              <w:rPr/>
            </w:pPr>
            <w:r>
              <w:rPr/>
              <w:t>476,059,110</w:t>
            </w:r>
          </w:p>
        </w:tc>
      </w:tr>
      <w:tr>
        <w:trPr/>
        <w:tc>
          <w:tcPr>
            <w:tcW w:w="446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Potential Dilution  the total number of all stock options and RSUs available for issue plus all stock options and RSUs outstanding, divided by the total weighted average of common shares outstanding during the year ended December 31, 2022 of 476,059,110</w:t>
            </w:r>
          </w:p>
        </w:tc>
        <w:tc>
          <w:tcPr>
            <w:tcW w:w="194" w:type="dxa"/>
            <w:tcBorders>
              <w:left w:val="single" w:sz="2" w:space="0" w:color="D1D1D1"/>
              <w:bottom w:val="single" w:sz="2" w:space="0" w:color="AFAFAF"/>
            </w:tcBorders>
            <w:shd w:fill="auto" w:val="clear"/>
            <w:tcMar>
              <w:left w:w="28" w:type="dxa"/>
              <w:bottom w:w="28" w:type="dxa"/>
            </w:tcMar>
            <w:vAlign w:val="bottom"/>
          </w:tcPr>
          <w:p>
            <w:pPr>
              <w:pStyle w:val="TableContents"/>
              <w:spacing w:before="0" w:after="283"/>
              <w:rPr/>
            </w:pPr>
            <w:r>
              <w:rPr/>
              <w:t>  </w:t>
            </w:r>
          </w:p>
        </w:tc>
        <w:tc>
          <w:tcPr>
            <w:tcW w:w="5542" w:type="dxa"/>
            <w:tcBorders>
              <w:bottom w:val="single" w:sz="2" w:space="0" w:color="AFAFAF"/>
            </w:tcBorders>
            <w:shd w:fill="auto" w:val="clear"/>
            <w:tcMar>
              <w:bottom w:w="28" w:type="dxa"/>
            </w:tcMar>
          </w:tcPr>
          <w:p>
            <w:pPr>
              <w:pStyle w:val="TableContents"/>
              <w:spacing w:before="0" w:after="283"/>
              <w:jc w:val="center"/>
              <w:rPr/>
            </w:pPr>
            <w:r>
              <w:rPr/>
              <w:t>          </w:t>
            </w:r>
            <w:r>
              <w:rPr/>
              <w:t>2.72%</w:t>
            </w:r>
          </w:p>
        </w:tc>
      </w:tr>
      <w:tr>
        <w:trPr/>
        <w:tc>
          <w:tcPr>
            <w:tcW w:w="4469" w:type="dxa"/>
            <w:tcBorders>
              <w:bottom w:val="single" w:sz="8" w:space="0" w:color="B94831"/>
            </w:tcBorders>
            <w:shd w:fill="auto" w:val="clear"/>
            <w:tcMar>
              <w:bottom w:w="28" w:type="dxa"/>
            </w:tcMar>
          </w:tcPr>
          <w:p>
            <w:pPr>
              <w:pStyle w:val="TableContents"/>
              <w:spacing w:before="0" w:after="283"/>
              <w:rPr>
                <w:rFonts w:ascii="Arial" w:hAnsi="Arial"/>
                <w:b/>
              </w:rPr>
            </w:pPr>
            <w:r>
              <w:rPr>
                <w:rFonts w:ascii="Arial" w:hAnsi="Arial"/>
                <w:b/>
              </w:rPr>
              <w:t>Full Dilution  the total number of all stock options and RSUs available for issue plus all stock options and RSUs outstanding, divided by the total weighted average of common shares outstanding during the year plus all stock options and RSUs outstanding and available for issue</w:t>
            </w:r>
          </w:p>
        </w:tc>
        <w:tc>
          <w:tcPr>
            <w:tcW w:w="194" w:type="dxa"/>
            <w:tcBorders>
              <w:left w:val="single" w:sz="2" w:space="0" w:color="D1D1D1"/>
              <w:bottom w:val="single" w:sz="8" w:space="0" w:color="B94831"/>
            </w:tcBorders>
            <w:shd w:fill="auto" w:val="clear"/>
            <w:tcMar>
              <w:left w:w="28" w:type="dxa"/>
              <w:bottom w:w="28" w:type="dxa"/>
            </w:tcMar>
            <w:vAlign w:val="bottom"/>
          </w:tcPr>
          <w:p>
            <w:pPr>
              <w:pStyle w:val="TableContents"/>
              <w:spacing w:before="0" w:after="283"/>
              <w:rPr/>
            </w:pPr>
            <w:r>
              <w:rPr/>
              <w:t>  </w:t>
            </w:r>
          </w:p>
        </w:tc>
        <w:tc>
          <w:tcPr>
            <w:tcW w:w="5542" w:type="dxa"/>
            <w:tcBorders>
              <w:bottom w:val="single" w:sz="8" w:space="0" w:color="B94831"/>
            </w:tcBorders>
            <w:shd w:fill="auto" w:val="clear"/>
            <w:tcMar>
              <w:bottom w:w="28" w:type="dxa"/>
            </w:tcMar>
          </w:tcPr>
          <w:p>
            <w:pPr>
              <w:pStyle w:val="TableContents"/>
              <w:spacing w:before="0" w:after="283"/>
              <w:jc w:val="center"/>
              <w:rPr/>
            </w:pPr>
            <w:r>
              <w:rPr/>
              <w:t>          </w:t>
            </w:r>
            <w:r>
              <w:rPr/>
              <w:t>2.65%</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(1)</w:t>
            </w:r>
          </w:p>
        </w:tc>
        <w:tc>
          <w:tcPr>
            <w:tcW w:w="9901" w:type="dxa"/>
            <w:tcBorders/>
            <w:shd w:fill="auto" w:val="clear"/>
          </w:tcPr>
          <w:p>
            <w:pPr>
              <w:pStyle w:val="TableContents"/>
              <w:spacing w:before="0" w:after="0"/>
              <w:jc w:val="left"/>
              <w:rPr>
                <w:rFonts w:ascii="arial" w:hAnsi="arial"/>
                <w:sz w:val="15"/>
              </w:rPr>
            </w:pPr>
            <w:r>
              <w:rPr>
                <w:rFonts w:ascii="arial" w:hAnsi="arial"/>
                <w:sz w:val="15"/>
              </w:rPr>
              <w:t xml:space="preserve">Of the 55,993,170 common shares reflected as being issued under the plan as of December 31, 2022, only 28,509,852 common shares have been actually issued due to net settlement of RSUs and various stock options. When RSUs vest or stock options are exercised, our company deducts the gross amount of the underlying securities from the plans share reserve. </w:t>
            </w:r>
          </w:p>
        </w:tc>
      </w:tr>
    </w:tbl>
    <w:p>
      <w:pPr>
        <w:pStyle w:val="TextBody"/>
        <w:spacing w:before="120" w:after="0"/>
        <w:jc w:val="left"/>
        <w:rPr>
          <w:rFonts w:ascii="arial" w:hAnsi="arial"/>
          <w:sz w:val="20"/>
        </w:rPr>
      </w:pPr>
      <w:r>
        <w:rPr>
          <w:rFonts w:ascii="arial" w:hAnsi="arial"/>
          <w:sz w:val="20"/>
        </w:rPr>
        <w:t xml:space="preserve">We believe that our stock incentive plan grant practices are conservative relative to applicable benchmarks and our compensation peer group. The following table provides information as of the end of each year indicated related to the stock incentive plans share usage, burn rates and potential dilution.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8"/>
        <w:gridCol w:w="393"/>
        <w:gridCol w:w="60"/>
        <w:gridCol w:w="566"/>
        <w:gridCol w:w="444"/>
        <w:gridCol w:w="604"/>
        <w:gridCol w:w="60"/>
        <w:gridCol w:w="566"/>
        <w:gridCol w:w="585"/>
        <w:gridCol w:w="604"/>
        <w:gridCol w:w="60"/>
        <w:gridCol w:w="565"/>
        <w:gridCol w:w="590"/>
      </w:tblGrid>
      <w:tr>
        <w:trPr/>
        <w:tc>
          <w:tcPr>
            <w:tcW w:w="510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5108" w:type="dxa"/>
            <w:tcBorders/>
            <w:shd w:fill="auto" w:val="clear"/>
            <w:vAlign w:val="center"/>
          </w:tcPr>
          <w:p>
            <w:pPr>
              <w:pStyle w:val="TableContents"/>
              <w:spacing w:before="0" w:after="283"/>
              <w:rPr>
                <w:sz w:val="4"/>
                <w:szCs w:val="4"/>
              </w:rPr>
            </w:pPr>
            <w:r>
              <w:rPr>
                <w:sz w:val="4"/>
                <w:szCs w:val="4"/>
              </w:rPr>
            </w:r>
          </w:p>
        </w:tc>
        <w:tc>
          <w:tcPr>
            <w:tcW w:w="5097" w:type="dxa"/>
            <w:gridSpan w:val="12"/>
            <w:tcBorders/>
            <w:shd w:fill="BFBFBF" w:val="clear"/>
            <w:vAlign w:val="center"/>
          </w:tcPr>
          <w:p>
            <w:pPr>
              <w:pStyle w:val="TableContents"/>
              <w:spacing w:before="0" w:after="283"/>
              <w:rPr>
                <w:sz w:val="4"/>
                <w:szCs w:val="4"/>
              </w:rPr>
            </w:pPr>
            <w:r>
              <w:rPr>
                <w:sz w:val="4"/>
                <w:szCs w:val="4"/>
              </w:rPr>
            </w:r>
          </w:p>
        </w:tc>
      </w:tr>
      <w:tr>
        <w:trPr/>
        <w:tc>
          <w:tcPr>
            <w:tcW w:w="5108" w:type="dxa"/>
            <w:tcBorders/>
            <w:shd w:fill="auto" w:val="clear"/>
            <w:vAlign w:val="bottom"/>
          </w:tcPr>
          <w:p>
            <w:pPr>
              <w:pStyle w:val="TableContents"/>
              <w:spacing w:before="0" w:after="283"/>
              <w:rPr>
                <w:sz w:val="4"/>
                <w:szCs w:val="4"/>
              </w:rPr>
            </w:pPr>
            <w:r>
              <w:rPr>
                <w:sz w:val="4"/>
                <w:szCs w:val="4"/>
              </w:rPr>
            </w:r>
          </w:p>
        </w:tc>
        <w:tc>
          <w:tcPr>
            <w:tcW w:w="393" w:type="dxa"/>
            <w:tcBorders/>
            <w:shd w:fill="BFBFBF" w:val="clear"/>
            <w:vAlign w:val="bottom"/>
          </w:tcPr>
          <w:p>
            <w:pPr>
              <w:pStyle w:val="TableContents"/>
              <w:spacing w:before="0" w:after="283"/>
              <w:rPr/>
            </w:pPr>
            <w:r>
              <w:rPr/>
              <w:t>    </w:t>
            </w:r>
          </w:p>
        </w:tc>
        <w:tc>
          <w:tcPr>
            <w:tcW w:w="60" w:type="dxa"/>
            <w:tcBorders/>
            <w:shd w:fill="BFBFBF" w:val="clear"/>
            <w:vAlign w:val="bottom"/>
          </w:tcPr>
          <w:p>
            <w:pPr>
              <w:pStyle w:val="TableContents"/>
              <w:spacing w:before="0" w:after="283"/>
              <w:jc w:val="center"/>
              <w:rPr/>
            </w:pPr>
            <w:r>
              <w:rPr/>
              <w:t> </w:t>
            </w:r>
          </w:p>
        </w:tc>
        <w:tc>
          <w:tcPr>
            <w:tcW w:w="4054" w:type="dxa"/>
            <w:gridSpan w:val="9"/>
            <w:tcBorders/>
            <w:shd w:fill="BFBFBF" w:val="clear"/>
            <w:vAlign w:val="bottom"/>
          </w:tcPr>
          <w:p>
            <w:pPr>
              <w:pStyle w:val="TableContents"/>
              <w:spacing w:before="0" w:after="283"/>
              <w:jc w:val="center"/>
              <w:rPr>
                <w:rFonts w:ascii="Arial" w:hAnsi="Arial"/>
                <w:b/>
              </w:rPr>
            </w:pPr>
            <w:r>
              <w:rPr>
                <w:rFonts w:ascii="Arial" w:hAnsi="Arial"/>
                <w:b/>
              </w:rPr>
              <w:t>As of December 31,</w:t>
            </w:r>
          </w:p>
        </w:tc>
        <w:tc>
          <w:tcPr>
            <w:tcW w:w="590" w:type="dxa"/>
            <w:tcBorders/>
            <w:shd w:fill="BFBFBF" w:val="clear"/>
            <w:vAlign w:val="bottom"/>
          </w:tcPr>
          <w:p>
            <w:pPr>
              <w:pStyle w:val="TableContents"/>
              <w:spacing w:before="0" w:after="283"/>
              <w:rPr/>
            </w:pPr>
            <w:r>
              <w:rPr/>
              <w:t> </w:t>
            </w:r>
          </w:p>
        </w:tc>
      </w:tr>
      <w:tr>
        <w:trPr>
          <w:trHeight w:val="30" w:hRule="atLeast"/>
        </w:trPr>
        <w:tc>
          <w:tcPr>
            <w:tcW w:w="5108" w:type="dxa"/>
            <w:tcBorders/>
            <w:shd w:fill="auto" w:val="clear"/>
            <w:vAlign w:val="center"/>
          </w:tcPr>
          <w:p>
            <w:pPr>
              <w:pStyle w:val="TableContents"/>
              <w:spacing w:before="0" w:after="283"/>
              <w:rPr>
                <w:sz w:val="4"/>
                <w:szCs w:val="4"/>
              </w:rPr>
            </w:pPr>
            <w:r>
              <w:rPr>
                <w:sz w:val="4"/>
                <w:szCs w:val="4"/>
              </w:rPr>
            </w:r>
          </w:p>
        </w:tc>
        <w:tc>
          <w:tcPr>
            <w:tcW w:w="1463" w:type="dxa"/>
            <w:gridSpan w:val="4"/>
            <w:tcBorders/>
            <w:shd w:fill="262626" w:val="clear"/>
            <w:vAlign w:val="center"/>
          </w:tcPr>
          <w:p>
            <w:pPr>
              <w:pStyle w:val="TableContents"/>
              <w:spacing w:before="0" w:after="283"/>
              <w:rPr>
                <w:sz w:val="4"/>
                <w:szCs w:val="4"/>
              </w:rPr>
            </w:pPr>
            <w:r>
              <w:rPr>
                <w:sz w:val="4"/>
                <w:szCs w:val="4"/>
              </w:rPr>
            </w:r>
          </w:p>
        </w:tc>
        <w:tc>
          <w:tcPr>
            <w:tcW w:w="1815" w:type="dxa"/>
            <w:gridSpan w:val="4"/>
            <w:tcBorders/>
            <w:shd w:fill="262626" w:val="clear"/>
            <w:vAlign w:val="center"/>
          </w:tcPr>
          <w:p>
            <w:pPr>
              <w:pStyle w:val="TableContents"/>
              <w:spacing w:before="0" w:after="283"/>
              <w:rPr>
                <w:sz w:val="4"/>
                <w:szCs w:val="4"/>
              </w:rPr>
            </w:pPr>
            <w:r>
              <w:rPr>
                <w:sz w:val="4"/>
                <w:szCs w:val="4"/>
              </w:rPr>
            </w:r>
          </w:p>
        </w:tc>
        <w:tc>
          <w:tcPr>
            <w:tcW w:w="1819" w:type="dxa"/>
            <w:gridSpan w:val="4"/>
            <w:tcBorders/>
            <w:shd w:fill="262626" w:val="clear"/>
            <w:vAlign w:val="center"/>
          </w:tcPr>
          <w:p>
            <w:pPr>
              <w:pStyle w:val="TableContents"/>
              <w:spacing w:before="0" w:after="283"/>
              <w:rPr>
                <w:sz w:val="4"/>
                <w:szCs w:val="4"/>
              </w:rPr>
            </w:pPr>
            <w:r>
              <w:rPr>
                <w:sz w:val="4"/>
                <w:szCs w:val="4"/>
              </w:rPr>
            </w:r>
          </w:p>
        </w:tc>
      </w:tr>
      <w:tr>
        <w:trPr/>
        <w:tc>
          <w:tcPr>
            <w:tcW w:w="5108" w:type="dxa"/>
            <w:tcBorders>
              <w:bottom w:val="single" w:sz="8" w:space="0" w:color="B94831"/>
            </w:tcBorders>
            <w:shd w:fill="auto" w:val="clear"/>
            <w:tcMar>
              <w:bottom w:w="28" w:type="dxa"/>
            </w:tcMar>
            <w:vAlign w:val="bottom"/>
          </w:tcPr>
          <w:p>
            <w:pPr>
              <w:pStyle w:val="TableContents"/>
              <w:spacing w:before="0" w:after="283"/>
              <w:rPr/>
            </w:pPr>
            <w:r>
              <w:rPr/>
              <w:t> </w:t>
            </w:r>
          </w:p>
        </w:tc>
        <w:tc>
          <w:tcPr>
            <w:tcW w:w="393"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6"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w:t>
            </w:r>
          </w:p>
        </w:tc>
        <w:tc>
          <w:tcPr>
            <w:tcW w:w="444"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604"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6"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2021</w:t>
            </w:r>
          </w:p>
        </w:tc>
        <w:tc>
          <w:tcPr>
            <w:tcW w:w="585"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604"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5"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2020</w:t>
            </w:r>
          </w:p>
        </w:tc>
        <w:tc>
          <w:tcPr>
            <w:tcW w:w="59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r>
      <w:tr>
        <w:trPr/>
        <w:tc>
          <w:tcPr>
            <w:tcW w:w="5108" w:type="dxa"/>
            <w:tcBorders>
              <w:bottom w:val="single" w:sz="2" w:space="0" w:color="AFAFAF"/>
            </w:tcBorders>
            <w:shd w:fill="auto" w:val="clear"/>
            <w:tcMar>
              <w:bottom w:w="28" w:type="dxa"/>
            </w:tcMar>
          </w:tcPr>
          <w:p>
            <w:pPr>
              <w:pStyle w:val="TableContents"/>
              <w:spacing w:before="0" w:after="283"/>
              <w:rPr/>
            </w:pPr>
            <w:r>
              <w:rPr>
                <w:rFonts w:ascii="Arial" w:hAnsi="Arial"/>
                <w:b/>
              </w:rPr>
              <w:t>Share usage </w:t>
            </w:r>
            <w:r>
              <w:rPr/>
              <w:t xml:space="preserve"> the total number of shares issued pursuant to stock options and RSUs during the applicable year, divided by the total weighted average of common shares outstanding during the year</w:t>
            </w:r>
          </w:p>
        </w:tc>
        <w:tc>
          <w:tcPr>
            <w:tcW w:w="39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0.23</w:t>
            </w:r>
          </w:p>
        </w:tc>
        <w:tc>
          <w:tcPr>
            <w:tcW w:w="444"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0.22</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5" w:type="dxa"/>
            <w:tcBorders>
              <w:bottom w:val="single" w:sz="2" w:space="0" w:color="AFAFAF"/>
            </w:tcBorders>
            <w:shd w:fill="auto" w:val="clear"/>
            <w:tcMar>
              <w:bottom w:w="28" w:type="dxa"/>
            </w:tcMar>
            <w:vAlign w:val="bottom"/>
          </w:tcPr>
          <w:p>
            <w:pPr>
              <w:pStyle w:val="TableContents"/>
              <w:spacing w:before="0" w:after="283"/>
              <w:jc w:val="right"/>
              <w:rPr/>
            </w:pPr>
            <w:r>
              <w:rPr/>
              <w:t>0.30</w:t>
            </w:r>
          </w:p>
        </w:tc>
        <w:tc>
          <w:tcPr>
            <w:tcW w:w="590"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108" w:type="dxa"/>
            <w:tcBorders>
              <w:bottom w:val="single" w:sz="2" w:space="0" w:color="AFAFAF"/>
            </w:tcBorders>
            <w:shd w:fill="auto" w:val="clear"/>
            <w:tcMar>
              <w:bottom w:w="28" w:type="dxa"/>
            </w:tcMar>
          </w:tcPr>
          <w:p>
            <w:pPr>
              <w:pStyle w:val="TableContents"/>
              <w:spacing w:before="0" w:after="283"/>
              <w:rPr/>
            </w:pPr>
            <w:r>
              <w:rPr>
                <w:rFonts w:ascii="Arial" w:hAnsi="Arial"/>
                <w:b/>
              </w:rPr>
              <w:t>Burn rate </w:t>
            </w:r>
            <w:r>
              <w:rPr/>
              <w:t xml:space="preserve"> the total number of stock options and RSUs granted in the applicable year, divided by the total weighted average of common shares outstanding during the year</w:t>
            </w:r>
          </w:p>
        </w:tc>
        <w:tc>
          <w:tcPr>
            <w:tcW w:w="39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0.28</w:t>
            </w:r>
          </w:p>
        </w:tc>
        <w:tc>
          <w:tcPr>
            <w:tcW w:w="444"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0.28</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5" w:type="dxa"/>
            <w:tcBorders>
              <w:bottom w:val="single" w:sz="2" w:space="0" w:color="AFAFAF"/>
            </w:tcBorders>
            <w:shd w:fill="auto" w:val="clear"/>
            <w:tcMar>
              <w:bottom w:w="28" w:type="dxa"/>
            </w:tcMar>
            <w:vAlign w:val="bottom"/>
          </w:tcPr>
          <w:p>
            <w:pPr>
              <w:pStyle w:val="TableContents"/>
              <w:spacing w:before="0" w:after="283"/>
              <w:jc w:val="right"/>
              <w:rPr/>
            </w:pPr>
            <w:r>
              <w:rPr/>
              <w:t>0.42</w:t>
            </w:r>
          </w:p>
        </w:tc>
        <w:tc>
          <w:tcPr>
            <w:tcW w:w="590"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108" w:type="dxa"/>
            <w:tcBorders>
              <w:bottom w:val="single" w:sz="2" w:space="0" w:color="AFAFAF"/>
            </w:tcBorders>
            <w:shd w:fill="auto" w:val="clear"/>
            <w:tcMar>
              <w:bottom w:w="28" w:type="dxa"/>
            </w:tcMar>
          </w:tcPr>
          <w:p>
            <w:pPr>
              <w:pStyle w:val="TableContents"/>
              <w:spacing w:before="0" w:after="283"/>
              <w:rPr/>
            </w:pPr>
            <w:r>
              <w:rPr>
                <w:rFonts w:ascii="Arial" w:hAnsi="Arial"/>
                <w:b/>
              </w:rPr>
              <w:t>Potential Dilution </w:t>
            </w:r>
            <w:r>
              <w:rPr/>
              <w:t xml:space="preserve"> the total number of all stock options and RSUs available for issue plus all stock options and RSUs outstanding, divided by the total weighted average of common shares outstanding during the year</w:t>
            </w:r>
          </w:p>
        </w:tc>
        <w:tc>
          <w:tcPr>
            <w:tcW w:w="393"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2.72</w:t>
            </w:r>
          </w:p>
        </w:tc>
        <w:tc>
          <w:tcPr>
            <w:tcW w:w="444"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6" w:type="dxa"/>
            <w:tcBorders>
              <w:bottom w:val="single" w:sz="2" w:space="0" w:color="AFAFAF"/>
            </w:tcBorders>
            <w:shd w:fill="auto" w:val="clear"/>
            <w:tcMar>
              <w:bottom w:w="28" w:type="dxa"/>
            </w:tcMar>
            <w:vAlign w:val="bottom"/>
          </w:tcPr>
          <w:p>
            <w:pPr>
              <w:pStyle w:val="TableContents"/>
              <w:spacing w:before="0" w:after="283"/>
              <w:jc w:val="right"/>
              <w:rPr/>
            </w:pPr>
            <w:r>
              <w:rPr/>
              <w:t>3.07</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5" w:type="dxa"/>
            <w:tcBorders>
              <w:bottom w:val="single" w:sz="2" w:space="0" w:color="AFAFAF"/>
            </w:tcBorders>
            <w:shd w:fill="auto" w:val="clear"/>
            <w:tcMar>
              <w:bottom w:w="28" w:type="dxa"/>
            </w:tcMar>
            <w:vAlign w:val="bottom"/>
          </w:tcPr>
          <w:p>
            <w:pPr>
              <w:pStyle w:val="TableContents"/>
              <w:spacing w:before="0" w:after="283"/>
              <w:jc w:val="right"/>
              <w:rPr/>
            </w:pPr>
            <w:r>
              <w:rPr/>
              <w:t>3.50</w:t>
            </w:r>
          </w:p>
        </w:tc>
        <w:tc>
          <w:tcPr>
            <w:tcW w:w="590"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108" w:type="dxa"/>
            <w:tcBorders>
              <w:bottom w:val="single" w:sz="8" w:space="0" w:color="B94831"/>
            </w:tcBorders>
            <w:shd w:fill="auto" w:val="clear"/>
            <w:tcMar>
              <w:bottom w:w="28" w:type="dxa"/>
            </w:tcMar>
          </w:tcPr>
          <w:p>
            <w:pPr>
              <w:pStyle w:val="TableContents"/>
              <w:spacing w:before="0" w:after="283"/>
              <w:rPr/>
            </w:pPr>
            <w:r>
              <w:rPr>
                <w:rFonts w:ascii="Arial" w:hAnsi="Arial"/>
                <w:b/>
              </w:rPr>
              <w:t>Full Dilution </w:t>
            </w:r>
            <w:r>
              <w:rPr/>
              <w:t xml:space="preserve"> the total number of all stock options and RSUs available for issue plus all stock options and RSUs outstanding, divided by the total weighted average of common shares outstanding during the year plus all stock options and RSUs outstanding and available for issue</w:t>
            </w:r>
          </w:p>
        </w:tc>
        <w:tc>
          <w:tcPr>
            <w:tcW w:w="393"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6" w:type="dxa"/>
            <w:tcBorders>
              <w:bottom w:val="single" w:sz="8" w:space="0" w:color="B94831"/>
            </w:tcBorders>
            <w:shd w:fill="auto" w:val="clear"/>
            <w:tcMar>
              <w:bottom w:w="28" w:type="dxa"/>
            </w:tcMar>
            <w:vAlign w:val="bottom"/>
          </w:tcPr>
          <w:p>
            <w:pPr>
              <w:pStyle w:val="TableContents"/>
              <w:spacing w:before="0" w:after="283"/>
              <w:jc w:val="right"/>
              <w:rPr/>
            </w:pPr>
            <w:r>
              <w:rPr/>
              <w:t>2.65</w:t>
            </w:r>
          </w:p>
        </w:tc>
        <w:tc>
          <w:tcPr>
            <w:tcW w:w="444"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6" w:type="dxa"/>
            <w:tcBorders>
              <w:bottom w:val="single" w:sz="8" w:space="0" w:color="B94831"/>
            </w:tcBorders>
            <w:shd w:fill="auto" w:val="clear"/>
            <w:tcMar>
              <w:bottom w:w="28" w:type="dxa"/>
            </w:tcMar>
            <w:vAlign w:val="bottom"/>
          </w:tcPr>
          <w:p>
            <w:pPr>
              <w:pStyle w:val="TableContents"/>
              <w:spacing w:before="0" w:after="283"/>
              <w:jc w:val="right"/>
              <w:rPr/>
            </w:pPr>
            <w:r>
              <w:rPr/>
              <w:t>2.98</w:t>
            </w:r>
          </w:p>
        </w:tc>
        <w:tc>
          <w:tcPr>
            <w:tcW w:w="585"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60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5" w:type="dxa"/>
            <w:tcBorders>
              <w:bottom w:val="single" w:sz="8" w:space="0" w:color="B94831"/>
            </w:tcBorders>
            <w:shd w:fill="auto" w:val="clear"/>
            <w:tcMar>
              <w:bottom w:w="28" w:type="dxa"/>
            </w:tcMar>
            <w:vAlign w:val="bottom"/>
          </w:tcPr>
          <w:p>
            <w:pPr>
              <w:pStyle w:val="TableContents"/>
              <w:spacing w:before="0" w:after="283"/>
              <w:jc w:val="right"/>
              <w:rPr/>
            </w:pPr>
            <w:r>
              <w:rPr/>
              <w:t>3.38</w:t>
            </w:r>
          </w:p>
        </w:tc>
        <w:tc>
          <w:tcPr>
            <w:tcW w:w="590" w:type="dxa"/>
            <w:tcBorders>
              <w:bottom w:val="single" w:sz="8" w:space="0" w:color="B94831"/>
            </w:tcBorders>
            <w:shd w:fill="auto" w:val="clear"/>
            <w:tcMar>
              <w:bottom w:w="28" w:type="dxa"/>
            </w:tcMar>
            <w:vAlign w:val="bottom"/>
          </w:tcPr>
          <w:p>
            <w:pPr>
              <w:pStyle w:val="TableContents"/>
              <w:spacing w:before="0" w:after="283"/>
              <w:rPr/>
            </w:pPr>
            <w:r>
              <w:rPr/>
              <w:t>%</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A-2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959"/>
        <w:gridCol w:w="304"/>
        <w:gridCol w:w="6942"/>
      </w:tblGrid>
      <w:tr>
        <w:trPr/>
        <w:tc>
          <w:tcPr>
            <w:tcW w:w="295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942" w:type="dxa"/>
            <w:tcBorders/>
            <w:shd w:fill="auto" w:val="clear"/>
            <w:vAlign w:val="center"/>
          </w:tcPr>
          <w:p>
            <w:pPr>
              <w:pStyle w:val="TableContents"/>
              <w:spacing w:before="0" w:after="283"/>
              <w:rPr>
                <w:sz w:val="4"/>
                <w:szCs w:val="4"/>
              </w:rPr>
            </w:pPr>
            <w:r>
              <w:rPr>
                <w:sz w:val="4"/>
                <w:szCs w:val="4"/>
              </w:rPr>
            </w:r>
          </w:p>
        </w:tc>
      </w:tr>
      <w:tr>
        <w:trPr/>
        <w:tc>
          <w:tcPr>
            <w:tcW w:w="2959" w:type="dxa"/>
            <w:tcBorders>
              <w:top w:val="single" w:sz="8" w:space="0" w:color="B94831"/>
              <w:bottom w:val="single" w:sz="2" w:space="0" w:color="AFAFAF"/>
            </w:tcBorders>
            <w:shd w:fill="auto" w:val="clear"/>
            <w:tcMar>
              <w:top w:w="28" w:type="dxa"/>
              <w:bottom w:w="28" w:type="dxa"/>
            </w:tcMar>
          </w:tcPr>
          <w:p>
            <w:pPr>
              <w:pStyle w:val="TableContents"/>
              <w:spacing w:before="0" w:after="0"/>
              <w:rPr>
                <w:rFonts w:ascii="Arial" w:hAnsi="Arial"/>
                <w:b/>
                <w:sz w:val="16"/>
              </w:rPr>
            </w:pPr>
            <w:r>
              <w:rPr>
                <w:rFonts w:ascii="Arial" w:hAnsi="Arial"/>
                <w:b/>
                <w:sz w:val="16"/>
              </w:rPr>
              <w:t>Expiration of options</w:t>
            </w:r>
          </w:p>
        </w:tc>
        <w:tc>
          <w:tcPr>
            <w:tcW w:w="304" w:type="dxa"/>
            <w:tcBorders>
              <w:top w:val="single" w:sz="8" w:space="0" w:color="B94831"/>
              <w:bottom w:val="single" w:sz="2" w:space="0" w:color="AFAFAF"/>
            </w:tcBorders>
            <w:shd w:fill="auto" w:val="clear"/>
            <w:tcMar>
              <w:top w:w="28" w:type="dxa"/>
              <w:bottom w:w="28" w:type="dxa"/>
            </w:tcMar>
            <w:vAlign w:val="bottom"/>
          </w:tcPr>
          <w:p>
            <w:pPr>
              <w:pStyle w:val="TableContents"/>
              <w:spacing w:before="0" w:after="283"/>
              <w:rPr/>
            </w:pPr>
            <w:r>
              <w:rPr/>
              <w:t>  </w:t>
            </w:r>
          </w:p>
        </w:tc>
        <w:tc>
          <w:tcPr>
            <w:tcW w:w="6942" w:type="dxa"/>
            <w:tcBorders>
              <w:top w:val="single" w:sz="8" w:space="0" w:color="B94831"/>
              <w:bottom w:val="single" w:sz="2" w:space="0" w:color="AFAFAF"/>
            </w:tcBorders>
            <w:shd w:fill="auto" w:val="clear"/>
            <w:tcMar>
              <w:top w:w="28" w:type="dxa"/>
              <w:bottom w:w="28" w:type="dxa"/>
            </w:tcMar>
            <w:vAlign w:val="bottom"/>
          </w:tcPr>
          <w:p>
            <w:pPr>
              <w:pStyle w:val="TableContents"/>
              <w:spacing w:before="0" w:after="283"/>
              <w:rPr/>
            </w:pPr>
            <w:r>
              <w:rPr/>
              <w:t>Options, SARs and RSUs cease to be exercisable according to the terms of the applicable award agreement, or as may be determined by the HR Committee, in the event that a participant ceases to be an employee or officer of Thomson Reuters. Options and RSUs granted in 2022 are subject to early expiration or vesting in certain circumstances, including death, disability, retirement and termination. If options or SARs would otherwise expire during a blackout period, the term will be extended until 10 business days after conclusion of such blackout period.</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Plan amendments and changes</w:t>
            </w:r>
          </w:p>
        </w:tc>
        <w:tc>
          <w:tcPr>
            <w:tcW w:w="304" w:type="dxa"/>
            <w:tcBorders>
              <w:bottom w:val="single" w:sz="2" w:space="0" w:color="AFAFAF"/>
            </w:tcBorders>
            <w:shd w:fill="auto" w:val="clear"/>
            <w:tcMar>
              <w:bottom w:w="28" w:type="dxa"/>
            </w:tcMar>
            <w:vAlign w:val="bottom"/>
          </w:tcPr>
          <w:p>
            <w:pPr>
              <w:pStyle w:val="TableContents"/>
              <w:spacing w:before="0" w:after="283"/>
              <w:rPr/>
            </w:pPr>
            <w:r>
              <w:rPr/>
              <w:t>  </w:t>
            </w:r>
          </w:p>
        </w:tc>
        <w:tc>
          <w:tcPr>
            <w:tcW w:w="6942" w:type="dxa"/>
            <w:tcBorders>
              <w:bottom w:val="single" w:sz="2" w:space="0" w:color="AFAFAF"/>
            </w:tcBorders>
            <w:shd w:fill="auto" w:val="clear"/>
            <w:tcMar>
              <w:bottom w:w="28" w:type="dxa"/>
            </w:tcMar>
            <w:vAlign w:val="bottom"/>
          </w:tcPr>
          <w:p>
            <w:pPr>
              <w:pStyle w:val="TableContents"/>
              <w:spacing w:before="0" w:after="0"/>
              <w:rPr>
                <w:rFonts w:ascii="arial" w:hAnsi="arial"/>
                <w:sz w:val="16"/>
              </w:rPr>
            </w:pPr>
            <w:r>
              <w:rPr>
                <w:rFonts w:ascii="arial" w:hAnsi="arial"/>
                <w:sz w:val="16"/>
              </w:rPr>
              <w:t>The Board and/or the HR Committee may make any amendments to the plan or any outstanding award without seeking shareholder approval (including, but not limited to, minor housekeeping changes, changes to comply with applicable laws and changes to vesting provisions of awards), except for an amendment which:</w:t>
            </w:r>
          </w:p>
          <w:p>
            <w:pPr>
              <w:pStyle w:val="TableContents"/>
              <w:spacing w:before="0" w:after="0"/>
              <w:rPr/>
            </w:pPr>
            <w:r>
              <w:rPr/>
              <w:t>●   </w:t>
            </w:r>
            <w:r>
              <w:rPr>
                <w:rFonts w:ascii="arial" w:hAnsi="arial"/>
                <w:sz w:val="16"/>
              </w:rPr>
              <w:t>increases the maximum number of shares that can be issued under the plan, including an increase to a fixed number of such shares or a change from a fixed number of such shares to a fixed maximum percentage;</w:t>
            </w:r>
          </w:p>
          <w:p>
            <w:pPr>
              <w:pStyle w:val="TableContents"/>
              <w:spacing w:before="0" w:after="0"/>
              <w:rPr/>
            </w:pPr>
            <w:r>
              <w:rPr/>
              <w:t>●   </w:t>
            </w:r>
            <w:r>
              <w:rPr>
                <w:rFonts w:ascii="arial" w:hAnsi="arial"/>
                <w:sz w:val="16"/>
              </w:rPr>
              <w:t>Increases the maximum number of shares that can be issued pursuant to RSUs;</w:t>
            </w:r>
          </w:p>
          <w:p>
            <w:pPr>
              <w:pStyle w:val="TableContents"/>
              <w:spacing w:before="0" w:after="0"/>
              <w:rPr/>
            </w:pPr>
            <w:r>
              <w:rPr/>
              <w:t>●   </w:t>
            </w:r>
            <w:r>
              <w:rPr>
                <w:rFonts w:ascii="arial" w:hAnsi="arial"/>
                <w:sz w:val="16"/>
              </w:rPr>
              <w:t>increases the maximum number of shares which may be issued under the awards held by a participant;</w:t>
            </w:r>
          </w:p>
          <w:p>
            <w:pPr>
              <w:pStyle w:val="TableContents"/>
              <w:spacing w:before="0" w:after="0"/>
              <w:rPr/>
            </w:pPr>
            <w:r>
              <w:rPr/>
              <w:t>●   </w:t>
            </w:r>
            <w:r>
              <w:rPr>
                <w:rFonts w:ascii="arial" w:hAnsi="arial"/>
                <w:sz w:val="16"/>
              </w:rPr>
              <w:t>reduces the exercise price of an award (including a cancellation and re-grant of an award, constituting a reduction of the exercise price of such award), except in connection with maintaining the value of an award in connection with a change in the number of the outstanding common shares by reason of a stock dividend or split, recapitalization, reorganization, merger, amalgamation, consolidation, combination or exchange of shares or other corporate change affecting such shares;</w:t>
            </w:r>
          </w:p>
          <w:p>
            <w:pPr>
              <w:pStyle w:val="TableContents"/>
              <w:spacing w:before="0" w:after="0"/>
              <w:rPr/>
            </w:pPr>
            <w:r>
              <w:rPr/>
              <w:t>●   </w:t>
            </w:r>
            <w:r>
              <w:rPr>
                <w:rFonts w:ascii="arial" w:hAnsi="arial"/>
                <w:sz w:val="16"/>
              </w:rPr>
              <w:t>extends the term of an award beyond its original expiry date, except where the expiry date would have occurred in a blackout period;</w:t>
            </w:r>
          </w:p>
          <w:p>
            <w:pPr>
              <w:pStyle w:val="TableContents"/>
              <w:spacing w:before="0" w:after="0"/>
              <w:rPr/>
            </w:pPr>
            <w:r>
              <w:rPr/>
              <w:t>●   </w:t>
            </w:r>
            <w:r>
              <w:rPr>
                <w:rFonts w:ascii="arial" w:hAnsi="arial"/>
                <w:sz w:val="16"/>
              </w:rPr>
              <w:t>changes the provisions relating to the transferability of an award, other than for a transfer by will or the laws of descent and distribution, a transfer by a grantee to an entity which is controlled by the grantee or a transfer to a former spouse or domestic partner in connection with a legal obligation or settlement;</w:t>
            </w:r>
          </w:p>
          <w:p>
            <w:pPr>
              <w:pStyle w:val="TableContents"/>
              <w:spacing w:before="0" w:after="0"/>
              <w:rPr/>
            </w:pPr>
            <w:r>
              <w:rPr/>
              <w:t>●   </w:t>
            </w:r>
            <w:r>
              <w:rPr>
                <w:rFonts w:ascii="arial" w:hAnsi="arial"/>
                <w:sz w:val="16"/>
              </w:rPr>
              <w:t>changes the provisions relating to adjustments in the number or kind of shares or securities reserved for issuance or subject to outstanding awards or the exercise price, in the event of any change in the number of the outstanding common shares by reason of a stock dividend or split, recapitalization, reorganization, merger, amalgamation, consolidation, combination or exchange of shares or other corporate change affecting such shares;</w:t>
            </w:r>
          </w:p>
          <w:p>
            <w:pPr>
              <w:pStyle w:val="TableContents"/>
              <w:spacing w:before="0" w:after="0"/>
              <w:rPr/>
            </w:pPr>
            <w:r>
              <w:rPr/>
              <w:t>●   </w:t>
            </w:r>
            <w:r>
              <w:rPr>
                <w:rFonts w:ascii="arial" w:hAnsi="arial"/>
                <w:sz w:val="16"/>
              </w:rPr>
              <w:t>extends eligibility to participate in the stock incentive plan to a director who is not an employee or officer of our company;</w:t>
            </w:r>
          </w:p>
          <w:p>
            <w:pPr>
              <w:pStyle w:val="TableContents"/>
              <w:spacing w:before="0" w:after="0"/>
              <w:rPr/>
            </w:pPr>
            <w:r>
              <w:rPr/>
              <w:t>●   </w:t>
            </w:r>
            <w:r>
              <w:rPr>
                <w:rFonts w:ascii="arial" w:hAnsi="arial"/>
                <w:sz w:val="16"/>
              </w:rPr>
              <w:t>changes the rights attaching to our common shares;</w:t>
            </w:r>
          </w:p>
          <w:p>
            <w:pPr>
              <w:pStyle w:val="TableContents"/>
              <w:spacing w:before="0" w:after="0"/>
              <w:rPr/>
            </w:pPr>
            <w:r>
              <w:rPr/>
              <w:t>●   </w:t>
            </w:r>
            <w:r>
              <w:rPr>
                <w:rFonts w:ascii="arial" w:hAnsi="arial"/>
                <w:sz w:val="16"/>
              </w:rPr>
              <w:t>changes the amending provisions of the plan;</w:t>
            </w:r>
          </w:p>
          <w:p>
            <w:pPr>
              <w:pStyle w:val="TableContents"/>
              <w:spacing w:before="0" w:after="0"/>
              <w:rPr/>
            </w:pPr>
            <w:r>
              <w:rPr/>
              <w:t>●   </w:t>
            </w:r>
            <w:r>
              <w:rPr>
                <w:rFonts w:ascii="arial" w:hAnsi="arial"/>
                <w:sz w:val="16"/>
              </w:rPr>
              <w:t>removes or exceeds the insider participation limit under the plan (as defined in the TSX Company Manual), as amended from time to time; or</w:t>
            </w:r>
          </w:p>
          <w:p>
            <w:pPr>
              <w:pStyle w:val="TableContents"/>
              <w:spacing w:before="0" w:after="0"/>
              <w:rPr/>
            </w:pPr>
            <w:r>
              <w:rPr/>
              <w:t>●   </w:t>
            </w:r>
            <w:r>
              <w:rPr>
                <w:rFonts w:ascii="arial" w:hAnsi="arial"/>
                <w:sz w:val="16"/>
              </w:rPr>
              <w:t>is required to be approved by shareholders under applicable laws, regulations or stock exchange rules.</w:t>
            </w:r>
          </w:p>
          <w:p>
            <w:pPr>
              <w:pStyle w:val="TableContents"/>
              <w:spacing w:before="0" w:after="20"/>
              <w:rPr>
                <w:rFonts w:ascii="arial" w:hAnsi="arial"/>
                <w:sz w:val="16"/>
              </w:rPr>
            </w:pPr>
            <w:r>
              <w:rPr>
                <w:rFonts w:ascii="arial" w:hAnsi="arial"/>
                <w:sz w:val="16"/>
              </w:rPr>
              <w:t>Subject to certain exceptions, no such amendment may materially and adversely affect the rights of any participant in relation to any outstanding award granted under the plan without the consent of the affected participant.</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Exercise process</w:t>
            </w:r>
          </w:p>
        </w:tc>
        <w:tc>
          <w:tcPr>
            <w:tcW w:w="304" w:type="dxa"/>
            <w:tcBorders>
              <w:bottom w:val="single" w:sz="2" w:space="0" w:color="AFAFAF"/>
            </w:tcBorders>
            <w:shd w:fill="auto" w:val="clear"/>
            <w:tcMar>
              <w:bottom w:w="28" w:type="dxa"/>
            </w:tcMar>
            <w:vAlign w:val="bottom"/>
          </w:tcPr>
          <w:p>
            <w:pPr>
              <w:pStyle w:val="TableContents"/>
              <w:spacing w:before="0" w:after="283"/>
              <w:rPr/>
            </w:pPr>
            <w:r>
              <w:rPr/>
              <w:t>  </w:t>
            </w:r>
          </w:p>
        </w:tc>
        <w:tc>
          <w:tcPr>
            <w:tcW w:w="6942" w:type="dxa"/>
            <w:tcBorders>
              <w:bottom w:val="single" w:sz="2" w:space="0" w:color="AFAFAF"/>
            </w:tcBorders>
            <w:shd w:fill="auto" w:val="clear"/>
            <w:tcMar>
              <w:bottom w:w="28" w:type="dxa"/>
            </w:tcMar>
            <w:vAlign w:val="bottom"/>
          </w:tcPr>
          <w:p>
            <w:pPr>
              <w:pStyle w:val="TableContents"/>
              <w:spacing w:before="0" w:after="283"/>
              <w:rPr/>
            </w:pPr>
            <w:r>
              <w:rPr/>
              <w:t>Cashless exercises permitted, as well as cash payments. For a cashless exercise of options, the participant will receive the net number of shares equal to the in-the-money amount of the options (less applicable taxes). The number of options exercised will be deducted from the share reserve.</w:t>
            </w:r>
          </w:p>
        </w:tc>
      </w:tr>
      <w:tr>
        <w:trPr/>
        <w:tc>
          <w:tcPr>
            <w:tcW w:w="295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Transfers and assignments</w:t>
            </w:r>
          </w:p>
        </w:tc>
        <w:tc>
          <w:tcPr>
            <w:tcW w:w="304" w:type="dxa"/>
            <w:tcBorders>
              <w:bottom w:val="single" w:sz="8" w:space="0" w:color="B94831"/>
            </w:tcBorders>
            <w:shd w:fill="auto" w:val="clear"/>
            <w:tcMar>
              <w:bottom w:w="28" w:type="dxa"/>
            </w:tcMar>
            <w:vAlign w:val="bottom"/>
          </w:tcPr>
          <w:p>
            <w:pPr>
              <w:pStyle w:val="TableContents"/>
              <w:spacing w:before="0" w:after="283"/>
              <w:rPr/>
            </w:pPr>
            <w:r>
              <w:rPr/>
              <w:t>  </w:t>
            </w:r>
          </w:p>
        </w:tc>
        <w:tc>
          <w:tcPr>
            <w:tcW w:w="6942" w:type="dxa"/>
            <w:tcBorders>
              <w:bottom w:val="single" w:sz="8" w:space="0" w:color="B94831"/>
            </w:tcBorders>
            <w:shd w:fill="auto" w:val="clear"/>
            <w:tcMar>
              <w:bottom w:w="28" w:type="dxa"/>
            </w:tcMar>
            <w:vAlign w:val="bottom"/>
          </w:tcPr>
          <w:p>
            <w:pPr>
              <w:pStyle w:val="TableContents"/>
              <w:spacing w:before="0" w:after="283"/>
              <w:rPr/>
            </w:pPr>
            <w:r>
              <w:rPr/>
              <w:t>Not possible other than by will or the laws of descent and distribution, a transfer by a participant to an entity which is controlled by a participant or a transfer to a former spouse or domestic partner of a participant in connection with a legal obligation or settlement.</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A-3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959"/>
        <w:gridCol w:w="305"/>
        <w:gridCol w:w="6941"/>
      </w:tblGrid>
      <w:tr>
        <w:trPr/>
        <w:tc>
          <w:tcPr>
            <w:tcW w:w="295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694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Phantom Stock Plan</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Eligibility</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Any employee or officer of Thomson Reuters (as may be determined by the HR Committee). Non-employee directors are not eligible to participate in the plan.</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Purpose</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If tax or securities regulations make it impracticable or inefficient to make grants under the stock incentive plan, we may allocate units under this plan to executive officers and senior employees.</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Maximum number of shares issuable</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Not applicable, since all awards are cash-based.</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Issued as of 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Not applicable, since all awards are cash-based.</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Available for issue as of 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Not applicable, since all awards are cash-based.</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Total SARs outstanding</w:t>
            </w:r>
          </w:p>
          <w:p>
            <w:pPr>
              <w:pStyle w:val="TableContents"/>
              <w:spacing w:before="0" w:after="20"/>
              <w:rPr>
                <w:rFonts w:ascii="Arial" w:hAnsi="Arial"/>
                <w:b/>
                <w:sz w:val="16"/>
              </w:rPr>
            </w:pPr>
            <w:r>
              <w:rPr>
                <w:rFonts w:ascii="Arial" w:hAnsi="Arial"/>
                <w:b/>
                <w:sz w:val="16"/>
              </w:rPr>
              <w:t>as of 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Not applicable, since all awards are cash-based.</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Burn rate  the total number of SARs granted in the applicable year, divided by the total weighted average of common shares outstanding during the year</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Not applicable, since all awards are cash-based.</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Types of awards that may be issued</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SARs and other cash-based awards.</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Maximum SAR term</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10-year expiration date from the date of grant.</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Exercise price of SARs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Equal to the closing price of our shares on the trading day immediately preceding the date of the grant.</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Vesting and exercise of SARs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SARs must be vested before they can be exercised. SARs vest 25% each year over a four year period.</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Expiration of SARs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Identical to the provisions of the stock incentive plan described above.</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Plan amendments and changes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Substantially similar to the provisions of the stock incentive plan described above.</w:t>
            </w:r>
          </w:p>
        </w:tc>
      </w:tr>
      <w:tr>
        <w:trPr/>
        <w:tc>
          <w:tcPr>
            <w:tcW w:w="2959" w:type="dxa"/>
            <w:tcBorders>
              <w:bottom w:val="single" w:sz="2" w:space="0" w:color="AFAFAF"/>
            </w:tcBorders>
            <w:shd w:fill="auto" w:val="clear"/>
            <w:tcMar>
              <w:bottom w:w="28" w:type="dxa"/>
            </w:tcMar>
          </w:tcPr>
          <w:p>
            <w:pPr>
              <w:pStyle w:val="TableContents"/>
              <w:spacing w:before="0" w:after="283"/>
              <w:rPr>
                <w:rFonts w:ascii="Arial" w:hAnsi="Arial"/>
                <w:b/>
              </w:rPr>
            </w:pPr>
            <w:r>
              <w:rPr>
                <w:rFonts w:ascii="Arial" w:hAnsi="Arial"/>
                <w:b/>
              </w:rPr>
              <w:t>Exercise process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Election made to Corporate Human Resources Department; no payments due upon exercise.</w:t>
            </w:r>
          </w:p>
        </w:tc>
      </w:tr>
      <w:tr>
        <w:trPr/>
        <w:tc>
          <w:tcPr>
            <w:tcW w:w="295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Transfers and assignments</w:t>
            </w:r>
          </w:p>
        </w:tc>
        <w:tc>
          <w:tcPr>
            <w:tcW w:w="305" w:type="dxa"/>
            <w:tcBorders>
              <w:bottom w:val="single" w:sz="8" w:space="0" w:color="B94831"/>
            </w:tcBorders>
            <w:shd w:fill="auto" w:val="clear"/>
            <w:tcMar>
              <w:bottom w:w="28" w:type="dxa"/>
            </w:tcMar>
            <w:vAlign w:val="bottom"/>
          </w:tcPr>
          <w:p>
            <w:pPr>
              <w:pStyle w:val="TableContents"/>
              <w:spacing w:before="0" w:after="283"/>
              <w:rPr/>
            </w:pPr>
            <w:r>
              <w:rPr/>
              <w:t>  </w:t>
            </w:r>
          </w:p>
        </w:tc>
        <w:tc>
          <w:tcPr>
            <w:tcW w:w="6941" w:type="dxa"/>
            <w:tcBorders>
              <w:bottom w:val="single" w:sz="8" w:space="0" w:color="B94831"/>
            </w:tcBorders>
            <w:shd w:fill="auto" w:val="clear"/>
            <w:tcMar>
              <w:bottom w:w="28" w:type="dxa"/>
            </w:tcMar>
          </w:tcPr>
          <w:p>
            <w:pPr>
              <w:pStyle w:val="TableContents"/>
              <w:spacing w:before="0" w:after="283"/>
              <w:rPr/>
            </w:pPr>
            <w:r>
              <w:rPr/>
              <w:t>Identical to the provisions of the stock incentive plan described above.</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59"/>
        <w:gridCol w:w="305"/>
        <w:gridCol w:w="6941"/>
      </w:tblGrid>
      <w:tr>
        <w:trPr/>
        <w:tc>
          <w:tcPr>
            <w:tcW w:w="295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6941"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2" w:space="0" w:color="B94831"/>
            </w:tcBorders>
            <w:shd w:fill="262626" w:val="clear"/>
            <w:tcMar>
              <w:bottom w:w="28" w:type="dxa"/>
            </w:tcMar>
            <w:vAlign w:val="bottom"/>
          </w:tcPr>
          <w:p>
            <w:pPr>
              <w:pStyle w:val="TableContents"/>
              <w:spacing w:before="0" w:after="0"/>
              <w:rPr>
                <w:rFonts w:ascii="Arial" w:hAnsi="Arial"/>
                <w:b/>
                <w:color w:val="FFFFFF"/>
                <w:sz w:val="17"/>
              </w:rPr>
            </w:pPr>
            <w:r>
              <w:rPr>
                <w:rFonts w:ascii="Arial" w:hAnsi="Arial"/>
                <w:b/>
                <w:color w:val="FFFFFF"/>
                <w:sz w:val="17"/>
              </w:rPr>
              <w:t>Deferred Compensation Plan</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Eligibility</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Limited number of key executives in the United States.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Purpose</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Provide specified benefits to a select group of senior management who contribute materially to the continued growth, development and future business success of Thomson Reuters.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Maximum number of shares issuable</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6,488,478 shares, representing approximately 1.33% of our total issued and outstanding shares as of year end.</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Shares issued as of 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1,798,243 shares, representing approximately 0.38% of our total issued and outstanding shares.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Total DSUs outstanding</w:t>
            </w:r>
          </w:p>
          <w:p>
            <w:pPr>
              <w:pStyle w:val="TableContents"/>
              <w:spacing w:before="0" w:after="20"/>
              <w:rPr>
                <w:rFonts w:ascii="Arial" w:hAnsi="Arial"/>
                <w:b/>
                <w:sz w:val="16"/>
              </w:rPr>
            </w:pPr>
            <w:r>
              <w:rPr>
                <w:rFonts w:ascii="Arial" w:hAnsi="Arial"/>
                <w:b/>
                <w:sz w:val="16"/>
              </w:rPr>
              <w:t>as of 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Total DSUs outstanding of 245,358 as of year-end 2022 represented approximately 0.05% of our total issued and outstanding shares.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Shares available for issue as of</w:t>
            </w:r>
          </w:p>
          <w:p>
            <w:pPr>
              <w:pStyle w:val="TableContents"/>
              <w:spacing w:before="0" w:after="20"/>
              <w:rPr>
                <w:rFonts w:ascii="Arial" w:hAnsi="Arial"/>
                <w:b/>
                <w:sz w:val="16"/>
              </w:rPr>
            </w:pPr>
            <w:r>
              <w:rPr>
                <w:rFonts w:ascii="Arial" w:hAnsi="Arial"/>
                <w:b/>
                <w:sz w:val="16"/>
              </w:rPr>
              <w:t>December 31, 2022</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4,444,877 shares, representing approximately 0.93% of our total issued and outstanding shares.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Types of equity-based awards that may be</w:t>
            </w:r>
          </w:p>
          <w:p>
            <w:pPr>
              <w:pStyle w:val="TableContents"/>
              <w:spacing w:before="0" w:after="20"/>
              <w:rPr>
                <w:rFonts w:ascii="Arial" w:hAnsi="Arial"/>
                <w:b/>
                <w:sz w:val="16"/>
              </w:rPr>
            </w:pPr>
            <w:r>
              <w:rPr>
                <w:rFonts w:ascii="Arial" w:hAnsi="Arial"/>
                <w:b/>
                <w:sz w:val="16"/>
              </w:rPr>
              <w:t>issued</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Deferred share units (DSUs)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Types of deferrals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Annual base salary as well as annual/long-term incentive awards.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Election process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Irrevocable elections to participate in the plan are made before the beginning of the year.</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Value of DSUs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Deferred cash can be converted into DSUs based on the closing price of our common shares on the day before the deferral or conversion. If a participant elects to hold DSUs, we credit his or her plan account with a 10% DSU match, which matching units generally vest over a period of four years. DSUs accumulate notional equivalents of dividends paid on our common shares.</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Plan amendments and changes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Substantially similar to the provisions of the stock incentive plan described above.</w:t>
            </w:r>
          </w:p>
        </w:tc>
      </w:tr>
      <w:tr>
        <w:trPr/>
        <w:tc>
          <w:tcPr>
            <w:tcW w:w="2959"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Vesting process</w:t>
            </w:r>
          </w:p>
        </w:tc>
        <w:tc>
          <w:tcPr>
            <w:tcW w:w="305" w:type="dxa"/>
            <w:tcBorders>
              <w:bottom w:val="single" w:sz="2" w:space="0" w:color="AFAFAF"/>
            </w:tcBorders>
            <w:shd w:fill="auto" w:val="clear"/>
            <w:tcMar>
              <w:bottom w:w="28" w:type="dxa"/>
            </w:tcMar>
            <w:vAlign w:val="bottom"/>
          </w:tcPr>
          <w:p>
            <w:pPr>
              <w:pStyle w:val="TableContents"/>
              <w:spacing w:before="0" w:after="283"/>
              <w:rPr/>
            </w:pPr>
            <w:r>
              <w:rPr/>
              <w:t>  </w:t>
            </w:r>
          </w:p>
        </w:tc>
        <w:tc>
          <w:tcPr>
            <w:tcW w:w="6941" w:type="dxa"/>
            <w:tcBorders>
              <w:bottom w:val="single" w:sz="2" w:space="0" w:color="AFAFAF"/>
            </w:tcBorders>
            <w:shd w:fill="auto" w:val="clear"/>
            <w:tcMar>
              <w:bottom w:w="28" w:type="dxa"/>
            </w:tcMar>
          </w:tcPr>
          <w:p>
            <w:pPr>
              <w:pStyle w:val="TableContents"/>
              <w:spacing w:before="0" w:after="283"/>
              <w:rPr/>
            </w:pPr>
            <w:r>
              <w:rPr/>
              <w:t>Participants are automatically vested in their DSUs. Matching DSUs vest as described above.</w:t>
            </w:r>
          </w:p>
        </w:tc>
      </w:tr>
      <w:tr>
        <w:trPr/>
        <w:tc>
          <w:tcPr>
            <w:tcW w:w="2959"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Transfers and assignments</w:t>
            </w:r>
          </w:p>
        </w:tc>
        <w:tc>
          <w:tcPr>
            <w:tcW w:w="305" w:type="dxa"/>
            <w:tcBorders>
              <w:bottom w:val="single" w:sz="8" w:space="0" w:color="B94831"/>
            </w:tcBorders>
            <w:shd w:fill="auto" w:val="clear"/>
            <w:tcMar>
              <w:bottom w:w="28" w:type="dxa"/>
            </w:tcMar>
            <w:vAlign w:val="bottom"/>
          </w:tcPr>
          <w:p>
            <w:pPr>
              <w:pStyle w:val="TableContents"/>
              <w:spacing w:before="0" w:after="283"/>
              <w:rPr/>
            </w:pPr>
            <w:r>
              <w:rPr/>
              <w:t>  </w:t>
            </w:r>
          </w:p>
        </w:tc>
        <w:tc>
          <w:tcPr>
            <w:tcW w:w="6941" w:type="dxa"/>
            <w:tcBorders>
              <w:bottom w:val="single" w:sz="8" w:space="0" w:color="B94831"/>
            </w:tcBorders>
            <w:shd w:fill="auto" w:val="clear"/>
            <w:tcMar>
              <w:bottom w:w="28" w:type="dxa"/>
            </w:tcMar>
          </w:tcPr>
          <w:p>
            <w:pPr>
              <w:pStyle w:val="TableContents"/>
              <w:spacing w:before="0" w:after="283"/>
              <w:rPr/>
            </w:pPr>
            <w:r>
              <w:rPr/>
              <w:t>Substantially similar to the provisions of the stock incentive plan described above.</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A-4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following table provides information as of the end of each year indicated related to the deferred compensation plans share usage, burn rates and potential dilution.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78"/>
        <w:gridCol w:w="372"/>
        <w:gridCol w:w="60"/>
        <w:gridCol w:w="564"/>
        <w:gridCol w:w="357"/>
        <w:gridCol w:w="524"/>
        <w:gridCol w:w="60"/>
        <w:gridCol w:w="564"/>
        <w:gridCol w:w="585"/>
        <w:gridCol w:w="524"/>
        <w:gridCol w:w="60"/>
        <w:gridCol w:w="564"/>
        <w:gridCol w:w="593"/>
      </w:tblGrid>
      <w:tr>
        <w:trPr/>
        <w:tc>
          <w:tcPr>
            <w:tcW w:w="537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5378" w:type="dxa"/>
            <w:tcBorders/>
            <w:shd w:fill="auto" w:val="clear"/>
            <w:vAlign w:val="center"/>
          </w:tcPr>
          <w:p>
            <w:pPr>
              <w:pStyle w:val="TableContents"/>
              <w:spacing w:before="0" w:after="283"/>
              <w:rPr>
                <w:sz w:val="4"/>
                <w:szCs w:val="4"/>
              </w:rPr>
            </w:pPr>
            <w:r>
              <w:rPr>
                <w:sz w:val="4"/>
                <w:szCs w:val="4"/>
              </w:rPr>
            </w:r>
          </w:p>
        </w:tc>
        <w:tc>
          <w:tcPr>
            <w:tcW w:w="4827" w:type="dxa"/>
            <w:gridSpan w:val="12"/>
            <w:tcBorders/>
            <w:shd w:fill="BFBFBF" w:val="clear"/>
            <w:vAlign w:val="center"/>
          </w:tcPr>
          <w:p>
            <w:pPr>
              <w:pStyle w:val="TableContents"/>
              <w:spacing w:before="0" w:after="283"/>
              <w:rPr>
                <w:sz w:val="4"/>
                <w:szCs w:val="4"/>
              </w:rPr>
            </w:pPr>
            <w:r>
              <w:rPr>
                <w:sz w:val="4"/>
                <w:szCs w:val="4"/>
              </w:rPr>
            </w:r>
          </w:p>
        </w:tc>
      </w:tr>
      <w:tr>
        <w:trPr/>
        <w:tc>
          <w:tcPr>
            <w:tcW w:w="5378" w:type="dxa"/>
            <w:tcBorders/>
            <w:shd w:fill="auto" w:val="clear"/>
            <w:vAlign w:val="bottom"/>
          </w:tcPr>
          <w:p>
            <w:pPr>
              <w:pStyle w:val="TableContents"/>
              <w:spacing w:before="0" w:after="283"/>
              <w:rPr>
                <w:sz w:val="4"/>
                <w:szCs w:val="4"/>
              </w:rPr>
            </w:pPr>
            <w:r>
              <w:rPr>
                <w:sz w:val="4"/>
                <w:szCs w:val="4"/>
              </w:rPr>
            </w:r>
          </w:p>
        </w:tc>
        <w:tc>
          <w:tcPr>
            <w:tcW w:w="372" w:type="dxa"/>
            <w:tcBorders/>
            <w:shd w:fill="BFBFBF" w:val="clear"/>
            <w:vAlign w:val="bottom"/>
          </w:tcPr>
          <w:p>
            <w:pPr>
              <w:pStyle w:val="TableContents"/>
              <w:spacing w:before="0" w:after="283"/>
              <w:rPr/>
            </w:pPr>
            <w:r>
              <w:rPr/>
              <w:t>    </w:t>
            </w:r>
          </w:p>
        </w:tc>
        <w:tc>
          <w:tcPr>
            <w:tcW w:w="60" w:type="dxa"/>
            <w:tcBorders/>
            <w:shd w:fill="BFBFBF" w:val="clear"/>
            <w:vAlign w:val="bottom"/>
          </w:tcPr>
          <w:p>
            <w:pPr>
              <w:pStyle w:val="TableContents"/>
              <w:spacing w:before="0" w:after="283"/>
              <w:jc w:val="center"/>
              <w:rPr/>
            </w:pPr>
            <w:r>
              <w:rPr/>
              <w:t> </w:t>
            </w:r>
          </w:p>
        </w:tc>
        <w:tc>
          <w:tcPr>
            <w:tcW w:w="3802" w:type="dxa"/>
            <w:gridSpan w:val="9"/>
            <w:tcBorders/>
            <w:shd w:fill="BFBFBF" w:val="clear"/>
            <w:vAlign w:val="bottom"/>
          </w:tcPr>
          <w:p>
            <w:pPr>
              <w:pStyle w:val="TableContents"/>
              <w:spacing w:before="0" w:after="283"/>
              <w:jc w:val="center"/>
              <w:rPr>
                <w:rFonts w:ascii="Arial" w:hAnsi="Arial"/>
                <w:b/>
              </w:rPr>
            </w:pPr>
            <w:r>
              <w:rPr>
                <w:rFonts w:ascii="Arial" w:hAnsi="Arial"/>
                <w:b/>
              </w:rPr>
              <w:t>As of December 31,</w:t>
            </w:r>
          </w:p>
        </w:tc>
        <w:tc>
          <w:tcPr>
            <w:tcW w:w="593" w:type="dxa"/>
            <w:tcBorders/>
            <w:shd w:fill="BFBFBF" w:val="clear"/>
            <w:vAlign w:val="bottom"/>
          </w:tcPr>
          <w:p>
            <w:pPr>
              <w:pStyle w:val="TableContents"/>
              <w:spacing w:before="0" w:after="283"/>
              <w:rPr/>
            </w:pPr>
            <w:r>
              <w:rPr/>
              <w:t> </w:t>
            </w:r>
          </w:p>
        </w:tc>
      </w:tr>
      <w:tr>
        <w:trPr>
          <w:trHeight w:val="30" w:hRule="atLeast"/>
        </w:trPr>
        <w:tc>
          <w:tcPr>
            <w:tcW w:w="5378" w:type="dxa"/>
            <w:tcBorders/>
            <w:shd w:fill="auto" w:val="clear"/>
            <w:vAlign w:val="center"/>
          </w:tcPr>
          <w:p>
            <w:pPr>
              <w:pStyle w:val="TableContents"/>
              <w:spacing w:before="0" w:after="283"/>
              <w:rPr>
                <w:sz w:val="4"/>
                <w:szCs w:val="4"/>
              </w:rPr>
            </w:pPr>
            <w:r>
              <w:rPr>
                <w:sz w:val="4"/>
                <w:szCs w:val="4"/>
              </w:rPr>
            </w:r>
          </w:p>
        </w:tc>
        <w:tc>
          <w:tcPr>
            <w:tcW w:w="1353" w:type="dxa"/>
            <w:gridSpan w:val="4"/>
            <w:tcBorders/>
            <w:shd w:fill="262626" w:val="clear"/>
            <w:vAlign w:val="center"/>
          </w:tcPr>
          <w:p>
            <w:pPr>
              <w:pStyle w:val="TableContents"/>
              <w:spacing w:before="0" w:after="283"/>
              <w:rPr>
                <w:sz w:val="4"/>
                <w:szCs w:val="4"/>
              </w:rPr>
            </w:pPr>
            <w:r>
              <w:rPr>
                <w:sz w:val="4"/>
                <w:szCs w:val="4"/>
              </w:rPr>
            </w:r>
          </w:p>
        </w:tc>
        <w:tc>
          <w:tcPr>
            <w:tcW w:w="1733" w:type="dxa"/>
            <w:gridSpan w:val="4"/>
            <w:tcBorders/>
            <w:shd w:fill="262626" w:val="clear"/>
            <w:vAlign w:val="center"/>
          </w:tcPr>
          <w:p>
            <w:pPr>
              <w:pStyle w:val="TableContents"/>
              <w:spacing w:before="0" w:after="283"/>
              <w:rPr>
                <w:sz w:val="4"/>
                <w:szCs w:val="4"/>
              </w:rPr>
            </w:pPr>
            <w:r>
              <w:rPr>
                <w:sz w:val="4"/>
                <w:szCs w:val="4"/>
              </w:rPr>
            </w:r>
          </w:p>
        </w:tc>
        <w:tc>
          <w:tcPr>
            <w:tcW w:w="1741" w:type="dxa"/>
            <w:gridSpan w:val="4"/>
            <w:tcBorders/>
            <w:shd w:fill="262626" w:val="clear"/>
            <w:vAlign w:val="center"/>
          </w:tcPr>
          <w:p>
            <w:pPr>
              <w:pStyle w:val="TableContents"/>
              <w:spacing w:before="0" w:after="283"/>
              <w:rPr>
                <w:sz w:val="4"/>
                <w:szCs w:val="4"/>
              </w:rPr>
            </w:pPr>
            <w:r>
              <w:rPr>
                <w:sz w:val="4"/>
                <w:szCs w:val="4"/>
              </w:rPr>
            </w:r>
          </w:p>
        </w:tc>
      </w:tr>
      <w:tr>
        <w:trPr/>
        <w:tc>
          <w:tcPr>
            <w:tcW w:w="5378" w:type="dxa"/>
            <w:tcBorders>
              <w:bottom w:val="single" w:sz="8" w:space="0" w:color="B94831"/>
            </w:tcBorders>
            <w:shd w:fill="auto" w:val="clear"/>
            <w:tcMar>
              <w:bottom w:w="28" w:type="dxa"/>
            </w:tcMar>
            <w:vAlign w:val="bottom"/>
          </w:tcPr>
          <w:p>
            <w:pPr>
              <w:pStyle w:val="TableContents"/>
              <w:spacing w:before="0" w:after="283"/>
              <w:rPr/>
            </w:pPr>
            <w:r>
              <w:rPr/>
              <w:t> </w:t>
            </w:r>
          </w:p>
        </w:tc>
        <w:tc>
          <w:tcPr>
            <w:tcW w:w="372"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w:t>
            </w:r>
          </w:p>
        </w:tc>
        <w:tc>
          <w:tcPr>
            <w:tcW w:w="357"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24"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2021</w:t>
            </w:r>
          </w:p>
        </w:tc>
        <w:tc>
          <w:tcPr>
            <w:tcW w:w="585"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24"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2020</w:t>
            </w:r>
          </w:p>
        </w:tc>
        <w:tc>
          <w:tcPr>
            <w:tcW w:w="593"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r>
      <w:tr>
        <w:trPr/>
        <w:tc>
          <w:tcPr>
            <w:tcW w:w="5378" w:type="dxa"/>
            <w:tcBorders>
              <w:bottom w:val="single" w:sz="2" w:space="0" w:color="AFAFAF"/>
            </w:tcBorders>
            <w:shd w:fill="auto" w:val="clear"/>
            <w:tcMar>
              <w:bottom w:w="28" w:type="dxa"/>
            </w:tcMar>
          </w:tcPr>
          <w:p>
            <w:pPr>
              <w:pStyle w:val="TableContents"/>
              <w:spacing w:before="0" w:after="283"/>
              <w:rPr/>
            </w:pPr>
            <w:r>
              <w:rPr>
                <w:rFonts w:ascii="Arial" w:hAnsi="Arial"/>
                <w:b/>
              </w:rPr>
              <w:t>Share usage </w:t>
            </w:r>
            <w:r>
              <w:rPr/>
              <w:t xml:space="preserve"> the total number of shares issued pursuant to DSUs in the applicable year, divided by the total weighted average of common shares outstanding during the year</w:t>
            </w:r>
          </w:p>
        </w:tc>
        <w:tc>
          <w:tcPr>
            <w:tcW w:w="37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0.030</w:t>
            </w:r>
          </w:p>
        </w:tc>
        <w:tc>
          <w:tcPr>
            <w:tcW w:w="35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0.020</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0.010</w:t>
            </w:r>
          </w:p>
        </w:tc>
        <w:tc>
          <w:tcPr>
            <w:tcW w:w="593"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378" w:type="dxa"/>
            <w:tcBorders>
              <w:bottom w:val="single" w:sz="2" w:space="0" w:color="AFAFAF"/>
            </w:tcBorders>
            <w:shd w:fill="auto" w:val="clear"/>
            <w:tcMar>
              <w:bottom w:w="28" w:type="dxa"/>
            </w:tcMar>
          </w:tcPr>
          <w:p>
            <w:pPr>
              <w:pStyle w:val="TableContents"/>
              <w:spacing w:before="0" w:after="283"/>
              <w:rPr/>
            </w:pPr>
            <w:r>
              <w:rPr>
                <w:rFonts w:ascii="Arial" w:hAnsi="Arial"/>
                <w:b/>
              </w:rPr>
              <w:t>Burn rate </w:t>
            </w:r>
            <w:r>
              <w:rPr/>
              <w:t xml:space="preserve"> the total number of DSUs granted in the applicable year, divided by the total weighted average of common shares outstanding during the year</w:t>
            </w:r>
          </w:p>
        </w:tc>
        <w:tc>
          <w:tcPr>
            <w:tcW w:w="37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0.004</w:t>
            </w:r>
          </w:p>
        </w:tc>
        <w:tc>
          <w:tcPr>
            <w:tcW w:w="35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0.002</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0.003</w:t>
            </w:r>
          </w:p>
        </w:tc>
        <w:tc>
          <w:tcPr>
            <w:tcW w:w="593"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378" w:type="dxa"/>
            <w:tcBorders>
              <w:bottom w:val="single" w:sz="2" w:space="0" w:color="AFAFAF"/>
            </w:tcBorders>
            <w:shd w:fill="auto" w:val="clear"/>
            <w:tcMar>
              <w:bottom w:w="28" w:type="dxa"/>
            </w:tcMar>
          </w:tcPr>
          <w:p>
            <w:pPr>
              <w:pStyle w:val="TableContents"/>
              <w:spacing w:before="0" w:after="283"/>
              <w:rPr/>
            </w:pPr>
            <w:r>
              <w:rPr>
                <w:rFonts w:ascii="Arial" w:hAnsi="Arial"/>
                <w:b/>
              </w:rPr>
              <w:t>Potential Dilution </w:t>
            </w:r>
            <w:r>
              <w:rPr/>
              <w:t xml:space="preserve"> the total number of all DSUs available for issue, divided by the total weighted average of common shares outstanding during the year</w:t>
            </w:r>
          </w:p>
        </w:tc>
        <w:tc>
          <w:tcPr>
            <w:tcW w:w="372"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0.976</w:t>
            </w:r>
          </w:p>
        </w:tc>
        <w:tc>
          <w:tcPr>
            <w:tcW w:w="357"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0.980</w:t>
            </w:r>
          </w:p>
        </w:tc>
        <w:tc>
          <w:tcPr>
            <w:tcW w:w="585"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0.994</w:t>
            </w:r>
          </w:p>
        </w:tc>
        <w:tc>
          <w:tcPr>
            <w:tcW w:w="593"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378" w:type="dxa"/>
            <w:tcBorders>
              <w:bottom w:val="single" w:sz="8" w:space="0" w:color="B94831"/>
            </w:tcBorders>
            <w:shd w:fill="auto" w:val="clear"/>
            <w:tcMar>
              <w:bottom w:w="28" w:type="dxa"/>
            </w:tcMar>
          </w:tcPr>
          <w:p>
            <w:pPr>
              <w:pStyle w:val="TableContents"/>
              <w:spacing w:before="0" w:after="283"/>
              <w:rPr/>
            </w:pPr>
            <w:r>
              <w:rPr>
                <w:rFonts w:ascii="Arial" w:hAnsi="Arial"/>
                <w:b/>
              </w:rPr>
              <w:t>Full Dilution </w:t>
            </w:r>
            <w:r>
              <w:rPr/>
              <w:t xml:space="preserve"> the total number of all DSUs available for issue plus all DSUs outstanding, divided by the total weighted average of common shares outstanding during the year plus all DSUs outstanding and available for issue</w:t>
            </w:r>
          </w:p>
        </w:tc>
        <w:tc>
          <w:tcPr>
            <w:tcW w:w="372"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0.960</w:t>
            </w:r>
          </w:p>
        </w:tc>
        <w:tc>
          <w:tcPr>
            <w:tcW w:w="357"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0.971</w:t>
            </w:r>
          </w:p>
        </w:tc>
        <w:tc>
          <w:tcPr>
            <w:tcW w:w="585"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524"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0.984</w:t>
            </w:r>
          </w:p>
        </w:tc>
        <w:tc>
          <w:tcPr>
            <w:tcW w:w="593" w:type="dxa"/>
            <w:tcBorders>
              <w:bottom w:val="single" w:sz="8" w:space="0" w:color="B94831"/>
            </w:tcBorders>
            <w:shd w:fill="auto" w:val="clear"/>
            <w:tcMar>
              <w:bottom w:w="28" w:type="dxa"/>
            </w:tcMar>
            <w:vAlign w:val="bottom"/>
          </w:tcPr>
          <w:p>
            <w:pPr>
              <w:pStyle w:val="TableContents"/>
              <w:spacing w:before="0" w:after="283"/>
              <w:rPr/>
            </w:pPr>
            <w:r>
              <w:rPr/>
              <w:t>%</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22"/>
        <w:gridCol w:w="120"/>
        <w:gridCol w:w="6263"/>
      </w:tblGrid>
      <w:tr>
        <w:trPr/>
        <w:tc>
          <w:tcPr>
            <w:tcW w:w="3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263"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gridSpan w:val="3"/>
            <w:tcBorders/>
            <w:shd w:fill="262626" w:val="clear"/>
            <w:vAlign w:val="center"/>
          </w:tcPr>
          <w:p>
            <w:pPr>
              <w:pStyle w:val="TableContents"/>
              <w:spacing w:before="0" w:after="283"/>
              <w:rPr>
                <w:sz w:val="4"/>
                <w:szCs w:val="4"/>
              </w:rPr>
            </w:pPr>
            <w:r>
              <w:rPr>
                <w:sz w:val="4"/>
                <w:szCs w:val="4"/>
              </w:rPr>
            </w:r>
          </w:p>
        </w:tc>
      </w:tr>
      <w:tr>
        <w:trPr/>
        <w:tc>
          <w:tcPr>
            <w:tcW w:w="10205" w:type="dxa"/>
            <w:gridSpan w:val="3"/>
            <w:tcBorders>
              <w:bottom w:val="single" w:sz="2" w:space="0" w:color="B94831"/>
            </w:tcBorders>
            <w:shd w:fill="262626" w:val="clear"/>
            <w:tcMar>
              <w:bottom w:w="28" w:type="dxa"/>
            </w:tcMar>
            <w:vAlign w:val="bottom"/>
          </w:tcPr>
          <w:p>
            <w:pPr>
              <w:pStyle w:val="TableContents"/>
              <w:spacing w:before="0" w:after="0"/>
              <w:rPr>
                <w:color w:val="FFFFFF"/>
              </w:rPr>
            </w:pPr>
            <w:r>
              <w:rPr>
                <w:color w:val="FFFFFF"/>
              </w:rPr>
              <w:t>   </w:t>
            </w:r>
            <w:r>
              <w:rPr>
                <w:rFonts w:ascii="Arial" w:hAnsi="Arial"/>
                <w:b/>
                <w:color w:val="FFFFFF"/>
                <w:sz w:val="17"/>
              </w:rPr>
              <w:t>Employee Stock Purchase Plans</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Eligibility</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Designated employees in the United States, United Kingdom, Canada and other countries.</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Purpose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Provide eligible employees with an opportunity to purchase shares and to further align their interests with those of our shareholders.</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Maximum number of shares issuable</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20,388,909 shares (comprised of 14,633,208 for U.S. employee stock purchase plan and 5,755,701 for global employee stock purchase plan), representing approximately 4.19% of our total issued and outstanding shares as of year-end.</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Shares issued as of December 31, 2022</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15,815,223 shares, representing approximately 3.32% of our total issued and outstanding shares.</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Shares available for issue as of</w:t>
            </w:r>
          </w:p>
          <w:p>
            <w:pPr>
              <w:pStyle w:val="TableContents"/>
              <w:spacing w:before="0" w:after="20"/>
              <w:rPr/>
            </w:pPr>
            <w:r>
              <w:rPr/>
              <w:t>   </w:t>
            </w:r>
            <w:r>
              <w:rPr>
                <w:rFonts w:ascii="Arial" w:hAnsi="Arial"/>
                <w:b/>
                <w:sz w:val="16"/>
              </w:rPr>
              <w:t>December 31, 2022</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4,573,686 shares, comprised of 2,409,690 shares for the U.S. ESPP and 2,191,801 for the global ESPP, representing approximately 0.96% of our total issued and outstanding shares (0.50% for the U.S. ESPP and 0.46% for the global ESPP).</w:t>
            </w:r>
          </w:p>
        </w:tc>
      </w:tr>
      <w:tr>
        <w:trPr/>
        <w:tc>
          <w:tcPr>
            <w:tcW w:w="3822" w:type="dxa"/>
            <w:tcBorders>
              <w:bottom w:val="single" w:sz="2" w:space="0" w:color="AFAFAF"/>
            </w:tcBorders>
            <w:shd w:fill="auto" w:val="clear"/>
            <w:tcMar>
              <w:bottom w:w="28" w:type="dxa"/>
            </w:tcMar>
          </w:tcPr>
          <w:p>
            <w:pPr>
              <w:pStyle w:val="TableContents"/>
              <w:spacing w:before="0" w:after="0"/>
              <w:rPr/>
            </w:pPr>
            <w:r>
              <w:rPr/>
              <w:t>   </w:t>
            </w:r>
            <w:r>
              <w:rPr>
                <w:rFonts w:ascii="Arial" w:hAnsi="Arial"/>
                <w:b/>
                <w:sz w:val="16"/>
              </w:rPr>
              <w:t>Types of equity-based awards that</w:t>
            </w:r>
          </w:p>
          <w:p>
            <w:pPr>
              <w:pStyle w:val="TableContents"/>
              <w:spacing w:before="0" w:after="20"/>
              <w:rPr/>
            </w:pPr>
            <w:r>
              <w:rPr/>
              <w:t>   </w:t>
            </w:r>
            <w:r>
              <w:rPr>
                <w:rFonts w:ascii="Arial" w:hAnsi="Arial"/>
                <w:b/>
                <w:sz w:val="16"/>
              </w:rPr>
              <w:t>may be issued</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Common shares</w:t>
            </w:r>
          </w:p>
        </w:tc>
      </w:tr>
      <w:tr>
        <w:trPr/>
        <w:tc>
          <w:tcPr>
            <w:tcW w:w="3822" w:type="dxa"/>
            <w:tcBorders/>
            <w:shd w:fill="auto" w:val="clear"/>
          </w:tcPr>
          <w:p>
            <w:pPr>
              <w:pStyle w:val="TableContents"/>
              <w:spacing w:before="0" w:after="0"/>
              <w:rPr/>
            </w:pPr>
            <w:r>
              <w:rPr/>
              <w:t>   </w:t>
            </w:r>
            <w:r>
              <w:rPr>
                <w:rFonts w:ascii="Arial" w:hAnsi="Arial"/>
                <w:b/>
                <w:sz w:val="16"/>
              </w:rPr>
              <w:t>ESPPkey terms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The ESPP is voluntary. Eligible employees contribute to the ESPP through payroll deductions by designating from 1% to 10% of eligible compensation to be withheld.</w:t>
            </w:r>
          </w:p>
        </w:tc>
      </w:tr>
      <w:tr>
        <w:trPr/>
        <w:tc>
          <w:tcPr>
            <w:tcW w:w="3822" w:type="dxa"/>
            <w:tcBorders/>
            <w:shd w:fill="auto" w:val="clear"/>
          </w:tcPr>
          <w:p>
            <w:pPr>
              <w:pStyle w:val="TableContents"/>
              <w:spacing w:before="0" w:after="283"/>
              <w:rPr>
                <w:sz w:val="4"/>
                <w:szCs w:val="4"/>
              </w:rPr>
            </w:pPr>
            <w:r>
              <w:rPr>
                <w:sz w:val="4"/>
                <w:szCs w:val="4"/>
              </w:rPr>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On the last business day of each calendar quarter, we use accumulated payroll deductions to buy common shares for participants. The price paid for shares is 85% of the closing price (i.e., a 15% discount) of our common shares on the NYSE on the last trading day of the quarter. Non-U.S. participants purchase shares in the local foreign currency equivalent of this amount.</w:t>
            </w:r>
          </w:p>
        </w:tc>
      </w:tr>
      <w:tr>
        <w:trPr/>
        <w:tc>
          <w:tcPr>
            <w:tcW w:w="3822" w:type="dxa"/>
            <w:tcBorders/>
            <w:shd w:fill="auto" w:val="clear"/>
          </w:tcPr>
          <w:p>
            <w:pPr>
              <w:pStyle w:val="TableContents"/>
              <w:spacing w:before="0" w:after="283"/>
              <w:rPr>
                <w:sz w:val="4"/>
                <w:szCs w:val="4"/>
              </w:rPr>
            </w:pPr>
            <w:r>
              <w:rPr>
                <w:sz w:val="4"/>
                <w:szCs w:val="4"/>
              </w:rPr>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A minimum holding period applies to all shares purchased under the ESPP, unless participants in a particular country are exempted from this requirement due to legal, regulatory or tax considerations. While a participant is a Thomson Reuters employee, if he or she is subject to a holding period, then shares purchased at the end of a calendar quarter may not be sold until the next quarterly offering period ends.</w:t>
            </w:r>
          </w:p>
        </w:tc>
      </w:tr>
      <w:tr>
        <w:trPr/>
        <w:tc>
          <w:tcPr>
            <w:tcW w:w="3822" w:type="dxa"/>
            <w:tcBorders>
              <w:bottom w:val="single" w:sz="2" w:space="0" w:color="AFAFAF"/>
            </w:tcBorders>
            <w:shd w:fill="auto" w:val="clear"/>
            <w:tcMar>
              <w:bottom w:w="28" w:type="dxa"/>
            </w:tcMar>
          </w:tcPr>
          <w:p>
            <w:pPr>
              <w:pStyle w:val="TableContents"/>
              <w:spacing w:before="0" w:after="283"/>
              <w:rPr/>
            </w:pPr>
            <w:r>
              <w:rPr/>
              <w:t> </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0"/>
              <w:rPr/>
            </w:pPr>
            <w:r>
              <w:rPr/>
              <w:t>●   </w:t>
            </w:r>
            <w:r>
              <w:rPr>
                <w:rFonts w:ascii="arial" w:hAnsi="arial"/>
                <w:sz w:val="16"/>
              </w:rPr>
              <w:t>Employees may elect to change or suspend payroll deductions during each quarterly offering period and may elect to withdraw from the ESPP at least 10 business days before a quarterly purchase date. If an individual ceases to be an eligible employee of Thomson Reuters, he or she is considered to have withdrawn from the ESPP. If ESPP enrollment is cancelled, an employee may withdraw all of his or her payroll deductions from the ESPP that have not been used to purchase shares.</w:t>
            </w:r>
          </w:p>
        </w:tc>
      </w:tr>
      <w:tr>
        <w:trPr/>
        <w:tc>
          <w:tcPr>
            <w:tcW w:w="3822" w:type="dxa"/>
            <w:tcBorders>
              <w:bottom w:val="single" w:sz="2" w:space="0" w:color="AFAFAF"/>
            </w:tcBorders>
            <w:shd w:fill="auto" w:val="clear"/>
            <w:tcMar>
              <w:bottom w:w="28" w:type="dxa"/>
            </w:tcMar>
          </w:tcPr>
          <w:p>
            <w:pPr>
              <w:pStyle w:val="TableContents"/>
              <w:spacing w:before="0" w:after="0"/>
              <w:rPr>
                <w:rFonts w:ascii="Arial" w:hAnsi="Arial"/>
                <w:b/>
                <w:sz w:val="16"/>
              </w:rPr>
            </w:pPr>
            <w:r>
              <w:rPr>
                <w:rFonts w:ascii="Arial" w:hAnsi="Arial"/>
                <w:b/>
                <w:sz w:val="16"/>
              </w:rPr>
              <w:t>Plan amendments and changes</w:t>
            </w:r>
          </w:p>
        </w:tc>
        <w:tc>
          <w:tcPr>
            <w:tcW w:w="120" w:type="dxa"/>
            <w:tcBorders>
              <w:bottom w:val="single" w:sz="2" w:space="0" w:color="AFAFAF"/>
            </w:tcBorders>
            <w:shd w:fill="auto" w:val="clear"/>
            <w:tcMar>
              <w:bottom w:w="28" w:type="dxa"/>
            </w:tcMar>
            <w:vAlign w:val="bottom"/>
          </w:tcPr>
          <w:p>
            <w:pPr>
              <w:pStyle w:val="TableContents"/>
              <w:spacing w:before="0" w:after="283"/>
              <w:rPr/>
            </w:pPr>
            <w:r>
              <w:rPr/>
              <w:t>  </w:t>
            </w:r>
          </w:p>
        </w:tc>
        <w:tc>
          <w:tcPr>
            <w:tcW w:w="6263" w:type="dxa"/>
            <w:tcBorders>
              <w:bottom w:val="single" w:sz="2" w:space="0" w:color="AFAFAF"/>
            </w:tcBorders>
            <w:shd w:fill="auto" w:val="clear"/>
            <w:tcMar>
              <w:bottom w:w="28" w:type="dxa"/>
            </w:tcMar>
          </w:tcPr>
          <w:p>
            <w:pPr>
              <w:pStyle w:val="TableContents"/>
              <w:spacing w:before="0" w:after="283"/>
              <w:rPr/>
            </w:pPr>
            <w:r>
              <w:rPr/>
              <w:t>Substantially similar to the provisions of the stock incentive plan described above.</w:t>
            </w:r>
          </w:p>
        </w:tc>
      </w:tr>
      <w:tr>
        <w:trPr/>
        <w:tc>
          <w:tcPr>
            <w:tcW w:w="3822" w:type="dxa"/>
            <w:tcBorders>
              <w:bottom w:val="single" w:sz="8" w:space="0" w:color="B94831"/>
            </w:tcBorders>
            <w:shd w:fill="auto" w:val="clear"/>
            <w:tcMar>
              <w:bottom w:w="28" w:type="dxa"/>
            </w:tcMar>
          </w:tcPr>
          <w:p>
            <w:pPr>
              <w:pStyle w:val="TableContents"/>
              <w:spacing w:before="0" w:after="0"/>
              <w:rPr>
                <w:rFonts w:ascii="Arial" w:hAnsi="Arial"/>
                <w:b/>
                <w:sz w:val="16"/>
              </w:rPr>
            </w:pPr>
            <w:r>
              <w:rPr>
                <w:rFonts w:ascii="Arial" w:hAnsi="Arial"/>
                <w:b/>
                <w:sz w:val="16"/>
              </w:rPr>
              <w:t>Transfers and assignments</w:t>
            </w:r>
          </w:p>
        </w:tc>
        <w:tc>
          <w:tcPr>
            <w:tcW w:w="120" w:type="dxa"/>
            <w:tcBorders>
              <w:bottom w:val="single" w:sz="8" w:space="0" w:color="B94831"/>
            </w:tcBorders>
            <w:shd w:fill="auto" w:val="clear"/>
            <w:tcMar>
              <w:bottom w:w="28" w:type="dxa"/>
            </w:tcMar>
            <w:vAlign w:val="bottom"/>
          </w:tcPr>
          <w:p>
            <w:pPr>
              <w:pStyle w:val="TableContents"/>
              <w:spacing w:before="0" w:after="283"/>
              <w:rPr/>
            </w:pPr>
            <w:r>
              <w:rPr/>
              <w:t>  </w:t>
            </w:r>
          </w:p>
        </w:tc>
        <w:tc>
          <w:tcPr>
            <w:tcW w:w="6263" w:type="dxa"/>
            <w:tcBorders>
              <w:bottom w:val="single" w:sz="8" w:space="0" w:color="B94831"/>
            </w:tcBorders>
            <w:shd w:fill="auto" w:val="clear"/>
            <w:tcMar>
              <w:bottom w:w="28" w:type="dxa"/>
            </w:tcMar>
          </w:tcPr>
          <w:p>
            <w:pPr>
              <w:pStyle w:val="TableContents"/>
              <w:spacing w:before="0" w:after="283"/>
              <w:rPr/>
            </w:pPr>
            <w:r>
              <w:rPr/>
              <w:t>Not possible other than by the laws of descent and distribution.</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A-5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following table provides information as of the end of each year indicated related to the ESPPs share usage, burn rates, potential dilution and full dilution.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99"/>
        <w:gridCol w:w="394"/>
        <w:gridCol w:w="60"/>
        <w:gridCol w:w="564"/>
        <w:gridCol w:w="446"/>
        <w:gridCol w:w="607"/>
        <w:gridCol w:w="60"/>
        <w:gridCol w:w="564"/>
        <w:gridCol w:w="588"/>
        <w:gridCol w:w="607"/>
        <w:gridCol w:w="60"/>
        <w:gridCol w:w="564"/>
        <w:gridCol w:w="592"/>
      </w:tblGrid>
      <w:tr>
        <w:trPr/>
        <w:tc>
          <w:tcPr>
            <w:tcW w:w="509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5099" w:type="dxa"/>
            <w:tcBorders/>
            <w:shd w:fill="auto" w:val="clear"/>
            <w:vAlign w:val="center"/>
          </w:tcPr>
          <w:p>
            <w:pPr>
              <w:pStyle w:val="TableContents"/>
              <w:spacing w:before="0" w:after="283"/>
              <w:rPr>
                <w:sz w:val="4"/>
                <w:szCs w:val="4"/>
              </w:rPr>
            </w:pPr>
            <w:r>
              <w:rPr>
                <w:sz w:val="4"/>
                <w:szCs w:val="4"/>
              </w:rPr>
            </w:r>
          </w:p>
        </w:tc>
        <w:tc>
          <w:tcPr>
            <w:tcW w:w="5106" w:type="dxa"/>
            <w:gridSpan w:val="12"/>
            <w:tcBorders/>
            <w:shd w:fill="BFBFBF" w:val="clear"/>
            <w:vAlign w:val="center"/>
          </w:tcPr>
          <w:p>
            <w:pPr>
              <w:pStyle w:val="TableContents"/>
              <w:spacing w:before="0" w:after="283"/>
              <w:rPr>
                <w:sz w:val="4"/>
                <w:szCs w:val="4"/>
              </w:rPr>
            </w:pPr>
            <w:r>
              <w:rPr>
                <w:sz w:val="4"/>
                <w:szCs w:val="4"/>
              </w:rPr>
            </w:r>
          </w:p>
        </w:tc>
      </w:tr>
      <w:tr>
        <w:trPr/>
        <w:tc>
          <w:tcPr>
            <w:tcW w:w="5099" w:type="dxa"/>
            <w:tcBorders/>
            <w:shd w:fill="auto" w:val="clear"/>
            <w:vAlign w:val="bottom"/>
          </w:tcPr>
          <w:p>
            <w:pPr>
              <w:pStyle w:val="TableContents"/>
              <w:spacing w:before="0" w:after="283"/>
              <w:rPr>
                <w:sz w:val="4"/>
                <w:szCs w:val="4"/>
              </w:rPr>
            </w:pPr>
            <w:r>
              <w:rPr>
                <w:sz w:val="4"/>
                <w:szCs w:val="4"/>
              </w:rPr>
            </w:r>
          </w:p>
        </w:tc>
        <w:tc>
          <w:tcPr>
            <w:tcW w:w="394" w:type="dxa"/>
            <w:tcBorders/>
            <w:shd w:fill="BFBFBF" w:val="clear"/>
            <w:vAlign w:val="bottom"/>
          </w:tcPr>
          <w:p>
            <w:pPr>
              <w:pStyle w:val="TableContents"/>
              <w:spacing w:before="0" w:after="283"/>
              <w:rPr/>
            </w:pPr>
            <w:r>
              <w:rPr/>
              <w:t>    </w:t>
            </w:r>
          </w:p>
        </w:tc>
        <w:tc>
          <w:tcPr>
            <w:tcW w:w="60" w:type="dxa"/>
            <w:tcBorders/>
            <w:shd w:fill="BFBFBF" w:val="clear"/>
            <w:vAlign w:val="bottom"/>
          </w:tcPr>
          <w:p>
            <w:pPr>
              <w:pStyle w:val="TableContents"/>
              <w:spacing w:before="0" w:after="283"/>
              <w:jc w:val="center"/>
              <w:rPr/>
            </w:pPr>
            <w:r>
              <w:rPr/>
              <w:t> </w:t>
            </w:r>
          </w:p>
        </w:tc>
        <w:tc>
          <w:tcPr>
            <w:tcW w:w="4060" w:type="dxa"/>
            <w:gridSpan w:val="9"/>
            <w:tcBorders/>
            <w:shd w:fill="BFBFBF" w:val="clear"/>
            <w:vAlign w:val="bottom"/>
          </w:tcPr>
          <w:p>
            <w:pPr>
              <w:pStyle w:val="TableContents"/>
              <w:spacing w:before="0" w:after="283"/>
              <w:jc w:val="center"/>
              <w:rPr>
                <w:rFonts w:ascii="Arial" w:hAnsi="Arial"/>
                <w:b/>
              </w:rPr>
            </w:pPr>
            <w:r>
              <w:rPr>
                <w:rFonts w:ascii="Arial" w:hAnsi="Arial"/>
                <w:b/>
              </w:rPr>
              <w:t>As of December 31,</w:t>
            </w:r>
          </w:p>
        </w:tc>
        <w:tc>
          <w:tcPr>
            <w:tcW w:w="592" w:type="dxa"/>
            <w:tcBorders/>
            <w:shd w:fill="BFBFBF" w:val="clear"/>
            <w:vAlign w:val="bottom"/>
          </w:tcPr>
          <w:p>
            <w:pPr>
              <w:pStyle w:val="TableContents"/>
              <w:spacing w:before="0" w:after="283"/>
              <w:rPr/>
            </w:pPr>
            <w:r>
              <w:rPr/>
              <w:t> </w:t>
            </w:r>
          </w:p>
        </w:tc>
      </w:tr>
      <w:tr>
        <w:trPr>
          <w:trHeight w:val="30" w:hRule="atLeast"/>
        </w:trPr>
        <w:tc>
          <w:tcPr>
            <w:tcW w:w="5099" w:type="dxa"/>
            <w:tcBorders/>
            <w:shd w:fill="auto" w:val="clear"/>
            <w:vAlign w:val="center"/>
          </w:tcPr>
          <w:p>
            <w:pPr>
              <w:pStyle w:val="TableContents"/>
              <w:spacing w:before="0" w:after="283"/>
              <w:rPr>
                <w:sz w:val="4"/>
                <w:szCs w:val="4"/>
              </w:rPr>
            </w:pPr>
            <w:r>
              <w:rPr>
                <w:sz w:val="4"/>
                <w:szCs w:val="4"/>
              </w:rPr>
            </w:r>
          </w:p>
        </w:tc>
        <w:tc>
          <w:tcPr>
            <w:tcW w:w="1464" w:type="dxa"/>
            <w:gridSpan w:val="4"/>
            <w:tcBorders/>
            <w:shd w:fill="262626" w:val="clear"/>
            <w:vAlign w:val="center"/>
          </w:tcPr>
          <w:p>
            <w:pPr>
              <w:pStyle w:val="TableContents"/>
              <w:spacing w:before="0" w:after="283"/>
              <w:rPr>
                <w:sz w:val="4"/>
                <w:szCs w:val="4"/>
              </w:rPr>
            </w:pPr>
            <w:r>
              <w:rPr>
                <w:sz w:val="4"/>
                <w:szCs w:val="4"/>
              </w:rPr>
            </w:r>
          </w:p>
        </w:tc>
        <w:tc>
          <w:tcPr>
            <w:tcW w:w="1819" w:type="dxa"/>
            <w:gridSpan w:val="4"/>
            <w:tcBorders/>
            <w:shd w:fill="262626" w:val="clear"/>
            <w:vAlign w:val="center"/>
          </w:tcPr>
          <w:p>
            <w:pPr>
              <w:pStyle w:val="TableContents"/>
              <w:spacing w:before="0" w:after="283"/>
              <w:rPr>
                <w:sz w:val="4"/>
                <w:szCs w:val="4"/>
              </w:rPr>
            </w:pPr>
            <w:r>
              <w:rPr>
                <w:sz w:val="4"/>
                <w:szCs w:val="4"/>
              </w:rPr>
            </w:r>
          </w:p>
        </w:tc>
        <w:tc>
          <w:tcPr>
            <w:tcW w:w="1823" w:type="dxa"/>
            <w:gridSpan w:val="4"/>
            <w:tcBorders/>
            <w:shd w:fill="262626" w:val="clear"/>
            <w:vAlign w:val="center"/>
          </w:tcPr>
          <w:p>
            <w:pPr>
              <w:pStyle w:val="TableContents"/>
              <w:spacing w:before="0" w:after="283"/>
              <w:rPr>
                <w:sz w:val="4"/>
                <w:szCs w:val="4"/>
              </w:rPr>
            </w:pPr>
            <w:r>
              <w:rPr>
                <w:sz w:val="4"/>
                <w:szCs w:val="4"/>
              </w:rPr>
            </w:r>
          </w:p>
        </w:tc>
      </w:tr>
      <w:tr>
        <w:trPr/>
        <w:tc>
          <w:tcPr>
            <w:tcW w:w="5099" w:type="dxa"/>
            <w:tcBorders>
              <w:bottom w:val="single" w:sz="8" w:space="0" w:color="B94831"/>
            </w:tcBorders>
            <w:shd w:fill="auto" w:val="clear"/>
            <w:tcMar>
              <w:bottom w:w="28" w:type="dxa"/>
            </w:tcMar>
            <w:vAlign w:val="bottom"/>
          </w:tcPr>
          <w:p>
            <w:pPr>
              <w:pStyle w:val="TableContents"/>
              <w:spacing w:before="0" w:after="283"/>
              <w:rPr/>
            </w:pPr>
            <w:r>
              <w:rPr/>
              <w:t> </w:t>
            </w:r>
          </w:p>
        </w:tc>
        <w:tc>
          <w:tcPr>
            <w:tcW w:w="394"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2022</w:t>
            </w:r>
          </w:p>
        </w:tc>
        <w:tc>
          <w:tcPr>
            <w:tcW w:w="446"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607"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2021</w:t>
            </w:r>
          </w:p>
        </w:tc>
        <w:tc>
          <w:tcPr>
            <w:tcW w:w="588"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607" w:type="dxa"/>
            <w:tcBorders>
              <w:bottom w:val="single" w:sz="8" w:space="0" w:color="B94831"/>
            </w:tcBorders>
            <w:shd w:fill="262626" w:val="clear"/>
            <w:tcMar>
              <w:bottom w:w="28" w:type="dxa"/>
            </w:tcMar>
            <w:vAlign w:val="bottom"/>
          </w:tcPr>
          <w:p>
            <w:pPr>
              <w:pStyle w:val="TableContents"/>
              <w:spacing w:before="0" w:after="283"/>
              <w:rPr/>
            </w:pPr>
            <w:r>
              <w:rPr/>
              <w:t>    </w:t>
            </w:r>
          </w:p>
        </w:tc>
        <w:tc>
          <w:tcPr>
            <w:tcW w:w="60"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c>
          <w:tcPr>
            <w:tcW w:w="564" w:type="dxa"/>
            <w:tcBorders>
              <w:bottom w:val="single" w:sz="8" w:space="0" w:color="B94831"/>
            </w:tcBorders>
            <w:shd w:fill="262626" w:val="clear"/>
            <w:tcMar>
              <w:bottom w:w="28" w:type="dxa"/>
            </w:tcMar>
            <w:vAlign w:val="bottom"/>
          </w:tcPr>
          <w:p>
            <w:pPr>
              <w:pStyle w:val="TableContents"/>
              <w:spacing w:before="0" w:after="283"/>
              <w:jc w:val="center"/>
              <w:rPr>
                <w:rFonts w:ascii="Arial" w:hAnsi="Arial"/>
                <w:b/>
                <w:color w:val="FFFFFF"/>
              </w:rPr>
            </w:pPr>
            <w:r>
              <w:rPr>
                <w:rFonts w:ascii="Arial" w:hAnsi="Arial"/>
                <w:b/>
                <w:color w:val="FFFFFF"/>
              </w:rPr>
              <w:t>2020</w:t>
            </w:r>
          </w:p>
        </w:tc>
        <w:tc>
          <w:tcPr>
            <w:tcW w:w="592" w:type="dxa"/>
            <w:tcBorders>
              <w:bottom w:val="single" w:sz="8" w:space="0" w:color="B94831"/>
            </w:tcBorders>
            <w:shd w:fill="262626" w:val="clear"/>
            <w:tcMar>
              <w:bottom w:w="28" w:type="dxa"/>
            </w:tcMar>
            <w:vAlign w:val="bottom"/>
          </w:tcPr>
          <w:p>
            <w:pPr>
              <w:pStyle w:val="TableContents"/>
              <w:spacing w:before="0" w:after="283"/>
              <w:rPr>
                <w:color w:val="FFFFFF"/>
              </w:rPr>
            </w:pPr>
            <w:r>
              <w:rPr>
                <w:color w:val="FFFFFF"/>
              </w:rPr>
              <w:t> </w:t>
            </w:r>
          </w:p>
        </w:tc>
      </w:tr>
      <w:tr>
        <w:trPr/>
        <w:tc>
          <w:tcPr>
            <w:tcW w:w="5099" w:type="dxa"/>
            <w:tcBorders>
              <w:bottom w:val="single" w:sz="2" w:space="0" w:color="AFAFAF"/>
            </w:tcBorders>
            <w:shd w:fill="auto" w:val="clear"/>
            <w:tcMar>
              <w:bottom w:w="28" w:type="dxa"/>
            </w:tcMar>
          </w:tcPr>
          <w:p>
            <w:pPr>
              <w:pStyle w:val="TableContents"/>
              <w:spacing w:before="0" w:after="283"/>
              <w:rPr/>
            </w:pPr>
            <w:r>
              <w:rPr>
                <w:rFonts w:ascii="Arial" w:hAnsi="Arial"/>
                <w:b/>
              </w:rPr>
              <w:t>Share usage </w:t>
            </w:r>
            <w:r>
              <w:rPr/>
              <w:t xml:space="preserve"> the total number of common shares issued under the ESPP in the applicable year, divided by the total weighted average of common shares outstanding during the year</w:t>
            </w:r>
          </w:p>
        </w:tc>
        <w:tc>
          <w:tcPr>
            <w:tcW w:w="39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0.07</w:t>
            </w:r>
          </w:p>
        </w:tc>
        <w:tc>
          <w:tcPr>
            <w:tcW w:w="446"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0.07</w:t>
            </w:r>
          </w:p>
        </w:tc>
        <w:tc>
          <w:tcPr>
            <w:tcW w:w="58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0.08</w:t>
            </w:r>
          </w:p>
        </w:tc>
        <w:tc>
          <w:tcPr>
            <w:tcW w:w="592"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099" w:type="dxa"/>
            <w:tcBorders>
              <w:bottom w:val="single" w:sz="2" w:space="0" w:color="AFAFAF"/>
            </w:tcBorders>
            <w:shd w:fill="auto" w:val="clear"/>
            <w:tcMar>
              <w:bottom w:w="28" w:type="dxa"/>
            </w:tcMar>
          </w:tcPr>
          <w:p>
            <w:pPr>
              <w:pStyle w:val="TableContents"/>
              <w:spacing w:before="0" w:after="283"/>
              <w:rPr/>
            </w:pPr>
            <w:r>
              <w:rPr>
                <w:rFonts w:ascii="Arial" w:hAnsi="Arial"/>
                <w:b/>
              </w:rPr>
              <w:t>Burn rate </w:t>
            </w:r>
            <w:r>
              <w:rPr/>
              <w:t xml:space="preserve"> the total number of common shares granted under the ESPP in the applicable year, divided by the total weighted average of common shares outstanding during the year</w:t>
            </w:r>
          </w:p>
        </w:tc>
        <w:tc>
          <w:tcPr>
            <w:tcW w:w="39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0.07</w:t>
            </w:r>
          </w:p>
        </w:tc>
        <w:tc>
          <w:tcPr>
            <w:tcW w:w="446"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0.07</w:t>
            </w:r>
          </w:p>
        </w:tc>
        <w:tc>
          <w:tcPr>
            <w:tcW w:w="58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0.08</w:t>
            </w:r>
          </w:p>
        </w:tc>
        <w:tc>
          <w:tcPr>
            <w:tcW w:w="592"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099" w:type="dxa"/>
            <w:tcBorders>
              <w:bottom w:val="single" w:sz="2" w:space="0" w:color="AFAFAF"/>
            </w:tcBorders>
            <w:shd w:fill="auto" w:val="clear"/>
            <w:tcMar>
              <w:bottom w:w="28" w:type="dxa"/>
            </w:tcMar>
          </w:tcPr>
          <w:p>
            <w:pPr>
              <w:pStyle w:val="TableContents"/>
              <w:spacing w:before="0" w:after="283"/>
              <w:rPr/>
            </w:pPr>
            <w:r>
              <w:rPr>
                <w:rFonts w:ascii="Arial" w:hAnsi="Arial"/>
                <w:b/>
              </w:rPr>
              <w:t>Potential Dilution </w:t>
            </w:r>
            <w:r>
              <w:rPr/>
              <w:t xml:space="preserve"> the total number of all common shares available for issue under the ESPP, divided by the total weighted average of common shares outstanding during the year</w:t>
            </w:r>
          </w:p>
        </w:tc>
        <w:tc>
          <w:tcPr>
            <w:tcW w:w="394" w:type="dxa"/>
            <w:tcBorders>
              <w:left w:val="single" w:sz="2" w:space="0" w:color="AFAFAF"/>
              <w:bottom w:val="single" w:sz="2" w:space="0" w:color="AFAFAF"/>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0.95</w:t>
            </w:r>
          </w:p>
        </w:tc>
        <w:tc>
          <w:tcPr>
            <w:tcW w:w="446"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0.99</w:t>
            </w:r>
          </w:p>
        </w:tc>
        <w:tc>
          <w:tcPr>
            <w:tcW w:w="588" w:type="dxa"/>
            <w:tcBorders>
              <w:bottom w:val="single" w:sz="2" w:space="0" w:color="AFAFAF"/>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2" w:space="0" w:color="AFAFAF"/>
            </w:tcBorders>
            <w:shd w:fill="auto" w:val="clear"/>
            <w:tcMar>
              <w:bottom w:w="28" w:type="dxa"/>
            </w:tcMar>
            <w:vAlign w:val="bottom"/>
          </w:tcPr>
          <w:p>
            <w:pPr>
              <w:pStyle w:val="TableContents"/>
              <w:spacing w:before="0" w:after="283"/>
              <w:rPr/>
            </w:pPr>
            <w:r>
              <w:rPr/>
              <w:t>    </w:t>
            </w:r>
          </w:p>
        </w:tc>
        <w:tc>
          <w:tcPr>
            <w:tcW w:w="60" w:type="dxa"/>
            <w:tcBorders>
              <w:bottom w:val="single" w:sz="2" w:space="0" w:color="AFAFAF"/>
            </w:tcBorders>
            <w:shd w:fill="auto" w:val="clear"/>
            <w:tcMar>
              <w:bottom w:w="28" w:type="dxa"/>
            </w:tcMar>
            <w:vAlign w:val="bottom"/>
          </w:tcPr>
          <w:p>
            <w:pPr>
              <w:pStyle w:val="TableContents"/>
              <w:spacing w:before="0" w:after="283"/>
              <w:rPr/>
            </w:pPr>
            <w:r>
              <w:rPr/>
              <w:t> </w:t>
            </w:r>
          </w:p>
        </w:tc>
        <w:tc>
          <w:tcPr>
            <w:tcW w:w="564" w:type="dxa"/>
            <w:tcBorders>
              <w:bottom w:val="single" w:sz="2" w:space="0" w:color="AFAFAF"/>
            </w:tcBorders>
            <w:shd w:fill="auto" w:val="clear"/>
            <w:tcMar>
              <w:bottom w:w="28" w:type="dxa"/>
            </w:tcMar>
            <w:vAlign w:val="bottom"/>
          </w:tcPr>
          <w:p>
            <w:pPr>
              <w:pStyle w:val="TableContents"/>
              <w:spacing w:before="0" w:after="283"/>
              <w:jc w:val="right"/>
              <w:rPr/>
            </w:pPr>
            <w:r>
              <w:rPr/>
              <w:t>1.05</w:t>
            </w:r>
          </w:p>
        </w:tc>
        <w:tc>
          <w:tcPr>
            <w:tcW w:w="592" w:type="dxa"/>
            <w:tcBorders>
              <w:bottom w:val="single" w:sz="2" w:space="0" w:color="AFAFAF"/>
            </w:tcBorders>
            <w:shd w:fill="auto" w:val="clear"/>
            <w:tcMar>
              <w:bottom w:w="28" w:type="dxa"/>
            </w:tcMar>
            <w:vAlign w:val="bottom"/>
          </w:tcPr>
          <w:p>
            <w:pPr>
              <w:pStyle w:val="TableContents"/>
              <w:spacing w:before="0" w:after="283"/>
              <w:rPr/>
            </w:pPr>
            <w:r>
              <w:rPr/>
              <w:t>%</w:t>
            </w:r>
          </w:p>
        </w:tc>
      </w:tr>
      <w:tr>
        <w:trPr/>
        <w:tc>
          <w:tcPr>
            <w:tcW w:w="5099" w:type="dxa"/>
            <w:tcBorders>
              <w:bottom w:val="single" w:sz="8" w:space="0" w:color="B94831"/>
            </w:tcBorders>
            <w:shd w:fill="auto" w:val="clear"/>
            <w:tcMar>
              <w:bottom w:w="28" w:type="dxa"/>
            </w:tcMar>
          </w:tcPr>
          <w:p>
            <w:pPr>
              <w:pStyle w:val="TableContents"/>
              <w:spacing w:before="0" w:after="283"/>
              <w:rPr/>
            </w:pPr>
            <w:r>
              <w:rPr>
                <w:rFonts w:ascii="Arial" w:hAnsi="Arial"/>
                <w:b/>
              </w:rPr>
              <w:t>Full Dilution </w:t>
            </w:r>
            <w:r>
              <w:rPr/>
              <w:t xml:space="preserve"> the total number of all common shares available for issue under the ESPP plus all common shares outstanding under the ESPP, divided by the weighted average of common shares outstanding during the year plus all common shares outstanding and available for issue under the ESPP</w:t>
            </w:r>
          </w:p>
        </w:tc>
        <w:tc>
          <w:tcPr>
            <w:tcW w:w="394" w:type="dxa"/>
            <w:tcBorders>
              <w:left w:val="single" w:sz="2" w:space="0" w:color="AFAFAF"/>
              <w:bottom w:val="single" w:sz="8" w:space="0" w:color="B94831"/>
            </w:tcBorders>
            <w:shd w:fill="auto" w:val="clear"/>
            <w:tcMar>
              <w:left w:w="28" w:type="dxa"/>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0.94</w:t>
            </w:r>
          </w:p>
        </w:tc>
        <w:tc>
          <w:tcPr>
            <w:tcW w:w="446"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0.98</w:t>
            </w:r>
          </w:p>
        </w:tc>
        <w:tc>
          <w:tcPr>
            <w:tcW w:w="588" w:type="dxa"/>
            <w:tcBorders>
              <w:bottom w:val="single" w:sz="8" w:space="0" w:color="B94831"/>
              <w:right w:val="single" w:sz="2" w:space="0" w:color="AFAFAF"/>
            </w:tcBorders>
            <w:shd w:fill="auto" w:val="clear"/>
            <w:tcMar>
              <w:bottom w:w="28" w:type="dxa"/>
              <w:right w:w="28" w:type="dxa"/>
            </w:tcMar>
            <w:vAlign w:val="bottom"/>
          </w:tcPr>
          <w:p>
            <w:pPr>
              <w:pStyle w:val="TableContents"/>
              <w:spacing w:before="0" w:after="283"/>
              <w:rPr/>
            </w:pPr>
            <w:r>
              <w:rPr/>
              <w:t>%</w:t>
            </w:r>
          </w:p>
        </w:tc>
        <w:tc>
          <w:tcPr>
            <w:tcW w:w="607" w:type="dxa"/>
            <w:tcBorders>
              <w:bottom w:val="single" w:sz="8" w:space="0" w:color="B94831"/>
            </w:tcBorders>
            <w:shd w:fill="auto" w:val="clear"/>
            <w:tcMar>
              <w:bottom w:w="28" w:type="dxa"/>
            </w:tcMar>
            <w:vAlign w:val="bottom"/>
          </w:tcPr>
          <w:p>
            <w:pPr>
              <w:pStyle w:val="TableContents"/>
              <w:spacing w:before="0" w:after="283"/>
              <w:rPr/>
            </w:pPr>
            <w:r>
              <w:rPr/>
              <w:t>    </w:t>
            </w:r>
          </w:p>
        </w:tc>
        <w:tc>
          <w:tcPr>
            <w:tcW w:w="60" w:type="dxa"/>
            <w:tcBorders>
              <w:bottom w:val="single" w:sz="8" w:space="0" w:color="B94831"/>
            </w:tcBorders>
            <w:shd w:fill="auto" w:val="clear"/>
            <w:tcMar>
              <w:bottom w:w="28" w:type="dxa"/>
            </w:tcMar>
            <w:vAlign w:val="bottom"/>
          </w:tcPr>
          <w:p>
            <w:pPr>
              <w:pStyle w:val="TableContents"/>
              <w:spacing w:before="0" w:after="283"/>
              <w:rPr/>
            </w:pPr>
            <w:r>
              <w:rPr/>
              <w:t> </w:t>
            </w:r>
          </w:p>
        </w:tc>
        <w:tc>
          <w:tcPr>
            <w:tcW w:w="564" w:type="dxa"/>
            <w:tcBorders>
              <w:bottom w:val="single" w:sz="8" w:space="0" w:color="B94831"/>
            </w:tcBorders>
            <w:shd w:fill="auto" w:val="clear"/>
            <w:tcMar>
              <w:bottom w:w="28" w:type="dxa"/>
            </w:tcMar>
            <w:vAlign w:val="bottom"/>
          </w:tcPr>
          <w:p>
            <w:pPr>
              <w:pStyle w:val="TableContents"/>
              <w:spacing w:before="0" w:after="283"/>
              <w:jc w:val="right"/>
              <w:rPr/>
            </w:pPr>
            <w:r>
              <w:rPr/>
              <w:t>1.04</w:t>
            </w:r>
          </w:p>
        </w:tc>
        <w:tc>
          <w:tcPr>
            <w:tcW w:w="592" w:type="dxa"/>
            <w:tcBorders>
              <w:bottom w:val="single" w:sz="8" w:space="0" w:color="B94831"/>
            </w:tcBorders>
            <w:shd w:fill="auto" w:val="clear"/>
            <w:tcMar>
              <w:bottom w:w="28" w:type="dxa"/>
            </w:tcMar>
            <w:vAlign w:val="bottom"/>
          </w:tcPr>
          <w:p>
            <w:pPr>
              <w:pStyle w:val="TableContents"/>
              <w:spacing w:before="0" w:after="283"/>
              <w:rPr/>
            </w:pPr>
            <w:r>
              <w:rPr/>
              <w:t>%</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A-6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5" w:name="tx494196_63"/>
      <w:bookmarkEnd w:id="105"/>
      <w:r>
        <w:rPr>
          <w:rFonts w:ascii="arial" w:hAnsi="arial"/>
          <w:color w:val="B94831"/>
          <w:sz w:val="52"/>
        </w:rPr>
        <w:t xml:space="preserve">Appendix B  Special Resolution </w:t>
      </w:r>
    </w:p>
    <w:p>
      <w:pPr>
        <w:pStyle w:val="TextBody"/>
        <w:spacing w:before="240" w:after="0"/>
        <w:jc w:val="center"/>
        <w:rPr>
          <w:rFonts w:ascii="Arial" w:hAnsi="Arial"/>
          <w:b/>
          <w:sz w:val="20"/>
        </w:rPr>
      </w:pPr>
      <w:r>
        <w:rPr>
          <w:rFonts w:ascii="Arial" w:hAnsi="Arial"/>
          <w:b/>
          <w:sz w:val="20"/>
        </w:rPr>
        <w:t xml:space="preserve">THOMSON REUTERS CORPORATION </w:t>
      </w:r>
    </w:p>
    <w:p>
      <w:pPr>
        <w:pStyle w:val="TextBody"/>
        <w:spacing w:before="120" w:after="0"/>
        <w:jc w:val="center"/>
        <w:rPr>
          <w:rFonts w:ascii="Arial" w:hAnsi="Arial"/>
          <w:b/>
          <w:sz w:val="20"/>
        </w:rPr>
      </w:pPr>
      <w:r>
        <w:rPr>
          <w:rFonts w:ascii="Arial" w:hAnsi="Arial"/>
          <w:b/>
          <w:sz w:val="20"/>
        </w:rPr>
        <w:t xml:space="preserve">(the Corporation) </w:t>
      </w:r>
    </w:p>
    <w:p>
      <w:pPr>
        <w:pStyle w:val="TextBody"/>
        <w:spacing w:before="240" w:after="0"/>
        <w:jc w:val="left"/>
        <w:rPr>
          <w:rFonts w:ascii="Arial" w:hAnsi="Arial"/>
          <w:b/>
          <w:sz w:val="20"/>
        </w:rPr>
      </w:pPr>
      <w:r>
        <w:rPr>
          <w:rFonts w:ascii="Arial" w:hAnsi="Arial"/>
          <w:b/>
          <w:sz w:val="20"/>
        </w:rPr>
        <w:t xml:space="preserve">BE IT RESOLVED AS A SPECIAL RESOLUTION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20"/>
              </w:rPr>
            </w:pPr>
            <w:r>
              <w:rPr>
                <w:rFonts w:ascii="arial" w:hAnsi="arial"/>
                <w:sz w:val="20"/>
              </w:rPr>
              <w:t>the arrangement (the </w:t>
            </w:r>
            <w:r>
              <w:rPr>
                <w:rFonts w:ascii="Arial" w:hAnsi="Arial"/>
                <w:b/>
                <w:sz w:val="20"/>
              </w:rPr>
              <w:t>Arrangement</w:t>
            </w:r>
            <w:r>
              <w:rPr>
                <w:rFonts w:ascii="arial" w:hAnsi="arial"/>
                <w:sz w:val="20"/>
              </w:rPr>
              <w:t>) pursuant to section 182 of the Business Corporations Act (Ontario) (the </w:t>
            </w:r>
            <w:r>
              <w:rPr>
                <w:rFonts w:ascii="Arial" w:hAnsi="Arial"/>
                <w:b/>
                <w:sz w:val="20"/>
              </w:rPr>
              <w:t>Act</w:t>
            </w:r>
            <w:r>
              <w:rPr>
                <w:rFonts w:ascii="arial" w:hAnsi="arial"/>
                <w:sz w:val="20"/>
              </w:rPr>
              <w:t xml:space="preserve">), as more particularly described and set forth in the accompanying management proxy circular (as the Arrangement may be, or have been, modified or amended), is hereby authorized, approved and adopted;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20"/>
              </w:rPr>
            </w:pPr>
            <w:r>
              <w:rPr>
                <w:rFonts w:ascii="arial" w:hAnsi="arial"/>
                <w:sz w:val="20"/>
              </w:rPr>
              <w:t>the plan of arrangement involving the Corporation and implementing the Arrangement (the </w:t>
            </w:r>
            <w:r>
              <w:rPr>
                <w:rFonts w:ascii="Arial" w:hAnsi="Arial"/>
                <w:b/>
                <w:sz w:val="20"/>
              </w:rPr>
              <w:t>Plan of Arrangement</w:t>
            </w:r>
            <w:r>
              <w:rPr>
                <w:rFonts w:ascii="arial" w:hAnsi="arial"/>
                <w:sz w:val="20"/>
              </w:rPr>
              <w:t xml:space="preserve">), the full text of which is set out as Appendix C to the accompanying management proxy circular (as the Plan of Arrangement may be, or may have been, modified or amended), is hereby authorized, approved and adopted;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arial" w:hAnsi="arial"/>
                <w:sz w:val="20"/>
              </w:rPr>
            </w:pPr>
            <w:r>
              <w:rPr>
                <w:rFonts w:ascii="arial" w:hAnsi="arial"/>
                <w:sz w:val="20"/>
              </w:rPr>
              <w:t>the Corporation is hereby authorized and approved to apply for a final order from the Ontario Superior Court of Justice (Commercial List) (the </w:t>
            </w:r>
            <w:r>
              <w:rPr>
                <w:rFonts w:ascii="Arial" w:hAnsi="Arial"/>
                <w:b/>
                <w:sz w:val="20"/>
              </w:rPr>
              <w:t>Court</w:t>
            </w:r>
            <w:r>
              <w:rPr>
                <w:rFonts w:ascii="arial" w:hAnsi="arial"/>
                <w:sz w:val="20"/>
              </w:rPr>
              <w:t xml:space="preserve">) to approve the Arrangement on the terms set forth in the Plan of Arrangement;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notwithstanding that this resolution has been passed (and the Arrangement adopted) by the common shareholders of the Corporation or that the Arrangement has been approved by the Court, the board of directors of the Corporation is hereby authorized and empowered in its sole discretion without further notice to, or the approval of, the common shareholders of the Corporation (a) to amend the Plan of Arrangement, or (b) to not proceed with the Arrangement;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any director or officer of the Corporation is hereby authorized and directed for and on behalf of the Corporation to execute and deliver articles of arrangement and such other documents as are necessary or desirable to the Director under the Act to implement the Arrangement;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any director or officer of the Corporation is hereby authorized and directed for and on behalf of the Corporation to execute or cause to be executed and to deliver or cause to be delivered all such other documents, agreements and instruments and to perform or cause to be performed all such other acts and things as in such persons opinion may be necessary or desirable to give full effect to the foregoing resolutions and the matters authorized thereby, such determination to be conclusively evidenced by the execution and delivery of such document, agreement or instrument or the doing of any such act or thing.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B-1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6" w:name="tx494196_64"/>
      <w:bookmarkEnd w:id="106"/>
      <w:r>
        <w:rPr>
          <w:rFonts w:ascii="arial" w:hAnsi="arial"/>
          <w:color w:val="B94831"/>
          <w:sz w:val="52"/>
        </w:rPr>
        <w:t xml:space="preserve">Appendix C  Plan of Arrangement </w:t>
      </w:r>
    </w:p>
    <w:p>
      <w:pPr>
        <w:pStyle w:val="TextBody"/>
        <w:spacing w:before="240" w:after="0"/>
        <w:jc w:val="center"/>
        <w:rPr>
          <w:rFonts w:ascii="Arial" w:hAnsi="Arial"/>
          <w:b/>
          <w:sz w:val="20"/>
        </w:rPr>
      </w:pPr>
      <w:r>
        <w:rPr>
          <w:rFonts w:ascii="Arial" w:hAnsi="Arial"/>
          <w:b/>
          <w:sz w:val="20"/>
        </w:rPr>
        <w:t xml:space="preserve">UNDER SECTION 182 OF THE </w:t>
      </w:r>
    </w:p>
    <w:p>
      <w:pPr>
        <w:pStyle w:val="TextBody"/>
        <w:spacing w:before="120" w:after="0"/>
        <w:jc w:val="center"/>
        <w:rPr>
          <w:rFonts w:ascii="Arial" w:hAnsi="Arial"/>
          <w:b/>
          <w:sz w:val="20"/>
        </w:rPr>
      </w:pPr>
      <w:r>
        <w:rPr>
          <w:rFonts w:ascii="Arial" w:hAnsi="Arial"/>
          <w:b/>
          <w:sz w:val="20"/>
        </w:rPr>
        <w:t xml:space="preserve">BUSINESS CORPORATIONS ACT (ONTARIO) </w:t>
      </w:r>
    </w:p>
    <w:p>
      <w:pPr>
        <w:pStyle w:val="TextBody"/>
        <w:spacing w:before="120" w:after="0"/>
        <w:jc w:val="center"/>
        <w:rPr>
          <w:rFonts w:ascii="Arial" w:hAnsi="Arial"/>
          <w:b/>
          <w:sz w:val="20"/>
        </w:rPr>
      </w:pPr>
      <w:r>
        <w:rPr>
          <w:rFonts w:ascii="Arial" w:hAnsi="Arial"/>
          <w:b/>
          <w:sz w:val="20"/>
        </w:rPr>
        <w:t xml:space="preserve">ARTICLE 1 </w:t>
      </w:r>
    </w:p>
    <w:p>
      <w:pPr>
        <w:pStyle w:val="TextBody"/>
        <w:spacing w:before="120" w:after="0"/>
        <w:jc w:val="center"/>
        <w:rPr>
          <w:rFonts w:ascii="Arial" w:hAnsi="Arial"/>
          <w:b/>
          <w:sz w:val="20"/>
        </w:rPr>
      </w:pPr>
      <w:r>
        <w:rPr>
          <w:rFonts w:ascii="Arial" w:hAnsi="Arial"/>
          <w:b/>
          <w:sz w:val="20"/>
        </w:rPr>
        <w:t xml:space="preserve">INTERPRETATION </w:t>
      </w:r>
    </w:p>
    <w:p>
      <w:pPr>
        <w:pStyle w:val="TextBody"/>
        <w:spacing w:before="240" w:after="0"/>
        <w:jc w:val="left"/>
        <w:rPr>
          <w:rFonts w:ascii="arial" w:hAnsi="arial"/>
          <w:sz w:val="20"/>
        </w:rPr>
      </w:pPr>
      <w:r>
        <w:rPr>
          <w:rFonts w:ascii="arial" w:hAnsi="arial"/>
          <w:sz w:val="20"/>
        </w:rPr>
        <w:t xml:space="preserve">1.1 Definitions </w:t>
      </w:r>
    </w:p>
    <w:p>
      <w:pPr>
        <w:pStyle w:val="TextBody"/>
        <w:spacing w:before="120" w:after="0"/>
        <w:jc w:val="left"/>
        <w:rPr>
          <w:rFonts w:ascii="arial" w:hAnsi="arial"/>
          <w:sz w:val="20"/>
        </w:rPr>
      </w:pPr>
      <w:r>
        <w:rPr>
          <w:rFonts w:ascii="arial" w:hAnsi="arial"/>
          <w:sz w:val="20"/>
        </w:rPr>
        <w:t xml:space="preserve">In this Plan of Arrangement, the following terms have the following meanings: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Act means the Business Corporations Act (Ontario), R.S.O. 1990, c. B.16, as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Aggregate Cash Distribution Amount means the Cash Distribution Per Share multiplied by the number of Participating Shares issued and outstanding immediately prior to the Effective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Arrangement means the arrangement pursuant to the provisions of Section 182 of the Act on the terms and subject to the conditions set out in this Plan of Arrangement as supplemented, modified or amended;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Business Day means any day, other than a Saturday, a Sunday, a statutory holiday in Toronto, Ontario, Canada, or a United States federal holiday;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(e)</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Cash Distribution Per Share means US$4.67;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(f)</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Corporation means Thomson Reuters 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(g)</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Court means the Ontario Superior Court of Justice (Commercial List);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(h)</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Depositary means Computershare Investor Services Inc. at its offices set out in the Letter of Transmittal;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DRS means the direct registration system on the records of the Corporations transfer agent, Computershare Trust Company of Canada;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(j)</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Effective Date means the date the Arrangement is effective under the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(k)</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Effective Time means 3:01 a.m. (Eastern Daylight Time) on the Effective Date, or such other time on the Effective Date as may be determined by the 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(l)</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Interim Order means the interim order of the Court dated April 21, 2023 under Subsection 182(5) of the Act containing declarations and directions with respect to the Arrangement, as such order may be affirmed, amended or modified by any court of competent jurisdiction;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(m)</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Letter of Transmittal means the letter of transmittal for use by Shareholders, in the form accompanying the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(n)</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Meeting means the annual and special meeting of Shareholders to be held on June 14, 2023 to consider, among other things, the Arrangement and related matters, and any adjournment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(o)</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New Common Shares has the meaning ascribed thereto in Section 2.2(a);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(p)</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Opt-Out Election and Certification Form means the opt-out election and certification form for use by Opting Out Shareholders, in the form accompanying the Circular;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(q)</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Opt-Out Deadline means 5:00 p.m. (Eastern Daylight Time) on the date that is one Business Day prior to the date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(r)</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Opt-Out Right has the meaning ascribed thereto in Section 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(s)</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Opting Out Shareholder means a Shareholder that has duly exercised its Opt-Out Right;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Participating Shareholder means a Shareholder other than an Opting Out Shareholder;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(u)</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Participating Shares means the Shares held by Participating 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(v)</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Person means and includes any individual, sole proprietorship, partnership, joint venture, unincorporated association, unincorporated syndicate, unincorporated organization, trust, body corporate, a trustee, executor, administrator or other legal representative and any governmental authority or any agency or instrumentality thereof;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C-1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Plan of Arrangement means this plan of arrangement, as amended or supplemented from time to time in accordance with the terms 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(x)</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PUC means paid-up capital as defined in subsection 89(1) of the Tax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(y)</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Share Consolidation Ratio means </w:t>
            </w:r>
          </w:p>
        </w:tc>
      </w:tr>
    </w:tbl>
    <w:p>
      <w:pPr>
        <w:pStyle w:val="TextBody"/>
        <w:spacing w:before="120" w:after="0"/>
        <w:jc w:val="center"/>
        <w:rPr>
          <w:rFonts w:ascii="arial" w:hAnsi="arial"/>
          <w:sz w:val="20"/>
        </w:rPr>
      </w:pPr>
      <w:r>
        <w:rPr>
          <w:rFonts w:ascii="arial" w:hAnsi="arial"/>
          <w:sz w:val="20"/>
          <w:u w:val="single"/>
        </w:rPr>
        <w:t>US$X  Cash Distribution Per Share</w:t>
      </w:r>
      <w:r>
        <w:rPr>
          <w:rFonts w:ascii="arial" w:hAnsi="arial"/>
          <w:sz w:val="20"/>
        </w:rPr>
        <w:t xml:space="preserve"> </w:t>
      </w:r>
    </w:p>
    <w:p>
      <w:pPr>
        <w:pStyle w:val="TextBody"/>
        <w:spacing w:before="40" w:after="0"/>
        <w:jc w:val="center"/>
        <w:rPr>
          <w:rFonts w:ascii="arial" w:hAnsi="arial"/>
          <w:sz w:val="20"/>
        </w:rPr>
      </w:pPr>
      <w:r>
        <w:rPr>
          <w:rFonts w:ascii="arial" w:hAnsi="arial"/>
          <w:sz w:val="20"/>
        </w:rPr>
        <w:t xml:space="preserve">US$X </w:t>
      </w:r>
    </w:p>
    <w:p>
      <w:pPr>
        <w:pStyle w:val="TextBody"/>
        <w:spacing w:before="120" w:after="0"/>
        <w:jc w:val="left"/>
        <w:rPr>
          <w:rFonts w:ascii="arial" w:hAnsi="arial"/>
          <w:sz w:val="20"/>
        </w:rPr>
      </w:pPr>
      <w:r>
        <w:rPr>
          <w:rFonts w:ascii="arial" w:hAnsi="arial"/>
          <w:sz w:val="20"/>
        </w:rPr>
        <w:t xml:space="preserve">X = the volume weighted average trading price of Shares on the New York Stock Exchange for the five trading days on which such Shares trade on the New York Stock Exchange immediately preceding the Effective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(z)</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Shareholders means the holders of Shares; </w:t>
            </w:r>
          </w:p>
        </w:tc>
      </w:tr>
    </w:tbl>
    <w:p>
      <w:pPr>
        <w:pStyle w:val="TextBody"/>
        <w:spacing w:before="120" w:after="0"/>
        <w:jc w:val="left"/>
        <w:rPr>
          <w:rFonts w:ascii="arial" w:hAnsi="arial"/>
          <w:sz w:val="20"/>
        </w:rPr>
      </w:pPr>
      <w:r>
        <w:rPr>
          <w:rFonts w:ascii="arial" w:hAnsi="arial"/>
          <w:sz w:val="20"/>
        </w:rPr>
        <w:t xml:space="preserve">(aa) Shares means the common shares in the capital of the Corporation; and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Tax Act means the Income Tax Act (Canada), R.S.C. 1985, c. 1 (5th Supp), as amended. </w:t>
            </w:r>
          </w:p>
        </w:tc>
      </w:tr>
    </w:tbl>
    <w:p>
      <w:pPr>
        <w:pStyle w:val="TextBody"/>
        <w:spacing w:before="120" w:after="0"/>
        <w:jc w:val="left"/>
        <w:rPr>
          <w:rFonts w:ascii="arial" w:hAnsi="arial"/>
          <w:sz w:val="20"/>
        </w:rPr>
      </w:pPr>
      <w:r>
        <w:rPr>
          <w:rFonts w:ascii="arial" w:hAnsi="arial"/>
          <w:sz w:val="20"/>
        </w:rPr>
        <w:t xml:space="preserve">1.2 Interpretation Not Affected by Headings, etc. </w:t>
      </w:r>
    </w:p>
    <w:p>
      <w:pPr>
        <w:pStyle w:val="TextBody"/>
        <w:spacing w:before="40" w:after="0"/>
        <w:jc w:val="left"/>
        <w:rPr>
          <w:rFonts w:ascii="arial" w:hAnsi="arial"/>
          <w:sz w:val="20"/>
        </w:rPr>
      </w:pPr>
      <w:r>
        <w:rPr>
          <w:rFonts w:ascii="arial" w:hAnsi="arial"/>
          <w:sz w:val="20"/>
        </w:rPr>
        <w:t xml:space="preserve">The division of this Plan of Arrangement into Articles and Sections and the insertion of headings are for convenience of reference only and shall not affect the construction or interpretation of this Plan of Arrangement. </w:t>
      </w:r>
    </w:p>
    <w:p>
      <w:pPr>
        <w:pStyle w:val="TextBody"/>
        <w:spacing w:before="120" w:after="0"/>
        <w:jc w:val="left"/>
        <w:rPr>
          <w:rFonts w:ascii="arial" w:hAnsi="arial"/>
          <w:sz w:val="20"/>
        </w:rPr>
      </w:pPr>
      <w:r>
        <w:rPr>
          <w:rFonts w:ascii="arial" w:hAnsi="arial"/>
          <w:sz w:val="20"/>
        </w:rPr>
        <w:t xml:space="preserve">1.3 Article References </w:t>
      </w:r>
    </w:p>
    <w:p>
      <w:pPr>
        <w:pStyle w:val="TextBody"/>
        <w:spacing w:before="40" w:after="0"/>
        <w:jc w:val="left"/>
        <w:rPr>
          <w:rFonts w:ascii="arial" w:hAnsi="arial"/>
          <w:sz w:val="20"/>
        </w:rPr>
      </w:pPr>
      <w:r>
        <w:rPr>
          <w:rFonts w:ascii="arial" w:hAnsi="arial"/>
          <w:sz w:val="20"/>
        </w:rPr>
        <w:t xml:space="preserve">Unless reference is specifically made to some other document or instrument, all references herein to Articles and Sections are to Articles and Sections of this Plan of Arrangement. </w:t>
      </w:r>
    </w:p>
    <w:p>
      <w:pPr>
        <w:pStyle w:val="TextBody"/>
        <w:spacing w:before="120" w:after="0"/>
        <w:jc w:val="left"/>
        <w:rPr>
          <w:rFonts w:ascii="arial" w:hAnsi="arial"/>
          <w:sz w:val="20"/>
        </w:rPr>
      </w:pPr>
      <w:r>
        <w:rPr>
          <w:rFonts w:ascii="arial" w:hAnsi="arial"/>
          <w:sz w:val="20"/>
        </w:rPr>
        <w:t xml:space="preserve">1.4 Number and Gender </w:t>
      </w:r>
    </w:p>
    <w:p>
      <w:pPr>
        <w:pStyle w:val="TextBody"/>
        <w:spacing w:before="40" w:after="0"/>
        <w:jc w:val="left"/>
        <w:rPr>
          <w:rFonts w:ascii="arial" w:hAnsi="arial"/>
          <w:sz w:val="20"/>
        </w:rPr>
      </w:pPr>
      <w:r>
        <w:rPr>
          <w:rFonts w:ascii="arial" w:hAnsi="arial"/>
          <w:sz w:val="20"/>
        </w:rPr>
        <w:t xml:space="preserve">Unless the context otherwise requires, words importing the singular shall include the plural and vice versa; and words importing any gender shall include all genders. </w:t>
      </w:r>
    </w:p>
    <w:p>
      <w:pPr>
        <w:pStyle w:val="TextBody"/>
        <w:spacing w:before="120" w:after="0"/>
        <w:jc w:val="left"/>
        <w:rPr>
          <w:rFonts w:ascii="arial" w:hAnsi="arial"/>
          <w:sz w:val="20"/>
        </w:rPr>
      </w:pPr>
      <w:r>
        <w:rPr>
          <w:rFonts w:ascii="arial" w:hAnsi="arial"/>
          <w:sz w:val="20"/>
        </w:rPr>
        <w:t xml:space="preserve">1.5 Date for Any Action </w:t>
      </w:r>
    </w:p>
    <w:p>
      <w:pPr>
        <w:pStyle w:val="TextBody"/>
        <w:spacing w:before="40" w:after="0"/>
        <w:jc w:val="left"/>
        <w:rPr>
          <w:rFonts w:ascii="arial" w:hAnsi="arial"/>
          <w:sz w:val="20"/>
        </w:rPr>
      </w:pPr>
      <w:r>
        <w:rPr>
          <w:rFonts w:ascii="arial" w:hAnsi="arial"/>
          <w:sz w:val="20"/>
        </w:rPr>
        <w:t xml:space="preserve">In the event that the date on which any action is required to be taken pursuant to this Plan of Arrangement by the Corporation is not a Business Day in the place where the action is required to be taken, such action shall be required to be taken on the next succeeding day which is a Business Day in such place. </w:t>
      </w:r>
    </w:p>
    <w:p>
      <w:pPr>
        <w:pStyle w:val="TextBody"/>
        <w:spacing w:before="120" w:after="0"/>
        <w:jc w:val="left"/>
        <w:rPr>
          <w:rFonts w:ascii="arial" w:hAnsi="arial"/>
          <w:sz w:val="20"/>
        </w:rPr>
      </w:pPr>
      <w:r>
        <w:rPr>
          <w:rFonts w:ascii="arial" w:hAnsi="arial"/>
          <w:sz w:val="20"/>
        </w:rPr>
        <w:t xml:space="preserve">1.6 Statutory References </w:t>
      </w:r>
    </w:p>
    <w:p>
      <w:pPr>
        <w:pStyle w:val="TextBody"/>
        <w:spacing w:before="40" w:after="0"/>
        <w:jc w:val="left"/>
        <w:rPr>
          <w:rFonts w:ascii="arial" w:hAnsi="arial"/>
          <w:sz w:val="20"/>
        </w:rPr>
      </w:pPr>
      <w:r>
        <w:rPr>
          <w:rFonts w:ascii="arial" w:hAnsi="arial"/>
          <w:sz w:val="20"/>
        </w:rPr>
        <w:t xml:space="preserve">References in this Plan of Arrangement to any statute or section thereof shall include such statute as amended or substituted and any regulations promulgated thereunder from time to time in effect. </w:t>
      </w:r>
    </w:p>
    <w:p>
      <w:pPr>
        <w:pStyle w:val="TextBody"/>
        <w:spacing w:before="120" w:after="0"/>
        <w:jc w:val="left"/>
        <w:rPr>
          <w:rFonts w:ascii="arial" w:hAnsi="arial"/>
          <w:sz w:val="20"/>
        </w:rPr>
      </w:pPr>
      <w:r>
        <w:rPr>
          <w:rFonts w:ascii="arial" w:hAnsi="arial"/>
          <w:sz w:val="20"/>
        </w:rPr>
        <w:t xml:space="preserve">1.7 Currency </w:t>
      </w:r>
    </w:p>
    <w:p>
      <w:pPr>
        <w:pStyle w:val="TextBody"/>
        <w:spacing w:before="40" w:after="0"/>
        <w:jc w:val="left"/>
        <w:rPr>
          <w:rFonts w:ascii="arial" w:hAnsi="arial"/>
          <w:sz w:val="20"/>
        </w:rPr>
      </w:pPr>
      <w:r>
        <w:rPr>
          <w:rFonts w:ascii="arial" w:hAnsi="arial"/>
          <w:sz w:val="20"/>
        </w:rPr>
        <w:t xml:space="preserve">Unless otherwise indicated, references in this Plan of Arrangement to US$ or dollars are in U.S. dollars and references to C$ are to Canadian dollars. </w:t>
      </w:r>
    </w:p>
    <w:p>
      <w:pPr>
        <w:pStyle w:val="TextBody"/>
        <w:spacing w:before="120" w:after="0"/>
        <w:jc w:val="left"/>
        <w:rPr>
          <w:rFonts w:ascii="arial" w:hAnsi="arial"/>
          <w:sz w:val="20"/>
        </w:rPr>
      </w:pPr>
      <w:r>
        <w:rPr>
          <w:rFonts w:ascii="arial" w:hAnsi="arial"/>
          <w:sz w:val="20"/>
        </w:rPr>
        <w:t xml:space="preserve">1.8 Schedules </w:t>
      </w:r>
    </w:p>
    <w:p>
      <w:pPr>
        <w:pStyle w:val="TextBody"/>
        <w:spacing w:before="40" w:after="0"/>
        <w:jc w:val="left"/>
        <w:rPr>
          <w:rFonts w:ascii="arial" w:hAnsi="arial"/>
          <w:sz w:val="20"/>
        </w:rPr>
      </w:pPr>
      <w:r>
        <w:rPr>
          <w:rFonts w:ascii="arial" w:hAnsi="arial"/>
          <w:sz w:val="20"/>
        </w:rPr>
        <w:t xml:space="preserve">The following schedules to this Plan of Arrangement are incorporated by reference herein and form part of this Plan of Arrangement. </w:t>
      </w:r>
    </w:p>
    <w:p>
      <w:pPr>
        <w:pStyle w:val="TextBody"/>
        <w:spacing w:before="120" w:after="0"/>
        <w:jc w:val="left"/>
        <w:rPr>
          <w:rFonts w:ascii="arial" w:hAnsi="arial"/>
          <w:sz w:val="20"/>
        </w:rPr>
      </w:pPr>
      <w:r>
        <w:rPr>
          <w:rFonts w:ascii="arial" w:hAnsi="arial"/>
          <w:sz w:val="20"/>
        </w:rPr>
        <w:t xml:space="preserve">Schedule A                 Rights, privileges, restrictions and conditions attaching to the New Common Shares </w:t>
      </w:r>
    </w:p>
    <w:p>
      <w:pPr>
        <w:pStyle w:val="TextBody"/>
        <w:spacing w:before="240" w:after="0"/>
        <w:jc w:val="center"/>
        <w:rPr>
          <w:rFonts w:ascii="Arial" w:hAnsi="Arial"/>
          <w:b/>
          <w:sz w:val="20"/>
        </w:rPr>
      </w:pPr>
      <w:r>
        <w:rPr>
          <w:rFonts w:ascii="Arial" w:hAnsi="Arial"/>
          <w:b/>
          <w:sz w:val="20"/>
        </w:rPr>
        <w:t xml:space="preserve">ARTICLE 2 </w:t>
      </w:r>
    </w:p>
    <w:p>
      <w:pPr>
        <w:pStyle w:val="TextBody"/>
        <w:spacing w:before="120" w:after="0"/>
        <w:jc w:val="center"/>
        <w:rPr>
          <w:rFonts w:ascii="Arial" w:hAnsi="Arial"/>
          <w:b/>
          <w:sz w:val="20"/>
        </w:rPr>
      </w:pPr>
      <w:r>
        <w:rPr>
          <w:rFonts w:ascii="Arial" w:hAnsi="Arial"/>
          <w:b/>
          <w:sz w:val="20"/>
        </w:rPr>
        <w:t xml:space="preserve">ARRANGEMENT </w:t>
      </w:r>
    </w:p>
    <w:p>
      <w:pPr>
        <w:pStyle w:val="TextBody"/>
        <w:spacing w:before="120" w:after="0"/>
        <w:jc w:val="left"/>
        <w:rPr>
          <w:rFonts w:ascii="arial" w:hAnsi="arial"/>
          <w:sz w:val="20"/>
        </w:rPr>
      </w:pPr>
      <w:r>
        <w:rPr>
          <w:rFonts w:ascii="arial" w:hAnsi="arial"/>
          <w:sz w:val="20"/>
        </w:rPr>
        <w:t xml:space="preserve">2.1 Binding Effect </w:t>
      </w:r>
    </w:p>
    <w:p>
      <w:pPr>
        <w:pStyle w:val="TextBody"/>
        <w:spacing w:before="40" w:after="0"/>
        <w:jc w:val="left"/>
        <w:rPr>
          <w:rFonts w:ascii="arial" w:hAnsi="arial"/>
          <w:sz w:val="20"/>
        </w:rPr>
      </w:pPr>
      <w:r>
        <w:rPr>
          <w:rFonts w:ascii="arial" w:hAnsi="arial"/>
          <w:sz w:val="20"/>
        </w:rPr>
        <w:t xml:space="preserve">This Plan of Arrangement and the Arrangement will become effective at, and be binding at and after, the Effective Time on the Shareholders (including the Opting Out Shareholders) and the Corporation, without any further act or formality on the part of any Person, except as otherwise provided herein.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C-2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2.2 Arrangement </w:t>
      </w:r>
    </w:p>
    <w:p>
      <w:pPr>
        <w:pStyle w:val="TextBody"/>
        <w:spacing w:before="40" w:after="0"/>
        <w:jc w:val="left"/>
        <w:rPr>
          <w:rFonts w:ascii="arial" w:hAnsi="arial"/>
          <w:sz w:val="20"/>
        </w:rPr>
      </w:pPr>
      <w:r>
        <w:rPr>
          <w:rFonts w:ascii="arial" w:hAnsi="arial"/>
          <w:sz w:val="20"/>
        </w:rPr>
        <w:t xml:space="preserve">Commencing at the Effective Time the following events or transactions shall occur and shall be deemed to occur in the following sequence without any further act or formality: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articles of incorporation of the Corporation will be amended to create and authorize the issuance of an unlimited number of new common shares (the New Common Shares), with rights, privileges, restrictions and conditions as set out in Schedule A 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each issued and outstanding Participating Share will be disposed of to the Corporation in exchange for (i) the Cash Distribution Per Share, and (ii) a portion of a New Common Share equal to the Share Consolidation Ratio, and the Participating Shares so exchanged will be cancelled;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(c)</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in connection with the exchange of Participating Shares for the Cash Distribution Per Share and New Common Shares, the Corporation will deduct from the stated capital of the Shares an amount equal to the aggregate stated capital, immediately before the exchange, of the Participating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Corporation will add to the stated capital account of the New Common Shares an amount in Canadian dollars equal to the difference between (i) the aggregate PUC of the Participating Shares immediately before the exchange, and (ii) the Aggregate Cash Distribution Amount as converted into Canadian dollars using the average daily exchange rate as reported by the Bank of Canada on the Effective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each New Common Share will be exchanged for one Share and each portion of a New Common Share issued pursuant to Section 2.2(b) will be exchanged for the same portion of a Share, and the New Common Shares so exchanged will be cancelled;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(f)</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in connection with the exchange of New Common Shares for Shares, an amount equal to the aggregate stated capital of the New Common Shares immediately before the exchange will be deducted by the Corporation from the stated capital of the New Common Shares and the Corporation will add that amount to the stated capital of the Shares in respect of the Shares that are issued in exchange for the New Common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(g)</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articles of incorporation of the Corporation will be amended to delete the amendments made to the authorized capital of the Corporation pursuant to Section 2.2(a), such that the articles of incorporation of the Corporation as so amended will be the articles of the Corporation as they read immediately before the Effective Time. </w:t>
            </w:r>
          </w:p>
        </w:tc>
      </w:tr>
    </w:tbl>
    <w:p>
      <w:pPr>
        <w:pStyle w:val="TextBody"/>
        <w:spacing w:before="120" w:after="0"/>
        <w:jc w:val="left"/>
        <w:rPr>
          <w:rFonts w:ascii="arial" w:hAnsi="arial"/>
          <w:sz w:val="20"/>
        </w:rPr>
      </w:pPr>
      <w:r>
        <w:rPr>
          <w:rFonts w:ascii="arial" w:hAnsi="arial"/>
          <w:sz w:val="20"/>
        </w:rPr>
        <w:t xml:space="preserve">2.3 Opt-Out Right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With respect to the Arrangement: (a) each Shareholder who 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not a resident of Canada for Canadian income tax purposes and is subject to income tax in a jurisdiction other than Canada (and is not exempt from income tax in that jurisdiction);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 individual who is a resident of Canada for Canadian income tax purposes and who is also subject to income tax in a jurisdiction other than Canada as a resident of that other jurisdiction (and is not exempt from income tax in that other jurisdiction); </w:t>
            </w:r>
          </w:p>
        </w:tc>
      </w:tr>
    </w:tbl>
    <w:p>
      <w:pPr>
        <w:pStyle w:val="TextBody"/>
        <w:spacing w:before="120" w:after="0"/>
        <w:jc w:val="left"/>
        <w:rPr>
          <w:rFonts w:ascii="arial" w:hAnsi="arial"/>
          <w:sz w:val="20"/>
        </w:rPr>
      </w:pPr>
      <w:r>
        <w:rPr>
          <w:rFonts w:ascii="arial" w:hAnsi="arial"/>
          <w:sz w:val="20"/>
        </w:rPr>
        <w:t xml:space="preserve">may elect to opt out of the Arrangement (the Opt-Out Right) in accordance with this Section 2.3 and the Opt-Out Election and Certification Form, and subject to the following limitations: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 registered Shareholder, other than a registered Shareholder holding Shares for the benefit of one or more beneficial holders, may exercise the Opt-Out Right only in respect of all of the Shares held by such Shareholder;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(iv)</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 registered Shareholder holding Shares for the benefit of one or more beneficial holders may exercise the Opt-Out Right only in respect of all of the Shares held by each beneficial holder wishing to opt out;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 registered Shareholder (whether on behalf of itself or on behalf of one or more beneficial holders) shall exercise the Opt-Out Right by depositing with the Depositary, prior to the Opt-Out Deadline, a duly completed Opt-Out Election and Certification Form indicating such holders election together with certificates representing the holders Shares,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an Opt-Out Election and Certification Form deposited with the Depositary may be withdrawn by a Shareholder prior to the Opt-Out Deadline, but is irrevocable thereafter. To withdraw an Opt-Out Election and Certification Form, such Shareholder must provide a written notice of revocation to the Depositary that (i) specifies the name of the Shareholder having exercised the Opt-Out Right under the Opt-Out Election and Certification Form to be withdrawn and (ii) is signed by the Shareholder in the same manner as the signature on the Opt-Out Election and Certification Form to be withdrawn; and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C-3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any Shares in respect of which (i) no duly completed Opt-Out Election and Certification Form has been deposited with the Depositary prior to the Opt-Out Deadline, or (ii) any other requirements of this Section 2.3 and the Opt-Out Election and Certification Form have not been satisfied, shall be deemed to be Participating Shares. </w:t>
            </w:r>
          </w:p>
        </w:tc>
      </w:tr>
    </w:tbl>
    <w:p>
      <w:pPr>
        <w:pStyle w:val="TextBody"/>
        <w:spacing w:before="120" w:after="0"/>
        <w:jc w:val="left"/>
        <w:rPr>
          <w:rFonts w:ascii="arial" w:hAnsi="arial"/>
          <w:sz w:val="20"/>
        </w:rPr>
      </w:pPr>
      <w:r>
        <w:rPr>
          <w:rFonts w:ascii="arial" w:hAnsi="arial"/>
          <w:sz w:val="20"/>
        </w:rPr>
        <w:t xml:space="preserve">As of the Effective Time, each registered Opting Out Shareholder shall be entitled to receive new DRS statement(s) (or share certificate(s), if requested by such Shareholder in the Letter of Transmittal) representing its Shares reflecting the new CUSIP number for the Shares. </w:t>
      </w:r>
    </w:p>
    <w:p>
      <w:pPr>
        <w:pStyle w:val="TextBody"/>
        <w:spacing w:before="120" w:after="0"/>
        <w:jc w:val="left"/>
        <w:rPr>
          <w:rFonts w:ascii="arial" w:hAnsi="arial"/>
          <w:sz w:val="20"/>
        </w:rPr>
      </w:pPr>
      <w:r>
        <w:rPr>
          <w:rFonts w:ascii="arial" w:hAnsi="arial"/>
          <w:sz w:val="20"/>
        </w:rPr>
        <w:t xml:space="preserve">2.4 Post-Effective Time Procedures </w:t>
      </w:r>
    </w:p>
    <w:p>
      <w:pPr>
        <w:pStyle w:val="TextBody"/>
        <w:spacing w:before="40" w:after="0"/>
        <w:jc w:val="left"/>
        <w:rPr>
          <w:rFonts w:ascii="arial" w:hAnsi="arial"/>
          <w:sz w:val="20"/>
        </w:rPr>
      </w:pPr>
      <w:r>
        <w:rPr>
          <w:rFonts w:ascii="arial" w:hAnsi="arial"/>
          <w:sz w:val="20"/>
        </w:rPr>
        <w:t xml:space="preserve">On or immediately prior to the Effective Date, the Corporation shall deposit or cause to be deposited with the Depositary: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for the benefit of the Participating Shareholders, the Aggregate Cash Distribution Amount and the Shares that such Shareholders are entitled to receive pursuant to Section 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for the benefit of the Opting Out Shareholders, the Shares that such Shareholders are entitled to receive pursuant to Section 2.3. </w:t>
            </w:r>
          </w:p>
        </w:tc>
      </w:tr>
    </w:tbl>
    <w:p>
      <w:pPr>
        <w:pStyle w:val="TextBody"/>
        <w:spacing w:before="120" w:after="0"/>
        <w:jc w:val="left"/>
        <w:rPr>
          <w:rFonts w:ascii="arial" w:hAnsi="arial"/>
          <w:sz w:val="20"/>
        </w:rPr>
      </w:pPr>
      <w:r>
        <w:rPr>
          <w:rFonts w:ascii="arial" w:hAnsi="arial"/>
          <w:sz w:val="20"/>
        </w:rPr>
        <w:t xml:space="preserve">The Shares and cash deposited with the Depositary pursuant to this Section 2.4 shall be held by the Depositary as agent and nominee for the Participating Shareholders and the Opting Out Shareholders for distribution to such Shareholders in accordance with the provisions of Article 3. </w:t>
      </w:r>
    </w:p>
    <w:p>
      <w:pPr>
        <w:pStyle w:val="TextBody"/>
        <w:spacing w:before="120" w:after="0"/>
        <w:jc w:val="left"/>
        <w:rPr>
          <w:rFonts w:ascii="arial" w:hAnsi="arial"/>
          <w:sz w:val="20"/>
        </w:rPr>
      </w:pPr>
      <w:r>
        <w:rPr>
          <w:rFonts w:ascii="arial" w:hAnsi="arial"/>
          <w:sz w:val="20"/>
        </w:rPr>
        <w:t xml:space="preserve">2.5 No Fractional Shares </w:t>
      </w:r>
    </w:p>
    <w:p>
      <w:pPr>
        <w:pStyle w:val="TextBody"/>
        <w:spacing w:before="40" w:after="0"/>
        <w:jc w:val="left"/>
        <w:rPr>
          <w:rFonts w:ascii="arial" w:hAnsi="arial"/>
          <w:sz w:val="20"/>
        </w:rPr>
      </w:pPr>
      <w:r>
        <w:rPr>
          <w:rFonts w:ascii="arial" w:hAnsi="arial"/>
          <w:sz w:val="20"/>
        </w:rPr>
        <w:t xml:space="preserve">Where the aggregate number of Shares to be issued to a Participating Shareholder pursuant to Section 2.2(e) would result in a fraction of a Share being issuable, the number of Shares shall be rounded down to the nearest whole number and the fractional Share that otherwise would be issued to that Participating Shareholder will be issued to the Depositary (as agent for that purpose) for sale by the Depositary on behalf of that Participating Shareholder. All Shares so issued to the Depositary will be pooled and sold in the market by a broker appointed by the Depositary as soon as practicable after the Effective Date, on such dates and at such prices as the broker determines in its sole discretion. The Depositary shall not be obligated to seek or obtain a minimum price for any of the Shares sold by it. Each such Participating Shareholder will receive a pro rata share of the cash proceeds from the sale of the Shares sold by the Depositary (less commissions, other reasonable expenses incurred in connection with the sale of the Shares and any amount withheld in respect of taxes) for its fractional interest in a Share. The net proceeds will be remitted to Participating Shareholders in the same manner as other payments pursuant to Article 3. Neither the Corporation nor the Depositary will be liable for any loss arising out of any such sales. Notwithstanding the foregoing, Shares in the Corporations Dividend Reinvestment Plan and Employee Share Purchase Plans held by Participating Shareholders will participate in the Arrangement and any fractions resulting therefrom will remain in such holders Dividend Reinvestment Plan and Employee Share Purchase Plans accounts, as applicable. </w:t>
      </w:r>
    </w:p>
    <w:p>
      <w:pPr>
        <w:pStyle w:val="TextBody"/>
        <w:spacing w:before="240" w:after="0"/>
        <w:jc w:val="center"/>
        <w:rPr>
          <w:rFonts w:ascii="Arial" w:hAnsi="Arial"/>
          <w:b/>
          <w:sz w:val="20"/>
        </w:rPr>
      </w:pPr>
      <w:r>
        <w:rPr>
          <w:rFonts w:ascii="Arial" w:hAnsi="Arial"/>
          <w:b/>
          <w:sz w:val="20"/>
        </w:rPr>
        <w:t xml:space="preserve">ARTICLE 3 </w:t>
      </w:r>
    </w:p>
    <w:p>
      <w:pPr>
        <w:pStyle w:val="TextBody"/>
        <w:spacing w:before="120" w:after="0"/>
        <w:jc w:val="center"/>
        <w:rPr>
          <w:rFonts w:ascii="Arial" w:hAnsi="Arial"/>
          <w:b/>
          <w:sz w:val="20"/>
        </w:rPr>
      </w:pPr>
      <w:r>
        <w:rPr>
          <w:rFonts w:ascii="Arial" w:hAnsi="Arial"/>
          <w:b/>
          <w:sz w:val="20"/>
        </w:rPr>
        <w:t xml:space="preserve">DELIVERY OF CONSIDERATION </w:t>
      </w:r>
    </w:p>
    <w:p>
      <w:pPr>
        <w:pStyle w:val="TextBody"/>
        <w:spacing w:before="120" w:after="0"/>
        <w:jc w:val="left"/>
        <w:rPr>
          <w:rFonts w:ascii="arial" w:hAnsi="arial"/>
          <w:sz w:val="20"/>
        </w:rPr>
      </w:pPr>
      <w:r>
        <w:rPr>
          <w:rFonts w:ascii="arial" w:hAnsi="arial"/>
          <w:sz w:val="20"/>
        </w:rPr>
        <w:t xml:space="preserve">3.1 Delivery of Shares and Cash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As soon as practicable following the Effective Time, the Depositary shall deliver to each registered Participating Shareholder a cheque for the portion of the Aggregate Cash Distribution Amount that it is entitled to receive pursuant to Section 2.2(b), unless such Shareholder requests that such cash be paid by wire payment and properly completes any documents and takes all action that the Depositary may reasonably require in connection with such request.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As soon as practicable following the Effective Time, the Depositary shall deliver to each registered Shareholder holding Shares in DRS, (i) a new DRS statement, reflecting the new CUSIP number for the Shares, representing the number of Shares such Shareholder is entitled to receive under this Plan of Arrangement; and (ii) a cheque for any cash such holder is entitled to receive pursuant to Section 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Upon surrender to the Depositary for cancellation of a certificate which immediately prior to the Effective Time represented one or more outstanding Shares, together with a duly completed and executed Letter of Transmittal, and such additional documents and instruments as the Depositary may reasonably require, the holder of such surrendered Shares shall be entitled to receive in exchange therefor, and the Depositary shall deliver to such holder as soon as practicable following the Effective Time (i) a new DRS statement (or a new share certificate, if requested by such Shareholder in its Letter of Transmittal), reflecting the new CUSIP for the Shares, representing the number of Shares such holder is entitled to receive under this Plan of Arrangement; and (ii) a cheque for any cash such holder is entitled to receive pursuant to Section 2.5.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C-4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After the Effective Time and until surrendered for cancellation as contemplated by Section 3.1(c), each certificate which immediately prior to the Effective Time represented one or more Shares shall be deemed at all times to represent only the right to receive in exchange therefor the entitlements which the holder of such certificate is entitled to receive in accordance with Section 3.1(c). </w:t>
            </w:r>
          </w:p>
        </w:tc>
      </w:tr>
    </w:tbl>
    <w:p>
      <w:pPr>
        <w:pStyle w:val="TextBody"/>
        <w:spacing w:before="120" w:after="0"/>
        <w:jc w:val="left"/>
        <w:rPr>
          <w:rFonts w:ascii="arial" w:hAnsi="arial"/>
          <w:sz w:val="20"/>
        </w:rPr>
      </w:pPr>
      <w:r>
        <w:rPr>
          <w:rFonts w:ascii="arial" w:hAnsi="arial"/>
          <w:sz w:val="20"/>
        </w:rPr>
        <w:t xml:space="preserve">3.2 Lost Certificates </w:t>
      </w:r>
    </w:p>
    <w:p>
      <w:pPr>
        <w:pStyle w:val="TextBody"/>
        <w:spacing w:before="40" w:after="0"/>
        <w:jc w:val="left"/>
        <w:rPr>
          <w:rFonts w:ascii="arial" w:hAnsi="arial"/>
          <w:sz w:val="20"/>
        </w:rPr>
      </w:pPr>
      <w:r>
        <w:rPr>
          <w:rFonts w:ascii="arial" w:hAnsi="arial"/>
          <w:sz w:val="20"/>
        </w:rPr>
        <w:t xml:space="preserve">In the event any certificate which immediately prior to the Effective Time represented one or more Shares shall have been lost, stolen or destroyed, upon the making of an affidavit of that fact by the Person claiming such certificate to be lost, stolen or destroyed, the Depositary will issue in exchange therefor the Shares and/or the cash amount that such Person is entitled to receive under Section 3.1(c). When authorizing the delivery of such Shares and/or cash in exchange for any lost, stolen or destroyed certificate, the Person to whom such Shares and/or cash are being delivered shall, as a condition precedent to the delivery thereof, give a bond satisfactory to the Depositary and the Corporation in such sum as the Depositary or the Corporation may direct and shall indemnify the Depositary and the Corporation in a manner satisfactory to the Depositary and the Corporation against any claim that may be made against the Depositary or the Corporation with respect to the certificate alleged to have been lost, stolen or destroyed. </w:t>
      </w:r>
    </w:p>
    <w:p>
      <w:pPr>
        <w:pStyle w:val="TextBody"/>
        <w:spacing w:before="120" w:after="0"/>
        <w:jc w:val="left"/>
        <w:rPr>
          <w:rFonts w:ascii="arial" w:hAnsi="arial"/>
          <w:sz w:val="20"/>
        </w:rPr>
      </w:pPr>
      <w:r>
        <w:rPr>
          <w:rFonts w:ascii="arial" w:hAnsi="arial"/>
          <w:sz w:val="20"/>
        </w:rPr>
        <w:t xml:space="preserve">3.3 Withholding Rights </w:t>
      </w:r>
    </w:p>
    <w:p>
      <w:pPr>
        <w:pStyle w:val="TextBody"/>
        <w:spacing w:before="40" w:after="0"/>
        <w:jc w:val="left"/>
        <w:rPr>
          <w:rFonts w:ascii="arial" w:hAnsi="arial"/>
          <w:sz w:val="20"/>
        </w:rPr>
      </w:pPr>
      <w:r>
        <w:rPr>
          <w:rFonts w:ascii="arial" w:hAnsi="arial"/>
          <w:sz w:val="20"/>
        </w:rPr>
        <w:t xml:space="preserve">The Corporation and the Depositary shall be entitled to deduct and withhold from any payment, dividend, distribution or consideration otherwise payable to any Shareholder such amounts as the Corporation or the Depositary is required to deduct and withhold with respect to such payment under the Tax Act, the United States Internal Revenue Code of 1986, as amended, or any provision of federal, provincial, territorial, state, local or foreign tax law, in each case, as amended. To the extent that amounts are so withheld, such withheld amounts shall be treated for all purposes hereof as having been paid to the holder of the securities in respect of which such deduction and withholding was made, provided that such withheld amounts are actually remitted to the appropriate taxing authority. To the extent that the amount so required to be deducted or withheld from any payment to a holder exceeds the cash portion of the consideration otherwise payable to the holder, the Corporation and the Depositary are hereby authorized to sell or otherwise dispose of such portion of the Share consideration as is necessary to provide sufficient funds to the Corporation or the Depositary, as the case may be, to enable it to comply with such deduction or withholding requirement and, the Corporation or the Depositary shall notify the holder thereof and remit any unapplied balance of the net proceeds of such sale. </w:t>
      </w:r>
    </w:p>
    <w:p>
      <w:pPr>
        <w:pStyle w:val="TextBody"/>
        <w:spacing w:before="120" w:after="0"/>
        <w:jc w:val="left"/>
        <w:rPr>
          <w:rFonts w:ascii="arial" w:hAnsi="arial"/>
          <w:sz w:val="20"/>
        </w:rPr>
      </w:pPr>
      <w:r>
        <w:rPr>
          <w:rFonts w:ascii="arial" w:hAnsi="arial"/>
          <w:sz w:val="20"/>
        </w:rPr>
        <w:t xml:space="preserve">3.4 Extinction of Rights </w:t>
      </w:r>
    </w:p>
    <w:p>
      <w:pPr>
        <w:pStyle w:val="TextBody"/>
        <w:spacing w:before="40" w:after="0"/>
        <w:jc w:val="left"/>
        <w:rPr>
          <w:rFonts w:ascii="arial" w:hAnsi="arial"/>
          <w:sz w:val="20"/>
        </w:rPr>
      </w:pPr>
      <w:r>
        <w:rPr>
          <w:rFonts w:ascii="arial" w:hAnsi="arial"/>
          <w:sz w:val="20"/>
        </w:rPr>
        <w:t xml:space="preserve">On the sixth anniversary of the Effective Date, any Participating Shareholder that has not claimed its portion of the Aggregate Cash Distribution Amount will cease to have any rights thereto. Any such unclaimed portion of the Aggregate Cash Distribution Amount shall be deemed to have been surrendered to the Corporation and shall be transferred to the Corporation from the Depositary as soon as practicable following the sixth anniversary of the Effective Date. For greater certainty, any Participating Shareholder that has not deposited its certificate which immediately prior to the Effective Time represented outstanding Shares that were exchanged pursuant to Section 2.2, together with all other instruments required by Section 3.1, on or prior to the sixth anniversary of the Effective Date shall continue to be entitled to the Shares (and/or cash for fractional interests therein) that it is entitled to receive pursuant to Sections 2.2 and 2.5, together with all entitlements to dividends, distributions and interest thereon held for such registered holder. </w:t>
      </w:r>
    </w:p>
    <w:p>
      <w:pPr>
        <w:pStyle w:val="TextBody"/>
        <w:spacing w:before="120" w:after="0"/>
        <w:jc w:val="left"/>
        <w:rPr>
          <w:rFonts w:ascii="arial" w:hAnsi="arial"/>
          <w:sz w:val="20"/>
        </w:rPr>
      </w:pPr>
      <w:r>
        <w:rPr>
          <w:rFonts w:ascii="arial" w:hAnsi="arial"/>
          <w:sz w:val="20"/>
        </w:rPr>
        <w:t xml:space="preserve">3.5 Illegality of Delivery of Shares </w:t>
      </w:r>
    </w:p>
    <w:p>
      <w:pPr>
        <w:pStyle w:val="TextBody"/>
        <w:spacing w:before="40" w:after="0"/>
        <w:jc w:val="left"/>
        <w:rPr>
          <w:rFonts w:ascii="arial" w:hAnsi="arial"/>
          <w:sz w:val="20"/>
        </w:rPr>
      </w:pPr>
      <w:r>
        <w:rPr>
          <w:rFonts w:ascii="arial" w:hAnsi="arial"/>
          <w:sz w:val="20"/>
        </w:rPr>
        <w:t xml:space="preserve">Notwithstanding the foregoing, if it appears to the Corporation that it would be contrary to applicable law to issue Shares pursuant to the Arrangement to a Person that is not a resident of Canada, the Shares that otherwise would be issued to that Person will be issued to the Depositary (as agent for that purpose) for sale by the Depositary on behalf of that Person. All Shares </w:t>
      </w:r>
    </w:p>
    <w:p>
      <w:pPr>
        <w:pStyle w:val="TextBody"/>
        <w:spacing w:before="120" w:after="0"/>
        <w:jc w:val="left"/>
        <w:rPr>
          <w:rFonts w:ascii="arial" w:hAnsi="arial"/>
          <w:sz w:val="20"/>
        </w:rPr>
      </w:pPr>
      <w:r>
        <w:rPr>
          <w:rFonts w:ascii="arial" w:hAnsi="arial"/>
          <w:sz w:val="20"/>
        </w:rPr>
        <w:t xml:space="preserve">so issued to the Depositary will be pooled and sold as soon as practicable after the Effective Date, on such dates and at such prices as the Depositary determines in its sole discretion. The Depositary shall not be obligated to seek or obtain a minimum price for any of the Shares sold by it. Each such Person will receive a pro rata share of the cash proceeds from the sale of the Shares sold by the Depositary (less commissions, other reasonable expenses incurred in connection with the sale of the Shares and any amount withheld in respect of taxes) for the Shares themselves. The net proceeds will be remitted in the same manner as other payments pursuant to this Article 3. None of the Corporation or the Depositary will be liable for any loss arising out of any such sales. </w:t>
      </w:r>
    </w:p>
    <w:p>
      <w:pPr>
        <w:pStyle w:val="TextBody"/>
        <w:spacing w:before="120" w:after="0"/>
        <w:jc w:val="left"/>
        <w:rPr>
          <w:rFonts w:ascii="arial" w:hAnsi="arial"/>
          <w:sz w:val="20"/>
        </w:rPr>
      </w:pPr>
      <w:r>
        <w:rPr>
          <w:rFonts w:ascii="arial" w:hAnsi="arial"/>
          <w:sz w:val="20"/>
        </w:rPr>
        <w:t xml:space="preserve">3.6 Election </w:t>
      </w:r>
    </w:p>
    <w:p>
      <w:pPr>
        <w:pStyle w:val="TextBody"/>
        <w:spacing w:before="40" w:after="0"/>
        <w:jc w:val="left"/>
        <w:rPr>
          <w:rFonts w:ascii="arial" w:hAnsi="arial"/>
          <w:sz w:val="20"/>
        </w:rPr>
      </w:pPr>
      <w:r>
        <w:rPr>
          <w:rFonts w:ascii="arial" w:hAnsi="arial"/>
          <w:sz w:val="20"/>
        </w:rPr>
        <w:t xml:space="preserve">At the reasonable request of a Shareholder, based on facts and circumstances arising after the Effective Date, the Corporation will make available to all Shareholders a joint income tax election pursuant to subsection 85(1) of the Tax Act, or subsection 85(2) of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C-5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Tax Act if such Shareholder is a partnership, (and in each case, where applicable, the analogous provisions of provincial income tax law) with respect to the exchange of Shares for cash and New Common Shares effected pursuant to this Plan of Arrangement, provided that the Corporation has determined that making such income tax election available is not unduly detrimental to the Corporation, having regard to the interests of Shareholders and other stakeholders as a whole and the purpose of the Plan of Arrangement. </w:t>
      </w:r>
    </w:p>
    <w:p>
      <w:pPr>
        <w:pStyle w:val="TextBody"/>
        <w:spacing w:before="240" w:after="0"/>
        <w:jc w:val="center"/>
        <w:rPr>
          <w:rFonts w:ascii="Arial" w:hAnsi="Arial"/>
          <w:b/>
          <w:sz w:val="20"/>
        </w:rPr>
      </w:pPr>
      <w:r>
        <w:rPr>
          <w:rFonts w:ascii="Arial" w:hAnsi="Arial"/>
          <w:b/>
          <w:sz w:val="20"/>
        </w:rPr>
        <w:t xml:space="preserve">ARTICLE 4 </w:t>
      </w:r>
    </w:p>
    <w:p>
      <w:pPr>
        <w:pStyle w:val="TextBody"/>
        <w:spacing w:before="120" w:after="0"/>
        <w:jc w:val="center"/>
        <w:rPr>
          <w:rFonts w:ascii="Arial" w:hAnsi="Arial"/>
          <w:b/>
          <w:sz w:val="20"/>
        </w:rPr>
      </w:pPr>
      <w:r>
        <w:rPr>
          <w:rFonts w:ascii="Arial" w:hAnsi="Arial"/>
          <w:b/>
          <w:sz w:val="20"/>
        </w:rPr>
        <w:t xml:space="preserve">AMENDMENTS </w:t>
      </w:r>
    </w:p>
    <w:p>
      <w:pPr>
        <w:pStyle w:val="TextBody"/>
        <w:spacing w:before="120" w:after="0"/>
        <w:jc w:val="left"/>
        <w:rPr>
          <w:rFonts w:ascii="arial" w:hAnsi="arial"/>
          <w:sz w:val="20"/>
        </w:rPr>
      </w:pPr>
      <w:r>
        <w:rPr>
          <w:rFonts w:ascii="arial" w:hAnsi="arial"/>
          <w:sz w:val="20"/>
        </w:rPr>
        <w:t xml:space="preserve">4.1 Amendments to Plan of Arrangement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Corporation reserves the right to amend, modify and/or supplement this Plan of Arrangement at any time and from time to time prior to the Effective Date, provided that each such amendment, modification and/or supplement must be (i) set out in writing, (ii) filed with the Court and, if made following the Meeting, approved by the Court, and (iii) communicated to Shareholders if and as required by the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Any amendment, modification or supplement to this Plan of Arrangement may be proposed by the Corporation at any time prior to the Meeting with or without any other prior notice or communication, and if so proposed and accepted by the Persons voting at the Meeting (other than as may be required under the Interim Order), shall become part of this Plan of Arrangement for all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Any amendment, modification or supplement to this Plan of Arrangement that is approved by the Court following the Meeting shall be effective only if (i) it is consented to by the Corporation, and (ii) if required by the Court, it is consented to by the holders of Shares voting in the manner directed by the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Any amendment, modification or supplement to this Plan of Arrangement may be made unilaterally by the Corporation, without shareholder or Court approval, provided that it concerns a matter which, in the reasonable opinion of the Corporation, is of an administrative nature required to better give effect to the implementation of this Plan of Arrangement or includes a change to the sequence of the events of transactions contemplated by Section 2.2 and, in each case, is not adverse to the financial or economic interests of any holder of Shares. </w:t>
            </w:r>
          </w:p>
        </w:tc>
      </w:tr>
    </w:tbl>
    <w:p>
      <w:pPr>
        <w:pStyle w:val="TextBody"/>
        <w:spacing w:before="240" w:after="0"/>
        <w:jc w:val="center"/>
        <w:rPr>
          <w:rFonts w:ascii="Arial" w:hAnsi="Arial"/>
          <w:b/>
          <w:sz w:val="20"/>
        </w:rPr>
      </w:pPr>
      <w:r>
        <w:rPr>
          <w:rFonts w:ascii="Arial" w:hAnsi="Arial"/>
          <w:b/>
          <w:sz w:val="20"/>
        </w:rPr>
        <w:t xml:space="preserve">ARTICLE 5 </w:t>
      </w:r>
    </w:p>
    <w:p>
      <w:pPr>
        <w:pStyle w:val="TextBody"/>
        <w:spacing w:before="120" w:after="0"/>
        <w:jc w:val="center"/>
        <w:rPr>
          <w:rFonts w:ascii="Arial" w:hAnsi="Arial"/>
          <w:b/>
          <w:sz w:val="20"/>
        </w:rPr>
      </w:pPr>
      <w:r>
        <w:rPr>
          <w:rFonts w:ascii="Arial" w:hAnsi="Arial"/>
          <w:b/>
          <w:sz w:val="20"/>
        </w:rPr>
        <w:t xml:space="preserve">FURTHER ASSURANCES </w:t>
      </w:r>
    </w:p>
    <w:p>
      <w:pPr>
        <w:pStyle w:val="TextBody"/>
        <w:spacing w:before="120" w:after="0"/>
        <w:jc w:val="left"/>
        <w:rPr>
          <w:rFonts w:ascii="arial" w:hAnsi="arial"/>
          <w:sz w:val="20"/>
        </w:rPr>
      </w:pPr>
      <w:r>
        <w:rPr>
          <w:rFonts w:ascii="arial" w:hAnsi="arial"/>
          <w:sz w:val="20"/>
        </w:rPr>
        <w:t xml:space="preserve">Notwithstanding that the transactions and events set out herein shall occur and be deemed to occur in the order as set out in this Plan of Arrangement without any further act or formality, each of the Parties shall make, do and execute, or cause to be made, done and executed, all such further acts, deeds, agreements, transfers, assurances, instruments or documents as may reasonably be required by any of them in order to further document or evidence any of the transactions or events set out herein. </w:t>
      </w:r>
    </w:p>
    <w:p>
      <w:pPr>
        <w:pStyle w:val="TextBody"/>
        <w:spacing w:before="240" w:after="0"/>
        <w:jc w:val="center"/>
        <w:rPr>
          <w:rFonts w:ascii="Arial" w:hAnsi="Arial"/>
          <w:b/>
          <w:sz w:val="20"/>
        </w:rPr>
      </w:pPr>
      <w:r>
        <w:rPr>
          <w:rFonts w:ascii="Arial" w:hAnsi="Arial"/>
          <w:b/>
          <w:sz w:val="20"/>
        </w:rPr>
        <w:t xml:space="preserve">Schedule A </w:t>
      </w:r>
    </w:p>
    <w:p>
      <w:pPr>
        <w:pStyle w:val="TextBody"/>
        <w:spacing w:before="120" w:after="0"/>
        <w:jc w:val="center"/>
        <w:rPr>
          <w:rFonts w:ascii="Arial" w:hAnsi="Arial"/>
          <w:b/>
          <w:sz w:val="20"/>
        </w:rPr>
      </w:pPr>
      <w:r>
        <w:rPr>
          <w:rFonts w:ascii="Arial" w:hAnsi="Arial"/>
          <w:b/>
          <w:sz w:val="20"/>
        </w:rPr>
        <w:t xml:space="preserve">THOMSON REUTERS CORPORATION </w:t>
      </w:r>
    </w:p>
    <w:p>
      <w:pPr>
        <w:pStyle w:val="TextBody"/>
        <w:spacing w:before="120" w:after="0"/>
        <w:jc w:val="center"/>
        <w:rPr>
          <w:rFonts w:ascii="Arial" w:hAnsi="Arial"/>
          <w:b/>
          <w:sz w:val="20"/>
        </w:rPr>
      </w:pPr>
      <w:r>
        <w:rPr>
          <w:rFonts w:ascii="Arial" w:hAnsi="Arial"/>
          <w:b/>
          <w:sz w:val="20"/>
        </w:rPr>
        <w:t xml:space="preserve">(the Corporation) </w:t>
      </w:r>
    </w:p>
    <w:p>
      <w:pPr>
        <w:pStyle w:val="TextBody"/>
        <w:spacing w:before="120" w:after="0"/>
        <w:jc w:val="center"/>
        <w:rPr>
          <w:rFonts w:ascii="Arial" w:hAnsi="Arial"/>
          <w:b/>
          <w:sz w:val="20"/>
        </w:rPr>
      </w:pPr>
      <w:r>
        <w:rPr>
          <w:rFonts w:ascii="Arial" w:hAnsi="Arial"/>
          <w:b/>
          <w:sz w:val="20"/>
        </w:rPr>
        <w:t xml:space="preserve">Share Terms for New Common Shares </w:t>
      </w:r>
    </w:p>
    <w:p>
      <w:pPr>
        <w:pStyle w:val="TextBody"/>
        <w:spacing w:before="120" w:after="0"/>
        <w:jc w:val="left"/>
        <w:rPr>
          <w:rFonts w:ascii="arial" w:hAnsi="arial"/>
          <w:sz w:val="20"/>
        </w:rPr>
      </w:pPr>
      <w:r>
        <w:rPr>
          <w:rFonts w:ascii="arial" w:hAnsi="arial"/>
          <w:sz w:val="20"/>
        </w:rPr>
        <w:t xml:space="preserve">All capitalized terms used but not defined herein shall have the meanings ascribed to such terms in the Certificate and Articles of Amendment of the Corporation dated October 1, 2018. </w:t>
      </w:r>
    </w:p>
    <w:p>
      <w:pPr>
        <w:pStyle w:val="TextBody"/>
        <w:spacing w:before="120" w:after="0"/>
        <w:jc w:val="left"/>
        <w:rPr>
          <w:rFonts w:ascii="arial" w:hAnsi="arial"/>
          <w:sz w:val="20"/>
        </w:rPr>
      </w:pPr>
      <w:r>
        <w:rPr>
          <w:rFonts w:ascii="arial" w:hAnsi="arial"/>
          <w:sz w:val="20"/>
        </w:rPr>
        <w:t xml:space="preserve">New Common Shares </w:t>
      </w:r>
    </w:p>
    <w:p>
      <w:pPr>
        <w:pStyle w:val="TextBody"/>
        <w:spacing w:before="40" w:after="0"/>
        <w:jc w:val="left"/>
        <w:rPr>
          <w:rFonts w:ascii="arial" w:hAnsi="arial"/>
          <w:sz w:val="20"/>
        </w:rPr>
      </w:pPr>
      <w:r>
        <w:rPr>
          <w:rFonts w:ascii="arial" w:hAnsi="arial"/>
          <w:sz w:val="20"/>
        </w:rPr>
        <w:t xml:space="preserve">The rights, privileges, restrictions and conditions attaching to the New Common Shares are as follows: </w:t>
      </w:r>
    </w:p>
    <w:p>
      <w:pPr>
        <w:pStyle w:val="TextBody"/>
        <w:spacing w:before="120" w:after="0"/>
        <w:jc w:val="left"/>
        <w:rPr>
          <w:rFonts w:ascii="arial" w:hAnsi="arial"/>
          <w:sz w:val="20"/>
        </w:rPr>
      </w:pPr>
      <w:r>
        <w:rPr>
          <w:rFonts w:ascii="arial" w:hAnsi="arial"/>
          <w:sz w:val="20"/>
        </w:rPr>
        <w:t xml:space="preserve">1. Ranking of New Common Shares </w:t>
      </w:r>
    </w:p>
    <w:p>
      <w:pPr>
        <w:pStyle w:val="TextBody"/>
        <w:spacing w:before="40" w:after="0"/>
        <w:jc w:val="left"/>
        <w:rPr>
          <w:rFonts w:ascii="arial" w:hAnsi="arial"/>
          <w:sz w:val="20"/>
        </w:rPr>
      </w:pPr>
      <w:r>
        <w:rPr>
          <w:rFonts w:ascii="arial" w:hAnsi="arial"/>
          <w:sz w:val="20"/>
        </w:rPr>
        <w:t xml:space="preserve">The New Common Shares shall rank junior to the Preference Shares and shall rank equally with the Common Shares with respect to the payment of dividends and in the distribution of assets in the event of liquidation, dissolution or winding up of the Corporation, whether voluntary or involuntary, or any other distribution of assets of the Corporation among its shareholders for the purpose of winding up its affairs. </w:t>
      </w:r>
    </w:p>
    <w:p>
      <w:pPr>
        <w:pStyle w:val="TextBody"/>
        <w:spacing w:before="120" w:after="0"/>
        <w:jc w:val="left"/>
        <w:rPr>
          <w:rFonts w:ascii="arial" w:hAnsi="arial"/>
          <w:sz w:val="20"/>
        </w:rPr>
      </w:pPr>
      <w:r>
        <w:rPr>
          <w:rFonts w:ascii="arial" w:hAnsi="arial"/>
          <w:sz w:val="20"/>
        </w:rPr>
        <w:t xml:space="preserve">2. Notice of Meetings and Voting Rights </w:t>
      </w:r>
    </w:p>
    <w:p>
      <w:pPr>
        <w:pStyle w:val="TextBody"/>
        <w:spacing w:before="40" w:after="0"/>
        <w:jc w:val="left"/>
        <w:rPr>
          <w:rFonts w:ascii="arial" w:hAnsi="arial"/>
          <w:sz w:val="20"/>
        </w:rPr>
      </w:pPr>
      <w:r>
        <w:rPr>
          <w:rFonts w:ascii="arial" w:hAnsi="arial"/>
          <w:sz w:val="20"/>
        </w:rPr>
        <w:t xml:space="preserve">Except for meetings of holders of a particular class or series of shares other than the New Common Shares required by Applicable Laws to be held as a separate class or series meeting, the holders of the New Common Shares shall be entitled to receive notice of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C-6    Management Proxy Circular and Notice of Annual and Special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and to attend all meetings of the shareholders of the Corporation and at any such meeting to vote on all matters submitted to a vote on the basis of one vote for each New Common Share held. </w:t>
      </w:r>
    </w:p>
    <w:p>
      <w:pPr>
        <w:pStyle w:val="TextBody"/>
        <w:spacing w:before="120" w:after="0"/>
        <w:jc w:val="left"/>
        <w:rPr>
          <w:rFonts w:ascii="arial" w:hAnsi="arial"/>
          <w:sz w:val="20"/>
        </w:rPr>
      </w:pPr>
      <w:r>
        <w:rPr>
          <w:rFonts w:ascii="arial" w:hAnsi="arial"/>
          <w:sz w:val="20"/>
        </w:rPr>
        <w:t xml:space="preserve">3. Dividends </w:t>
      </w:r>
    </w:p>
    <w:p>
      <w:pPr>
        <w:pStyle w:val="TextBody"/>
        <w:spacing w:before="40" w:after="0"/>
        <w:jc w:val="left"/>
        <w:rPr>
          <w:rFonts w:ascii="arial" w:hAnsi="arial"/>
          <w:sz w:val="20"/>
        </w:rPr>
      </w:pPr>
      <w:r>
        <w:rPr>
          <w:rFonts w:ascii="arial" w:hAnsi="arial"/>
          <w:sz w:val="20"/>
        </w:rPr>
        <w:t xml:space="preserve">Subject to the rights, privileges, restrictions and conditions attaching to the Preference Shares and to Applicable Laws, the holders of the New Common Shares shall be entitled to receive and the Corporation shall pay thereon, if, as and when declared by the Board of Directors out of the assets of the Corporation properly applicable to the payment of dividends, Canadian dollar denominated dividends in such amounts and payable in such manner as the Board of Directors may from time to time determine. </w:t>
      </w:r>
    </w:p>
    <w:p>
      <w:pPr>
        <w:pStyle w:val="TextBody"/>
        <w:spacing w:before="120" w:after="0"/>
        <w:jc w:val="left"/>
        <w:rPr>
          <w:rFonts w:ascii="arial" w:hAnsi="arial"/>
          <w:sz w:val="20"/>
        </w:rPr>
      </w:pPr>
      <w:r>
        <w:rPr>
          <w:rFonts w:ascii="arial" w:hAnsi="arial"/>
          <w:sz w:val="20"/>
        </w:rPr>
        <w:t xml:space="preserve">4. Liquidation, Dissolution and Winding Up </w:t>
      </w:r>
    </w:p>
    <w:p>
      <w:pPr>
        <w:pStyle w:val="TextBody"/>
        <w:spacing w:before="40" w:after="0"/>
        <w:jc w:val="left"/>
        <w:rPr>
          <w:rFonts w:ascii="arial" w:hAnsi="arial"/>
          <w:sz w:val="20"/>
        </w:rPr>
      </w:pPr>
      <w:r>
        <w:rPr>
          <w:rFonts w:ascii="arial" w:hAnsi="arial"/>
          <w:sz w:val="20"/>
        </w:rPr>
        <w:t xml:space="preserve">Subject to the rights, privileges, restrictions and conditions attaching to the Preference Shares, upon the liquidation, dissolution or winding up of the Corporation, whether voluntary or involuntary, or in the event of any other distribution of the assets of the Corporation among its shareholders for the purpose of winding up its affairs, the holders of the New Common Shares and the Common Shares shall be entitled to share equally, on a share for share basis, in all remaining property and assets of the Corporation. </w:t>
      </w:r>
    </w:p>
    <w:p>
      <w:pPr>
        <w:pStyle w:val="TextBody"/>
        <w:spacing w:before="120" w:after="0"/>
        <w:jc w:val="left"/>
        <w:rPr>
          <w:rFonts w:ascii="arial" w:hAnsi="arial"/>
          <w:sz w:val="20"/>
        </w:rPr>
      </w:pPr>
      <w:r>
        <w:rPr>
          <w:rFonts w:ascii="arial" w:hAnsi="arial"/>
          <w:sz w:val="20"/>
        </w:rPr>
        <w:t xml:space="preserve">5. Conversion into Common Shares </w:t>
      </w:r>
    </w:p>
    <w:p>
      <w:pPr>
        <w:pStyle w:val="TextBody"/>
        <w:spacing w:before="40" w:after="0"/>
        <w:jc w:val="left"/>
        <w:rPr>
          <w:rFonts w:ascii="arial" w:hAnsi="arial"/>
          <w:sz w:val="20"/>
        </w:rPr>
      </w:pPr>
      <w:r>
        <w:rPr>
          <w:rFonts w:ascii="arial" w:hAnsi="arial"/>
          <w:sz w:val="20"/>
        </w:rPr>
        <w:t xml:space="preserve">Any holder of New Common Shares shall be entitled at any time (subject as hereinafter provided) to have all or any of the New Common Shares held by such holder converted into Common Shares as the same shall be constituted at the time of the conversion at a conversion rate based upon one New Common Share for each one Common Share in respect of which the conversion right is exercised. The right of conversion herein provided for may be exercised by notice in writing given to the Corporation at its registered office accompanied by the certificate or certificates, or direct registration system statement or statements, as applicable, representing the New Common Shares in respect of which the holder thereof desires to exercise such right of conversion and such notice shall be signed by the person registered on the books of the Corporation as the holder of the New Common Shares in respect of which such right is being exercised or by such persons duly authorized attorney and shall specify the number of New Common Shares which the holder desires to have converted. Upon receipt of such notice the Corporation shall issue certificates, or direct registration system statements, as applicable, representing Common Shares upon the basis above prescribed and in accordance with the provisions hereof to the registered holder of the New Common Shares represented by the certificate or certificates, or direct registration system statement or statements, as applicable, accompanying such notice. If less than all the New Common Shares represented by any certificate, or direct registration system statement, as applicable, are to be converted, the holder shall be entitled to receive a new certificate, or direct registration system statement, as applicable, for the New Common Shares representing the Common Shares comprised in the original certificate, or direct registration system statement, as applicable, which are not to be converted.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C-7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385"/>
        <w:gridCol w:w="121"/>
        <w:gridCol w:w="699"/>
      </w:tblGrid>
      <w:tr>
        <w:trPr/>
        <w:tc>
          <w:tcPr>
            <w:tcW w:w="93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9385" w:type="dxa"/>
            <w:tcBorders/>
            <w:shd w:fill="auto" w:val="clear"/>
            <w:vAlign w:val="bottom"/>
          </w:tcPr>
          <w:p>
            <w:pPr>
              <w:pStyle w:val="TableContents"/>
              <w:spacing w:before="0" w:after="283"/>
              <w:rPr>
                <w:color w:val="B94831"/>
                <w:sz w:val="52"/>
              </w:rPr>
            </w:pPr>
            <w:bookmarkStart w:id="107" w:name="tx494196_65"/>
            <w:bookmarkEnd w:id="107"/>
            <w:r>
              <w:rPr>
                <w:color w:val="B94831"/>
                <w:sz w:val="52"/>
              </w:rPr>
              <w:t>Appendix D  Interim Order</w:t>
            </w:r>
          </w:p>
        </w:tc>
        <w:tc>
          <w:tcPr>
            <w:tcW w:w="121"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color w:val="FF0200"/>
              </w:rPr>
            </w:pPr>
            <w:r>
              <w:rPr>
                <w:color w:val="FF0200"/>
              </w:rPr>
              <w:t>A180</w:t>
            </w:r>
          </w:p>
        </w:tc>
      </w:tr>
    </w:tbl>
    <w:p>
      <w:pPr>
        <w:pStyle w:val="TextBody"/>
        <w:spacing w:before="240" w:after="0"/>
        <w:jc w:val="right"/>
        <w:rPr>
          <w:rFonts w:ascii="arial" w:hAnsi="arial"/>
          <w:sz w:val="20"/>
        </w:rPr>
      </w:pPr>
      <w:r>
        <w:rPr>
          <w:rFonts w:ascii="arial" w:hAnsi="arial"/>
          <w:sz w:val="20"/>
        </w:rPr>
        <w:t xml:space="preserve">Commercial List Court File No. CV-23-00697453-00CL </w:t>
      </w:r>
    </w:p>
    <w:p>
      <w:pPr>
        <w:pStyle w:val="TextBody"/>
        <w:spacing w:before="240" w:after="0"/>
        <w:jc w:val="center"/>
        <w:rPr>
          <w:rFonts w:ascii="Arial" w:hAnsi="Arial"/>
          <w:b/>
          <w:sz w:val="20"/>
        </w:rPr>
      </w:pPr>
      <w:r>
        <w:rPr>
          <w:rFonts w:ascii="Arial" w:hAnsi="Arial"/>
          <w:b/>
          <w:sz w:val="20"/>
        </w:rPr>
        <w:t xml:space="preserve">ONTARIO </w:t>
      </w:r>
    </w:p>
    <w:p>
      <w:pPr>
        <w:pStyle w:val="TextBody"/>
        <w:spacing w:before="0" w:after="0"/>
        <w:jc w:val="center"/>
        <w:rPr>
          <w:rFonts w:ascii="Arial" w:hAnsi="Arial"/>
          <w:b/>
          <w:sz w:val="20"/>
        </w:rPr>
      </w:pPr>
      <w:r>
        <w:rPr>
          <w:rFonts w:ascii="Arial" w:hAnsi="Arial"/>
          <w:b/>
          <w:sz w:val="20"/>
        </w:rPr>
        <w:t xml:space="preserve">SUPERIOR COURT OF JUSTICE </w:t>
      </w:r>
    </w:p>
    <w:p>
      <w:pPr>
        <w:pStyle w:val="TextBody"/>
        <w:spacing w:before="0" w:after="0"/>
        <w:jc w:val="center"/>
        <w:rPr>
          <w:rFonts w:ascii="Arial" w:hAnsi="Arial"/>
          <w:b/>
          <w:sz w:val="20"/>
        </w:rPr>
      </w:pPr>
      <w:r>
        <w:rPr>
          <w:rFonts w:ascii="Arial" w:hAnsi="Arial"/>
          <w:b/>
          <w:sz w:val="20"/>
        </w:rPr>
        <w:t xml:space="preserve">COMMERCIAL LIST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898"/>
        <w:gridCol w:w="102"/>
        <w:gridCol w:w="102"/>
        <w:gridCol w:w="102"/>
        <w:gridCol w:w="5001"/>
      </w:tblGrid>
      <w:tr>
        <w:trPr/>
        <w:tc>
          <w:tcPr>
            <w:tcW w:w="489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pPr>
            <w:r>
              <w:rPr/>
              <w:t>THE HONOURABLE MADAM</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jc w:val="center"/>
              <w:rPr/>
            </w:pPr>
            <w:r>
              <w:rPr/>
              <w:t>)</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jc w:val="right"/>
              <w:rPr/>
            </w:pPr>
            <w:r>
              <w:rPr/>
              <w:t>FRIDAY, THE 21st</w:t>
            </w:r>
          </w:p>
        </w:tc>
      </w:tr>
      <w:tr>
        <w:trPr/>
        <w:tc>
          <w:tcPr>
            <w:tcW w:w="4898" w:type="dxa"/>
            <w:tcBorders/>
            <w:shd w:fill="auto" w:val="clear"/>
          </w:tcPr>
          <w:p>
            <w:pPr>
              <w:pStyle w:val="TableContents"/>
              <w:spacing w:before="0" w:after="283"/>
              <w:rPr/>
            </w:pPr>
            <w:r>
              <w:rPr/>
              <w:t>JUSTICE STEELE</w:t>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jc w:val="center"/>
              <w:rPr/>
            </w:pPr>
            <w:r>
              <w:rPr/>
              <w:t>)</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jc w:val="right"/>
              <w:rPr/>
            </w:pPr>
            <w:r>
              <w:rPr/>
              <w:t>DAY OF APRIL 2023</w:t>
            </w:r>
          </w:p>
        </w:tc>
      </w:tr>
      <w:tr>
        <w:trPr/>
        <w:tc>
          <w:tcPr>
            <w:tcW w:w="489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02" w:type="dxa"/>
            <w:tcBorders/>
            <w:shd w:fill="auto" w:val="clear"/>
          </w:tcPr>
          <w:p>
            <w:pPr>
              <w:pStyle w:val="TableContents"/>
              <w:spacing w:before="0" w:after="283"/>
              <w:jc w:val="center"/>
              <w:rPr/>
            </w:pPr>
            <w:r>
              <w:rPr/>
              <w:t>)</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83"/>
              <w:rPr>
                <w:sz w:val="4"/>
                <w:szCs w:val="4"/>
              </w:rPr>
            </w:pPr>
            <w:r>
              <w:rPr>
                <w:sz w:val="4"/>
                <w:szCs w:val="4"/>
              </w:rPr>
            </w:r>
          </w:p>
        </w:tc>
      </w:tr>
    </w:tbl>
    <w:p>
      <w:pPr>
        <w:pStyle w:val="TextBody"/>
        <w:spacing w:before="240" w:after="0"/>
        <w:jc w:val="left"/>
        <w:rPr>
          <w:rFonts w:ascii="Arial" w:hAnsi="Arial"/>
          <w:b/>
          <w:sz w:val="20"/>
        </w:rPr>
      </w:pPr>
      <w:r>
        <w:rPr>
          <w:rFonts w:ascii="Arial" w:hAnsi="Arial"/>
          <w:b/>
          <w:sz w:val="20"/>
        </w:rPr>
        <w:t xml:space="preserve">IN THE MATTER OF AN APPLICATION UNDER SECTION 182 OF THE BUSINESS CORPORATIONS ACT (ONTARIO) R.S.O. 1990, c. B.16, AS AMENDED </w:t>
      </w:r>
    </w:p>
    <w:p>
      <w:pPr>
        <w:pStyle w:val="TextBody"/>
        <w:spacing w:before="120" w:after="0"/>
        <w:jc w:val="left"/>
        <w:rPr>
          <w:rFonts w:ascii="Arial" w:hAnsi="Arial"/>
          <w:b/>
          <w:sz w:val="20"/>
        </w:rPr>
      </w:pPr>
      <w:r>
        <w:rPr>
          <w:rFonts w:ascii="Arial" w:hAnsi="Arial"/>
          <w:b/>
          <w:sz w:val="20"/>
        </w:rPr>
        <w:t xml:space="preserve">AND IN THE MATTER OF A PROPOSED PLAN OF ARRANGEMENT OF THOMSON REUTERS CORPORATION </w:t>
      </w:r>
    </w:p>
    <w:p>
      <w:pPr>
        <w:pStyle w:val="TextBody"/>
        <w:spacing w:before="260" w:after="0"/>
        <w:jc w:val="center"/>
        <w:rPr>
          <w:rFonts w:ascii="Arial" w:hAnsi="Arial"/>
          <w:b/>
          <w:sz w:val="20"/>
        </w:rPr>
      </w:pPr>
      <w:r>
        <w:rPr>
          <w:rFonts w:ascii="Arial" w:hAnsi="Arial"/>
          <w:b/>
          <w:sz w:val="20"/>
        </w:rPr>
        <w:t xml:space="preserve">THOMSON REUTERS CORPORATION </w:t>
      </w:r>
    </w:p>
    <w:p>
      <w:pPr>
        <w:pStyle w:val="TextBody"/>
        <w:spacing w:before="120" w:after="0"/>
        <w:jc w:val="right"/>
        <w:rPr>
          <w:rFonts w:ascii="Arial" w:hAnsi="Arial"/>
          <w:b/>
          <w:sz w:val="20"/>
        </w:rPr>
      </w:pPr>
      <w:r>
        <w:rPr>
          <w:rFonts w:ascii="Arial" w:hAnsi="Arial"/>
          <w:b/>
          <w:sz w:val="20"/>
        </w:rPr>
        <w:t xml:space="preserve">Applicant </w:t>
      </w:r>
    </w:p>
    <w:p>
      <w:pPr>
        <w:pStyle w:val="TextBody"/>
        <w:spacing w:before="240" w:after="0"/>
        <w:jc w:val="center"/>
        <w:rPr>
          <w:rFonts w:ascii="Arial" w:hAnsi="Arial"/>
          <w:b/>
          <w:sz w:val="20"/>
        </w:rPr>
      </w:pPr>
      <w:r>
        <w:rPr>
          <w:rFonts w:ascii="Arial" w:hAnsi="Arial"/>
          <w:b/>
          <w:sz w:val="20"/>
        </w:rPr>
        <w:t xml:space="preserve">INTERIM ORDER </w:t>
      </w:r>
    </w:p>
    <w:p>
      <w:pPr>
        <w:pStyle w:val="TextBody"/>
        <w:spacing w:before="120" w:after="0"/>
        <w:jc w:val="left"/>
        <w:rPr>
          <w:rFonts w:ascii="arial" w:hAnsi="arial"/>
          <w:sz w:val="20"/>
        </w:rPr>
      </w:pPr>
      <w:r>
        <w:rPr>
          <w:rFonts w:ascii="Arial" w:hAnsi="Arial"/>
          <w:b/>
          <w:sz w:val="20"/>
        </w:rPr>
        <w:t>THIS MOTION</w:t>
      </w:r>
      <w:r>
        <w:rPr>
          <w:rFonts w:ascii="arial" w:hAnsi="arial"/>
          <w:sz w:val="20"/>
        </w:rPr>
        <w:t xml:space="preserve"> made without notice by Thomson Reuters Corporation (Thomson Reuters), for an interim order for advice and directions (the Interim Order) pursuant to section 182 of the </w:t>
      </w:r>
      <w:r>
        <w:rPr>
          <w:rFonts w:ascii="arial" w:hAnsi="arial"/>
          <w:i/>
          <w:sz w:val="20"/>
        </w:rPr>
        <w:t xml:space="preserve">Business Corporations Act </w:t>
      </w:r>
      <w:r>
        <w:rPr>
          <w:rFonts w:ascii="arial" w:hAnsi="arial"/>
          <w:sz w:val="20"/>
        </w:rPr>
        <w:t xml:space="preserve">(Ontario), R.S.O. 1990, c. B.16, as amended (the OBCA), was heard this day at 330 University Avenue, Toronto, Ontario. </w:t>
      </w:r>
    </w:p>
    <w:p>
      <w:pPr>
        <w:pStyle w:val="TextBody"/>
        <w:spacing w:before="120" w:after="0"/>
        <w:jc w:val="left"/>
        <w:rPr>
          <w:rFonts w:ascii="arial" w:hAnsi="arial"/>
          <w:sz w:val="20"/>
        </w:rPr>
      </w:pPr>
      <w:r>
        <w:rPr>
          <w:rFonts w:ascii="Arial" w:hAnsi="Arial"/>
          <w:b/>
          <w:sz w:val="20"/>
        </w:rPr>
        <w:t>ON READING</w:t>
      </w:r>
      <w:r>
        <w:rPr>
          <w:rFonts w:ascii="arial" w:hAnsi="arial"/>
          <w:sz w:val="20"/>
        </w:rPr>
        <w:t xml:space="preserve"> the Notice of Motion, the Notice of Application issued on April 5, 2023 and the affidavit of Jennifer Ruddick, sworn April 19, 2023 (the Ruddick Affidavit), and the exhibits thereto, including a draft of excerpts of the disclosure relating to the arrangement to be included in the Companys Management Information Circular (the Circular), which is attached as Exhibit A to the Ruddick Affidavit, and on hearing the submissions of counsel for Thomson Reuters, </w:t>
      </w:r>
    </w:p>
    <w:p>
      <w:pPr>
        <w:pStyle w:val="TextBody"/>
        <w:spacing w:before="240" w:after="0"/>
        <w:jc w:val="left"/>
        <w:rPr>
          <w:rFonts w:ascii="Arial" w:hAnsi="Arial"/>
          <w:b/>
          <w:sz w:val="20"/>
        </w:rPr>
      </w:pPr>
      <w:r>
        <w:rPr>
          <w:rFonts w:ascii="Arial" w:hAnsi="Arial"/>
          <w:b/>
          <w:sz w:val="20"/>
        </w:rPr>
        <w:t xml:space="preserve">Definitions </w:t>
      </w:r>
    </w:p>
    <w:p>
      <w:pPr>
        <w:pStyle w:val="TextBody"/>
        <w:spacing w:before="120" w:after="0"/>
        <w:jc w:val="left"/>
        <w:rPr>
          <w:rFonts w:ascii="arial" w:hAnsi="arial"/>
          <w:sz w:val="20"/>
        </w:rPr>
      </w:pPr>
      <w:r>
        <w:rPr>
          <w:rFonts w:ascii="arial" w:hAnsi="arial"/>
          <w:sz w:val="20"/>
        </w:rPr>
        <w:t xml:space="preserve">1. </w:t>
      </w:r>
      <w:r>
        <w:rPr>
          <w:rFonts w:ascii="Arial" w:hAnsi="Arial"/>
          <w:b/>
          <w:sz w:val="20"/>
        </w:rPr>
        <w:t>THIS COURT ORDERS</w:t>
      </w:r>
      <w:r>
        <w:rPr>
          <w:rFonts w:ascii="arial" w:hAnsi="arial"/>
          <w:sz w:val="20"/>
        </w:rPr>
        <w:t xml:space="preserve"> that all capitalized words used in this Interim Order shall have the meaning ascribed thereto in the Circular or the Ruddick Affidavit or otherwise as specifically defined herein. </w:t>
      </w:r>
    </w:p>
    <w:p>
      <w:pPr>
        <w:pStyle w:val="TextBody"/>
        <w:spacing w:before="240" w:after="0"/>
        <w:jc w:val="left"/>
        <w:rPr>
          <w:rFonts w:ascii="Arial" w:hAnsi="Arial"/>
          <w:b/>
          <w:sz w:val="20"/>
        </w:rPr>
      </w:pPr>
      <w:r>
        <w:rPr>
          <w:rFonts w:ascii="Arial" w:hAnsi="Arial"/>
          <w:b/>
          <w:sz w:val="20"/>
        </w:rPr>
        <w:t xml:space="preserve">The Meeting </w:t>
      </w:r>
    </w:p>
    <w:p>
      <w:pPr>
        <w:pStyle w:val="TextBody"/>
        <w:spacing w:before="120" w:after="0"/>
        <w:jc w:val="left"/>
        <w:rPr>
          <w:rFonts w:ascii="arial" w:hAnsi="arial"/>
          <w:sz w:val="20"/>
        </w:rPr>
      </w:pPr>
      <w:r>
        <w:rPr>
          <w:rFonts w:ascii="arial" w:hAnsi="arial"/>
          <w:sz w:val="20"/>
        </w:rPr>
        <w:t xml:space="preserve">2. </w:t>
      </w:r>
      <w:r>
        <w:rPr>
          <w:rFonts w:ascii="Arial" w:hAnsi="Arial"/>
          <w:b/>
          <w:sz w:val="20"/>
        </w:rPr>
        <w:t>THIS COURT ORDERS</w:t>
      </w:r>
      <w:r>
        <w:rPr>
          <w:rFonts w:ascii="arial" w:hAnsi="arial"/>
          <w:sz w:val="20"/>
        </w:rPr>
        <w:t xml:space="preserve"> that Thomson Reuters is permitted to call, hold and conduct the Meeting of the holders of common shares (the Shares) in the capital of Thomson Reuters (Shareholders) to be held on June 14, 2023 at 12:00 p.m. virtually through a webcast in order for Shareholders to consider and, if determined advisable, pass the Arrangement Resolution. </w:t>
      </w:r>
    </w:p>
    <w:p>
      <w:pPr>
        <w:pStyle w:val="TextBody"/>
        <w:spacing w:before="120" w:after="0"/>
        <w:jc w:val="left"/>
        <w:rPr>
          <w:rFonts w:ascii="arial" w:hAnsi="arial"/>
          <w:sz w:val="20"/>
        </w:rPr>
      </w:pPr>
      <w:r>
        <w:rPr>
          <w:rFonts w:ascii="arial" w:hAnsi="arial"/>
          <w:sz w:val="20"/>
        </w:rPr>
        <w:t xml:space="preserve">3. </w:t>
      </w:r>
      <w:r>
        <w:rPr>
          <w:rFonts w:ascii="Arial" w:hAnsi="Arial"/>
          <w:b/>
          <w:sz w:val="20"/>
        </w:rPr>
        <w:t>THIS COURT ORDERS</w:t>
      </w:r>
      <w:r>
        <w:rPr>
          <w:rFonts w:ascii="arial" w:hAnsi="arial"/>
          <w:sz w:val="20"/>
        </w:rPr>
        <w:t xml:space="preserve"> that the Meeting shall be called, held and conducted in accordance with the OBCA, the notice of meeting, which accompanies the Circular (the Notice) and the articles and by-laws of Thomson Reuters, subject to what may be provided hereafter and subject to any further order of this Court. </w:t>
      </w:r>
    </w:p>
    <w:p>
      <w:pPr>
        <w:pStyle w:val="TextBody"/>
        <w:spacing w:before="120" w:after="0"/>
        <w:jc w:val="left"/>
        <w:rPr>
          <w:rFonts w:ascii="arial" w:hAnsi="arial"/>
          <w:sz w:val="20"/>
        </w:rPr>
      </w:pPr>
      <w:r>
        <w:rPr>
          <w:rFonts w:ascii="arial" w:hAnsi="arial"/>
          <w:sz w:val="20"/>
        </w:rPr>
        <w:t xml:space="preserve">4. </w:t>
      </w:r>
      <w:r>
        <w:rPr>
          <w:rFonts w:ascii="Arial" w:hAnsi="Arial"/>
          <w:b/>
          <w:sz w:val="20"/>
        </w:rPr>
        <w:t>THIS COURT ORDERS</w:t>
      </w:r>
      <w:r>
        <w:rPr>
          <w:rFonts w:ascii="arial" w:hAnsi="arial"/>
          <w:sz w:val="20"/>
        </w:rPr>
        <w:t xml:space="preserve"> that the record date (the Record Date) for determination of the Shareholders entitled to notice and to vote at the Meeting shall be April 21, 2023. </w:t>
      </w:r>
    </w:p>
    <w:p>
      <w:pPr>
        <w:pStyle w:val="TextBody"/>
        <w:spacing w:before="120" w:after="0"/>
        <w:jc w:val="left"/>
        <w:rPr>
          <w:rFonts w:ascii="arial" w:hAnsi="arial"/>
          <w:sz w:val="20"/>
        </w:rPr>
      </w:pPr>
      <w:r>
        <w:rPr>
          <w:rFonts w:ascii="arial" w:hAnsi="arial"/>
          <w:sz w:val="20"/>
        </w:rPr>
        <w:t xml:space="preserve">5. </w:t>
      </w:r>
      <w:r>
        <w:rPr>
          <w:rFonts w:ascii="Arial" w:hAnsi="Arial"/>
          <w:b/>
          <w:sz w:val="20"/>
        </w:rPr>
        <w:t>THIS COURT ORDERS</w:t>
      </w:r>
      <w:r>
        <w:rPr>
          <w:rFonts w:ascii="arial" w:hAnsi="arial"/>
          <w:sz w:val="20"/>
        </w:rPr>
        <w:t xml:space="preserve"> that the only persons entitled to attend or speak at the Meeting shall be: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(b)</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officers, directors, auditors and advisors of Thomson Reuters;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other persons who may receive the permission of the Chair of the Meeting. </w:t>
            </w:r>
          </w:p>
        </w:tc>
      </w:tr>
    </w:tbl>
    <w:p>
      <w:pPr>
        <w:pStyle w:val="TextBody"/>
        <w:spacing w:before="0" w:after="0"/>
        <w:jc w:val="left"/>
        <w:rPr/>
      </w:pPr>
      <w:r>
        <w:rPr/>
        <w:t> </w:t>
      </w:r>
    </w:p>
    <w:p>
      <w:pPr>
        <w:pStyle w:val="TextBody"/>
        <w:spacing w:before="0" w:after="0"/>
        <w:jc w:val="right"/>
        <w:rPr>
          <w:rFonts w:ascii="arial" w:hAnsi="arial"/>
          <w:color w:val="FF0200"/>
          <w:sz w:val="28"/>
        </w:rPr>
      </w:pPr>
      <w:r>
        <w:rPr>
          <w:rFonts w:ascii="arial" w:hAnsi="arial"/>
          <w:color w:val="FF0200"/>
          <w:sz w:val="28"/>
        </w:rPr>
        <w:t xml:space="preserve">A180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D-1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FF0200"/>
          <w:sz w:val="28"/>
        </w:rPr>
      </w:pPr>
      <w:r>
        <w:rPr>
          <w:rFonts w:ascii="arial" w:hAnsi="arial"/>
          <w:color w:val="FF0200"/>
          <w:sz w:val="28"/>
        </w:rPr>
        <w:t xml:space="preserve">A181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6. </w:t>
      </w:r>
      <w:r>
        <w:rPr>
          <w:rFonts w:ascii="Arial" w:hAnsi="Arial"/>
          <w:b/>
          <w:sz w:val="20"/>
        </w:rPr>
        <w:t>THIS COURT ORDERS</w:t>
      </w:r>
      <w:r>
        <w:rPr>
          <w:rFonts w:ascii="arial" w:hAnsi="arial"/>
          <w:sz w:val="20"/>
        </w:rPr>
        <w:t xml:space="preserve"> that Thomson Reuters may transact such other business at the Meeting as is contemplated in the Notice or as may otherwise be properly before the Meeting. </w:t>
      </w:r>
    </w:p>
    <w:p>
      <w:pPr>
        <w:pStyle w:val="TextBody"/>
        <w:spacing w:before="240" w:after="0"/>
        <w:jc w:val="left"/>
        <w:rPr>
          <w:rFonts w:ascii="Arial" w:hAnsi="Arial"/>
          <w:b/>
          <w:sz w:val="20"/>
        </w:rPr>
      </w:pPr>
      <w:r>
        <w:rPr>
          <w:rFonts w:ascii="Arial" w:hAnsi="Arial"/>
          <w:b/>
          <w:sz w:val="20"/>
        </w:rPr>
        <w:t xml:space="preserve">Quorum </w:t>
      </w:r>
    </w:p>
    <w:p>
      <w:pPr>
        <w:pStyle w:val="TextBody"/>
        <w:spacing w:before="120" w:after="0"/>
        <w:jc w:val="left"/>
        <w:rPr>
          <w:rFonts w:ascii="arial" w:hAnsi="arial"/>
          <w:sz w:val="20"/>
        </w:rPr>
      </w:pPr>
      <w:r>
        <w:rPr>
          <w:rFonts w:ascii="arial" w:hAnsi="arial"/>
          <w:sz w:val="20"/>
        </w:rPr>
        <w:t xml:space="preserve">7. </w:t>
      </w:r>
      <w:r>
        <w:rPr>
          <w:rFonts w:ascii="Arial" w:hAnsi="Arial"/>
          <w:b/>
          <w:sz w:val="20"/>
        </w:rPr>
        <w:t>THIS COURT ORDERS</w:t>
      </w:r>
      <w:r>
        <w:rPr>
          <w:rFonts w:ascii="arial" w:hAnsi="arial"/>
          <w:sz w:val="20"/>
        </w:rPr>
        <w:t xml:space="preserve"> that the quorum at the Meeting shall be two persons who are entitled to vote at the Meeting. </w:t>
      </w:r>
    </w:p>
    <w:p>
      <w:pPr>
        <w:pStyle w:val="TextBody"/>
        <w:spacing w:before="240" w:after="0"/>
        <w:jc w:val="left"/>
        <w:rPr>
          <w:rFonts w:ascii="Arial" w:hAnsi="Arial"/>
          <w:b/>
          <w:sz w:val="20"/>
        </w:rPr>
      </w:pPr>
      <w:r>
        <w:rPr>
          <w:rFonts w:ascii="Arial" w:hAnsi="Arial"/>
          <w:b/>
          <w:sz w:val="20"/>
        </w:rPr>
        <w:t xml:space="preserve">Amendments to the Arrangement and Plan of Arrangement </w:t>
      </w:r>
    </w:p>
    <w:p>
      <w:pPr>
        <w:pStyle w:val="TextBody"/>
        <w:spacing w:before="120" w:after="0"/>
        <w:jc w:val="left"/>
        <w:rPr>
          <w:rFonts w:ascii="arial" w:hAnsi="arial"/>
          <w:sz w:val="20"/>
        </w:rPr>
      </w:pPr>
      <w:r>
        <w:rPr>
          <w:rFonts w:ascii="arial" w:hAnsi="arial"/>
          <w:sz w:val="20"/>
        </w:rPr>
        <w:t xml:space="preserve">8. </w:t>
      </w:r>
      <w:r>
        <w:rPr>
          <w:rFonts w:ascii="Arial" w:hAnsi="Arial"/>
          <w:b/>
          <w:sz w:val="20"/>
        </w:rPr>
        <w:t>THIS COURT ORDERS</w:t>
      </w:r>
      <w:r>
        <w:rPr>
          <w:rFonts w:ascii="arial" w:hAnsi="arial"/>
          <w:sz w:val="20"/>
        </w:rPr>
        <w:t xml:space="preserve"> that Thomson Reuters is authorized to make, subject to paragraph 9, below, such amendments, modifications or supplements to the Arrangement and the Plan of Arrangement as it may determine without any additional notice to the Shareholders, or others entitled to receive notice under paragraph 12 hereof and the Arrangement and Plan of Arrangement, as so amended, modified or supplemented shall be the Arrangement and Plan of Arrangement to be submitted to the Shareholders at the Meeting and shall be the subject of the Arrangement Resolution. Amendments, modifications or supplements may be made following the Meeting, but shall be subject to review and, if appropriate, further direction by this Court at the hearing for the final approval of the Arrangement. </w:t>
      </w:r>
    </w:p>
    <w:p>
      <w:pPr>
        <w:pStyle w:val="TextBody"/>
        <w:spacing w:before="120" w:after="0"/>
        <w:jc w:val="left"/>
        <w:rPr>
          <w:rFonts w:ascii="arial" w:hAnsi="arial"/>
          <w:sz w:val="20"/>
        </w:rPr>
      </w:pPr>
      <w:r>
        <w:rPr>
          <w:rFonts w:ascii="arial" w:hAnsi="arial"/>
          <w:sz w:val="20"/>
        </w:rPr>
        <w:t xml:space="preserve">9. </w:t>
      </w:r>
      <w:r>
        <w:rPr>
          <w:rFonts w:ascii="Arial" w:hAnsi="Arial"/>
          <w:b/>
          <w:sz w:val="20"/>
        </w:rPr>
        <w:t>THIS COURT ORDERS</w:t>
      </w:r>
      <w:r>
        <w:rPr>
          <w:rFonts w:ascii="arial" w:hAnsi="arial"/>
          <w:sz w:val="20"/>
        </w:rPr>
        <w:t xml:space="preserve"> that, if any amendments, modifications or supplements to the Arrangement or Plan of Arrangement as referred to in paragraph 8, above, would, if disclosed, reasonably be expected to affect a Shareholders decision to vote for or against the Arrangement Resolution, notice of such amendment, modification or supplement shall be distributed, subject to further order of this Court, by press release, newspaper advertisement, prepaid ordinary mail, or by the method most reasonably practicable in the circumstances, as Thomson Reuters may determine. </w:t>
      </w:r>
    </w:p>
    <w:p>
      <w:pPr>
        <w:pStyle w:val="TextBody"/>
        <w:spacing w:before="240" w:after="0"/>
        <w:jc w:val="left"/>
        <w:rPr>
          <w:rFonts w:ascii="Arial" w:hAnsi="Arial"/>
          <w:b/>
          <w:sz w:val="20"/>
        </w:rPr>
      </w:pPr>
      <w:r>
        <w:rPr>
          <w:rFonts w:ascii="Arial" w:hAnsi="Arial"/>
          <w:b/>
          <w:sz w:val="20"/>
        </w:rPr>
        <w:t xml:space="preserve">Amendments to the Circular </w:t>
      </w:r>
    </w:p>
    <w:p>
      <w:pPr>
        <w:pStyle w:val="TextBody"/>
        <w:spacing w:before="120" w:after="0"/>
        <w:jc w:val="left"/>
        <w:rPr>
          <w:rFonts w:ascii="arial" w:hAnsi="arial"/>
          <w:sz w:val="20"/>
        </w:rPr>
      </w:pPr>
      <w:r>
        <w:rPr>
          <w:rFonts w:ascii="arial" w:hAnsi="arial"/>
          <w:sz w:val="20"/>
        </w:rPr>
        <w:t xml:space="preserve">10. </w:t>
      </w:r>
      <w:r>
        <w:rPr>
          <w:rFonts w:ascii="Arial" w:hAnsi="Arial"/>
          <w:b/>
          <w:sz w:val="20"/>
        </w:rPr>
        <w:t>THIS COURT ORDERS</w:t>
      </w:r>
      <w:r>
        <w:rPr>
          <w:rFonts w:ascii="arial" w:hAnsi="arial"/>
          <w:sz w:val="20"/>
        </w:rPr>
        <w:t xml:space="preserve"> that Thomson Reuters is authorized to make such amendments, revisions and/or supplements to the Circular as it may determine and the Circular, as so amended, revised and/or supplemented, shall be the Circular to be distributed in accordance with paragraph 12. </w:t>
      </w:r>
    </w:p>
    <w:p>
      <w:pPr>
        <w:pStyle w:val="TextBody"/>
        <w:spacing w:before="240" w:after="0"/>
        <w:jc w:val="left"/>
        <w:rPr>
          <w:rFonts w:ascii="Arial" w:hAnsi="Arial"/>
          <w:b/>
          <w:sz w:val="20"/>
        </w:rPr>
      </w:pPr>
      <w:r>
        <w:rPr>
          <w:rFonts w:ascii="Arial" w:hAnsi="Arial"/>
          <w:b/>
          <w:sz w:val="20"/>
        </w:rPr>
        <w:t xml:space="preserve">Adjournments and Postponements </w:t>
      </w:r>
    </w:p>
    <w:p>
      <w:pPr>
        <w:pStyle w:val="TextBody"/>
        <w:spacing w:before="120" w:after="0"/>
        <w:jc w:val="left"/>
        <w:rPr>
          <w:rFonts w:ascii="arial" w:hAnsi="arial"/>
          <w:sz w:val="20"/>
        </w:rPr>
      </w:pPr>
      <w:r>
        <w:rPr>
          <w:rFonts w:ascii="arial" w:hAnsi="arial"/>
          <w:sz w:val="20"/>
        </w:rPr>
        <w:t xml:space="preserve">11. </w:t>
      </w:r>
      <w:r>
        <w:rPr>
          <w:rFonts w:ascii="Arial" w:hAnsi="Arial"/>
          <w:b/>
          <w:sz w:val="20"/>
        </w:rPr>
        <w:t>THIS COURT ORDERS</w:t>
      </w:r>
      <w:r>
        <w:rPr>
          <w:rFonts w:ascii="arial" w:hAnsi="arial"/>
          <w:sz w:val="20"/>
        </w:rPr>
        <w:t xml:space="preserve"> that Thomson Reuters, if it deems advisable, is authorized to adjourn or postpone the Meeting on one or more occasions, without the necessity of first convening the Meeting or first obtaining any vote of the Shareholders respecting the adjournment or postponement, and notice of any such adjournment or postponement shall be given by such method as Thomson Reuters may determine is appropriate in the circumstances. This provision shall not limit the authority of the Chair of the Meeting in respect of adjournments and postponements. </w:t>
      </w:r>
    </w:p>
    <w:p>
      <w:pPr>
        <w:pStyle w:val="TextBody"/>
        <w:spacing w:before="240" w:after="0"/>
        <w:jc w:val="left"/>
        <w:rPr>
          <w:rFonts w:ascii="Arial" w:hAnsi="Arial"/>
          <w:b/>
          <w:sz w:val="20"/>
        </w:rPr>
      </w:pPr>
      <w:r>
        <w:rPr>
          <w:rFonts w:ascii="Arial" w:hAnsi="Arial"/>
          <w:b/>
          <w:sz w:val="20"/>
        </w:rPr>
        <w:t xml:space="preserve">Notice of Meeting </w:t>
      </w:r>
    </w:p>
    <w:p>
      <w:pPr>
        <w:pStyle w:val="TextBody"/>
        <w:spacing w:before="120" w:after="0"/>
        <w:jc w:val="left"/>
        <w:rPr>
          <w:rFonts w:ascii="arial" w:hAnsi="arial"/>
          <w:sz w:val="20"/>
        </w:rPr>
      </w:pPr>
      <w:r>
        <w:rPr>
          <w:rFonts w:ascii="arial" w:hAnsi="arial"/>
          <w:sz w:val="20"/>
        </w:rPr>
        <w:t xml:space="preserve">12. </w:t>
      </w:r>
      <w:r>
        <w:rPr>
          <w:rFonts w:ascii="Arial" w:hAnsi="Arial"/>
          <w:b/>
          <w:sz w:val="20"/>
        </w:rPr>
        <w:t>THIS COURT ORDERS</w:t>
      </w:r>
      <w:r>
        <w:rPr>
          <w:rFonts w:ascii="arial" w:hAnsi="arial"/>
          <w:sz w:val="20"/>
        </w:rPr>
        <w:t xml:space="preserve"> that, in order to effect notice of the Meeting, Thomson Reuters shall distribute the Circular (including the Notice of Application and this Interim Order), the Notice, the form of proxy, the Letter of Transmittal, and the Opt-Out Election and Certification Form, along with such amendments or additional documents as Thomson Reuters may determine are necessary or desirable and are not inconsistent with the terms of this Interim Order (collectively, the Meeting Materials) to Shareholders not later than twenty-one days prior to the Meeting as follows or in accordance with the Notice-and-Access procedures described in paragraphs 13 and 14: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to the registered Shareholders at the close of business on the Record Date, at least 21 days prior to the date of the Meeting, excluding the date of sending and the date of the Meeting, by one or more of the following methods: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by pre-paid ordinary or first class mail at the addresses of the Shareholders as they appear on the books and records of Thomson Reuters, or its registrar and transfer agent, at the close of business on the Record Date and if no address is shown therein, then the last address of the person known to the Corporate Secretary of Thomson Reuters;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by delivery, in person or by recognized courier service or inter-office mail, to the address specified in (i) above; or </w:t>
            </w:r>
          </w:p>
        </w:tc>
      </w:tr>
    </w:tbl>
    <w:p>
      <w:pPr>
        <w:pStyle w:val="TextBody"/>
        <w:spacing w:before="0" w:after="0"/>
        <w:jc w:val="left"/>
        <w:rPr/>
      </w:pPr>
      <w:r>
        <w:rPr/>
        <w:t> </w:t>
      </w:r>
    </w:p>
    <w:p>
      <w:pPr>
        <w:pStyle w:val="TextBody"/>
        <w:spacing w:before="0" w:after="0"/>
        <w:jc w:val="right"/>
        <w:rPr>
          <w:rFonts w:ascii="arial" w:hAnsi="arial"/>
          <w:color w:val="FF0200"/>
          <w:sz w:val="28"/>
        </w:rPr>
      </w:pPr>
      <w:r>
        <w:rPr>
          <w:rFonts w:ascii="arial" w:hAnsi="arial"/>
          <w:color w:val="FF0200"/>
          <w:sz w:val="28"/>
        </w:rPr>
        <w:t xml:space="preserve">A181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D-2    Management Proxy Circular and Notice of Annual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FF0200"/>
          <w:sz w:val="28"/>
        </w:rPr>
      </w:pPr>
      <w:r>
        <w:rPr>
          <w:rFonts w:ascii="arial" w:hAnsi="arial"/>
          <w:color w:val="FF0200"/>
          <w:sz w:val="28"/>
        </w:rPr>
        <w:t xml:space="preserve">A182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by facsimile or electronic transmission (including, without limitation, by e-mail) to any Shareholder who either has previously requested electronic delivery of shareholder communications from the Company or otherwise requests such transmission in writing;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to non-registered Shareholders by providing sufficient copies of the Meeting Materials to intermediaries and registered nominees in a timely manner, in accordance with National Instrument 54-101 of the Canadian Securities Administrators (NI 54-101);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to the respective directors and auditors of Thomson Reuters by delivery in person, by recognized courier service, by pre-paid ordinary or first class mail or, with the consent of the person, by facsimile or electronic transmission, at least 21 days prior to the date of the Meeting, excluding the date of sending and the date of the Meeting; </w:t>
            </w:r>
          </w:p>
        </w:tc>
      </w:tr>
    </w:tbl>
    <w:p>
      <w:pPr>
        <w:pStyle w:val="TextBody"/>
        <w:spacing w:before="120" w:after="0"/>
        <w:jc w:val="left"/>
        <w:rPr>
          <w:rFonts w:ascii="arial" w:hAnsi="arial"/>
          <w:sz w:val="20"/>
        </w:rPr>
      </w:pPr>
      <w:r>
        <w:rPr>
          <w:rFonts w:ascii="arial" w:hAnsi="arial"/>
          <w:sz w:val="20"/>
        </w:rPr>
        <w:t xml:space="preserve">13. The Meeting Materials may instead be distributed to registered and non-registered Shareholders using Notice-and-Access,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Thomson Reuters will send a notice containing the information required by section 9.1.1 (1)(a) of National Instrument 51-102 of the Canadian Securities Administrators and section 2.7.1(1)(a) of NI 54-101 (the Notice-and-Access Notice), together with the form of proxy, to all registered Shareholders at least thirty days prior to the date of the Meeting, informing them that the Circular and proxy-related materials are available online and explaining how the Circular may be accessed;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Thomson Reuters will provide sufficient copies of the Notice-and-Access Notice to intermediaries and registered nominees in a timely manner, in accordance with NI 54-101, for distribution to non-registered Shareholders;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instead of mailing the Circular and proxy-related materials to Shareholders, Thomson Reuters will post the Circular and proxy-related materials on its website at www.tr.com and on SEDAR at www.sedar.com. </w:t>
            </w:r>
          </w:p>
        </w:tc>
      </w:tr>
    </w:tbl>
    <w:p>
      <w:pPr>
        <w:pStyle w:val="TextBody"/>
        <w:spacing w:before="120" w:after="0"/>
        <w:jc w:val="left"/>
        <w:rPr>
          <w:rFonts w:ascii="arial" w:hAnsi="arial"/>
          <w:sz w:val="20"/>
        </w:rPr>
      </w:pPr>
      <w:r>
        <w:rPr>
          <w:rFonts w:ascii="arial" w:hAnsi="arial"/>
          <w:sz w:val="20"/>
        </w:rPr>
        <w:t xml:space="preserve">14. Registered Shareholders and beneficial Shareholders will receive a paper copy of the Circular if they contact Thomson Reuters or its transfer agent after it is posted, in which case Thomson Reuters or its transfer agent will mail the Circular within three Business Days of any request, provided the request is made prior to the Meeting. </w:t>
      </w:r>
    </w:p>
    <w:p>
      <w:pPr>
        <w:pStyle w:val="TextBody"/>
        <w:spacing w:before="120" w:after="0"/>
        <w:jc w:val="left"/>
        <w:rPr>
          <w:rFonts w:ascii="arial" w:hAnsi="arial"/>
          <w:sz w:val="20"/>
        </w:rPr>
      </w:pPr>
      <w:r>
        <w:rPr>
          <w:rFonts w:ascii="arial" w:hAnsi="arial"/>
          <w:sz w:val="20"/>
        </w:rPr>
        <w:t xml:space="preserve">15. Compliance with paragraphs 12-14 shall constitute sufficient notice of the Meeting. </w:t>
      </w:r>
    </w:p>
    <w:p>
      <w:pPr>
        <w:pStyle w:val="TextBody"/>
        <w:spacing w:before="120" w:after="0"/>
        <w:jc w:val="left"/>
        <w:rPr>
          <w:rFonts w:ascii="arial" w:hAnsi="arial"/>
          <w:sz w:val="20"/>
        </w:rPr>
      </w:pPr>
      <w:r>
        <w:rPr>
          <w:rFonts w:ascii="arial" w:hAnsi="arial"/>
          <w:sz w:val="20"/>
        </w:rPr>
        <w:t xml:space="preserve">16. </w:t>
      </w:r>
      <w:r>
        <w:rPr>
          <w:rFonts w:ascii="Arial" w:hAnsi="Arial"/>
          <w:b/>
          <w:sz w:val="20"/>
        </w:rPr>
        <w:t>THIS COURT ORDERS</w:t>
      </w:r>
      <w:r>
        <w:rPr>
          <w:rFonts w:ascii="arial" w:hAnsi="arial"/>
          <w:sz w:val="20"/>
        </w:rPr>
        <w:t xml:space="preserve"> that accidental failure or omission by Thomson Reuters to give notice of the Meeting or to distribute the Meeting Materials to any person entitled by this Interim Order to receive notice, or any failure or omission to give such notice as a result of events beyond the reasonable control of Thomson Reuters, or the non-receipt of such notice shall, subject to further order of this Court, not constitute a breach of this Interim Order nor shall it invalidate any resolution passed or proceedings taken at the Meeting. If any such failure or omission is brought to the attention of Thomson Reuters, it shall use its best efforts to rectify it by the method and in the time most reasonably practicable in the circumstances. </w:t>
      </w:r>
    </w:p>
    <w:p>
      <w:pPr>
        <w:pStyle w:val="TextBody"/>
        <w:spacing w:before="120" w:after="0"/>
        <w:jc w:val="left"/>
        <w:rPr>
          <w:rFonts w:ascii="arial" w:hAnsi="arial"/>
          <w:sz w:val="20"/>
        </w:rPr>
      </w:pPr>
      <w:r>
        <w:rPr>
          <w:rFonts w:ascii="arial" w:hAnsi="arial"/>
          <w:sz w:val="20"/>
        </w:rPr>
        <w:t xml:space="preserve">17. </w:t>
      </w:r>
      <w:r>
        <w:rPr>
          <w:rFonts w:ascii="Arial" w:hAnsi="Arial"/>
          <w:b/>
          <w:sz w:val="20"/>
        </w:rPr>
        <w:t>THIS COURT ORDERS</w:t>
      </w:r>
      <w:r>
        <w:rPr>
          <w:rFonts w:ascii="arial" w:hAnsi="arial"/>
          <w:sz w:val="20"/>
        </w:rPr>
        <w:t xml:space="preserve"> that Thomson Reuters is hereby authorized to make such amendments, revisions or supplements to the Meeting Materials, as Thomson Reuters may determine (Additional Information), and that notice of such Additional Information may, subject to paragraph 9, above, be distributed by press release, newspaper advertisement, prepaid ordinary mail, or by the method most reasonably practicable in the circumstances, as Thomson Reuters may determine. </w:t>
      </w:r>
    </w:p>
    <w:p>
      <w:pPr>
        <w:pStyle w:val="TextBody"/>
        <w:spacing w:before="120" w:after="0"/>
        <w:jc w:val="left"/>
        <w:rPr>
          <w:rFonts w:ascii="arial" w:hAnsi="arial"/>
          <w:sz w:val="20"/>
        </w:rPr>
      </w:pPr>
      <w:r>
        <w:rPr>
          <w:rFonts w:ascii="arial" w:hAnsi="arial"/>
          <w:sz w:val="20"/>
        </w:rPr>
        <w:t xml:space="preserve">18. </w:t>
      </w:r>
      <w:r>
        <w:rPr>
          <w:rFonts w:ascii="Arial" w:hAnsi="Arial"/>
          <w:b/>
          <w:sz w:val="20"/>
        </w:rPr>
        <w:t>THIS COURT ORDERS</w:t>
      </w:r>
      <w:r>
        <w:rPr>
          <w:rFonts w:ascii="arial" w:hAnsi="arial"/>
          <w:sz w:val="20"/>
        </w:rPr>
        <w:t xml:space="preserve"> that distribution of the Meeting Materials pursuant to paragraph 12 of this Interim Order shall constitute notice of the Meeting and good and sufficient service of the within Application upon the persons described in paragraph 12, and that those persons are bound by any orders made on the within Application. Further, no other form of service of the Meeting Materials or any portion thereof need be made, or notice given or other material served in respect of these proceedings and/or the Meeting to such persons or to any other persons, except to the extent required by paragraph 9, above. </w:t>
      </w:r>
    </w:p>
    <w:p>
      <w:pPr>
        <w:pStyle w:val="TextBody"/>
        <w:spacing w:before="240" w:after="0"/>
        <w:jc w:val="left"/>
        <w:rPr>
          <w:rFonts w:ascii="Arial" w:hAnsi="Arial"/>
          <w:b/>
          <w:sz w:val="20"/>
        </w:rPr>
      </w:pPr>
      <w:r>
        <w:rPr>
          <w:rFonts w:ascii="Arial" w:hAnsi="Arial"/>
          <w:b/>
          <w:sz w:val="20"/>
        </w:rPr>
        <w:t xml:space="preserve">Solicitation and Revocation of Proxies </w:t>
      </w:r>
    </w:p>
    <w:p>
      <w:pPr>
        <w:pStyle w:val="TextBody"/>
        <w:spacing w:before="120" w:after="0"/>
        <w:jc w:val="left"/>
        <w:rPr>
          <w:rFonts w:ascii="arial" w:hAnsi="arial"/>
          <w:sz w:val="20"/>
        </w:rPr>
      </w:pPr>
      <w:r>
        <w:rPr>
          <w:rFonts w:ascii="arial" w:hAnsi="arial"/>
          <w:sz w:val="20"/>
        </w:rPr>
        <w:t xml:space="preserve">19. </w:t>
      </w:r>
      <w:r>
        <w:rPr>
          <w:rFonts w:ascii="Arial" w:hAnsi="Arial"/>
          <w:b/>
          <w:sz w:val="20"/>
        </w:rPr>
        <w:t>THIS COURT ORDERS</w:t>
      </w:r>
      <w:r>
        <w:rPr>
          <w:rFonts w:ascii="arial" w:hAnsi="arial"/>
          <w:sz w:val="20"/>
        </w:rPr>
        <w:t xml:space="preserve"> that Thomson Reuters is authorized to use the Letter of Transmittal, proxies and Opt-Out Election and Certification form, substantially in the form of the drafts accompanying the Circular, with such amendments and additional information as Thomson Reuters may determine are necessary or desirable. Thomson Reuters is authorized, at its expense, to solicit proxies, directly or through its officers, directors or employees, and through such agents or representatives as they may </w:t>
      </w:r>
    </w:p>
    <w:p>
      <w:pPr>
        <w:pStyle w:val="TextBody"/>
        <w:spacing w:before="0" w:after="0"/>
        <w:jc w:val="left"/>
        <w:rPr/>
      </w:pPr>
      <w:r>
        <w:rPr/>
        <w:t> </w:t>
      </w:r>
    </w:p>
    <w:p>
      <w:pPr>
        <w:pStyle w:val="TextBody"/>
        <w:spacing w:before="0" w:after="0"/>
        <w:jc w:val="right"/>
        <w:rPr>
          <w:rFonts w:ascii="arial" w:hAnsi="arial"/>
          <w:color w:val="FF0200"/>
          <w:sz w:val="28"/>
        </w:rPr>
      </w:pPr>
      <w:r>
        <w:rPr>
          <w:rFonts w:ascii="arial" w:hAnsi="arial"/>
          <w:color w:val="FF0200"/>
          <w:sz w:val="28"/>
        </w:rPr>
        <w:t xml:space="preserve">A182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D-3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FF0200"/>
          <w:sz w:val="28"/>
        </w:rPr>
      </w:pPr>
      <w:r>
        <w:rPr>
          <w:rFonts w:ascii="arial" w:hAnsi="arial"/>
          <w:color w:val="FF0200"/>
          <w:sz w:val="28"/>
        </w:rPr>
        <w:t xml:space="preserve">A183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retain for that purpose, and by mail or such other forms of personal or electronic communication as it may determine. Thomson Reuters may waive generally, in its discretion, the time limits set out in the Circular for the deposit or revocation of proxies by Shareholders, if Thomson Reuters deems it advisable to do so. </w:t>
      </w:r>
    </w:p>
    <w:p>
      <w:pPr>
        <w:pStyle w:val="TextBody"/>
        <w:spacing w:before="120" w:after="0"/>
        <w:jc w:val="left"/>
        <w:rPr>
          <w:rFonts w:ascii="arial" w:hAnsi="arial"/>
          <w:sz w:val="20"/>
        </w:rPr>
      </w:pPr>
      <w:r>
        <w:rPr>
          <w:rFonts w:ascii="arial" w:hAnsi="arial"/>
          <w:sz w:val="20"/>
        </w:rPr>
        <w:t xml:space="preserve">20. </w:t>
      </w:r>
      <w:r>
        <w:rPr>
          <w:rFonts w:ascii="Arial" w:hAnsi="Arial"/>
          <w:b/>
          <w:sz w:val="20"/>
        </w:rPr>
        <w:t>THIS COURT ORDERS</w:t>
      </w:r>
      <w:r>
        <w:rPr>
          <w:rFonts w:ascii="arial" w:hAnsi="arial"/>
          <w:sz w:val="20"/>
        </w:rPr>
        <w:t xml:space="preserve"> that Shareholders shall be entitled to revoke their proxies in accordance with the OBCA and the terms set out in the Circular. Any instruments in writing: (i) may be deposited at the registered office of Thomson Reuters as set out in the Circular; and (ii) any such instruments must be received by Thomson Reuters or its transfer agent not later than 5:00 p.m. on the second business day immediately before the Meeting (or no later than 48 hours before any adjournment or postponement thereof). </w:t>
      </w:r>
    </w:p>
    <w:p>
      <w:pPr>
        <w:pStyle w:val="TextBody"/>
        <w:spacing w:before="240" w:after="0"/>
        <w:jc w:val="left"/>
        <w:rPr>
          <w:rFonts w:ascii="Arial" w:hAnsi="Arial"/>
          <w:b/>
          <w:sz w:val="20"/>
        </w:rPr>
      </w:pPr>
      <w:r>
        <w:rPr>
          <w:rFonts w:ascii="Arial" w:hAnsi="Arial"/>
          <w:b/>
          <w:sz w:val="20"/>
        </w:rPr>
        <w:t xml:space="preserve">Voting </w:t>
      </w:r>
    </w:p>
    <w:p>
      <w:pPr>
        <w:pStyle w:val="TextBody"/>
        <w:spacing w:before="120" w:after="0"/>
        <w:jc w:val="left"/>
        <w:rPr>
          <w:rFonts w:ascii="arial" w:hAnsi="arial"/>
          <w:sz w:val="20"/>
        </w:rPr>
      </w:pPr>
      <w:r>
        <w:rPr>
          <w:rFonts w:ascii="arial" w:hAnsi="arial"/>
          <w:sz w:val="20"/>
        </w:rPr>
        <w:t xml:space="preserve">21. </w:t>
      </w:r>
      <w:r>
        <w:rPr>
          <w:rFonts w:ascii="Arial" w:hAnsi="Arial"/>
          <w:b/>
          <w:sz w:val="20"/>
        </w:rPr>
        <w:t>THIS COURT ORDERS</w:t>
      </w:r>
      <w:r>
        <w:rPr>
          <w:rFonts w:ascii="arial" w:hAnsi="arial"/>
          <w:sz w:val="20"/>
        </w:rPr>
        <w:t xml:space="preserve"> that the only persons entitled to vote in person or by proxy on the Arrangement Resolution, or such other business as may be properly brought before the Meeting, shall be those persons who hold Shares as of the close of business on the Record Date. Illegible votes, spoiled votes, defective votes and abstentions shall be deemed to be votes not cast. Proxies that are properly signed and dated but which do not contain voting instructions shall be voted in favour of the Arrangement Resolution. </w:t>
      </w:r>
    </w:p>
    <w:p>
      <w:pPr>
        <w:pStyle w:val="TextBody"/>
        <w:spacing w:before="120" w:after="0"/>
        <w:jc w:val="left"/>
        <w:rPr>
          <w:rFonts w:ascii="arial" w:hAnsi="arial"/>
          <w:sz w:val="20"/>
        </w:rPr>
      </w:pPr>
      <w:r>
        <w:rPr>
          <w:rFonts w:ascii="arial" w:hAnsi="arial"/>
          <w:sz w:val="20"/>
        </w:rPr>
        <w:t xml:space="preserve">22. </w:t>
      </w:r>
      <w:r>
        <w:rPr>
          <w:rFonts w:ascii="Arial" w:hAnsi="Arial"/>
          <w:b/>
          <w:sz w:val="20"/>
        </w:rPr>
        <w:t>THIS COURT ORDERS</w:t>
      </w:r>
      <w:r>
        <w:rPr>
          <w:rFonts w:ascii="arial" w:hAnsi="arial"/>
          <w:sz w:val="20"/>
        </w:rPr>
        <w:t xml:space="preserve"> that votes shall be taken at the Meeting on the basis of one vote per Share, and that in order for the Plan of Arrangement to be implemented, subject to further Order of this Court, the Arrangement Resolution must be passed, with or without variation, at the Meeting by at least 662⁄3% of the votes cast by holders of Shares present in person or represented by proxy at the Meeting. Such votes shall be sufficient to authorize Thomson Reuters to do all such acts and things as may be necessary or desirable to give effect to the Arrangement and the Plan of Arrangement on a basis consistent with what is provided for in the Circular without the necessity of any further approval by the Shareholders, subject only to final approval of the Arrangement by this Court. </w:t>
      </w:r>
    </w:p>
    <w:p>
      <w:pPr>
        <w:pStyle w:val="TextBody"/>
        <w:spacing w:before="120" w:after="0"/>
        <w:jc w:val="left"/>
        <w:rPr>
          <w:rFonts w:ascii="arial" w:hAnsi="arial"/>
          <w:sz w:val="20"/>
        </w:rPr>
      </w:pPr>
      <w:r>
        <w:rPr>
          <w:rFonts w:ascii="arial" w:hAnsi="arial"/>
          <w:sz w:val="20"/>
        </w:rPr>
        <w:t xml:space="preserve">23. </w:t>
      </w:r>
      <w:r>
        <w:rPr>
          <w:rFonts w:ascii="Arial" w:hAnsi="Arial"/>
          <w:b/>
          <w:sz w:val="20"/>
        </w:rPr>
        <w:t>THIS COURT ORDERS</w:t>
      </w:r>
      <w:r>
        <w:rPr>
          <w:rFonts w:ascii="arial" w:hAnsi="arial"/>
          <w:sz w:val="20"/>
        </w:rPr>
        <w:t xml:space="preserve"> that in respect of matters properly brought before the Meeting pertaining to items of business affecting Thomson Reuters (other than in respect of the Arrangement Resolution), each holder is entitled to one vote for each Share held and the vote required to approve such business shall be the affirmative vote of a majority of the votes cast by holders of Shares present in person or by proxy at the Meeting. </w:t>
      </w:r>
    </w:p>
    <w:p>
      <w:pPr>
        <w:pStyle w:val="TextBody"/>
        <w:spacing w:before="240" w:after="0"/>
        <w:jc w:val="left"/>
        <w:rPr>
          <w:rFonts w:ascii="Arial" w:hAnsi="Arial"/>
          <w:b/>
          <w:sz w:val="20"/>
        </w:rPr>
      </w:pPr>
      <w:r>
        <w:rPr>
          <w:rFonts w:ascii="Arial" w:hAnsi="Arial"/>
          <w:b/>
          <w:sz w:val="20"/>
        </w:rPr>
        <w:t xml:space="preserve">Hearing of Application for Approval of the Arrangement </w:t>
      </w:r>
    </w:p>
    <w:p>
      <w:pPr>
        <w:pStyle w:val="TextBody"/>
        <w:spacing w:before="120" w:after="0"/>
        <w:jc w:val="left"/>
        <w:rPr>
          <w:rFonts w:ascii="arial" w:hAnsi="arial"/>
          <w:sz w:val="20"/>
        </w:rPr>
      </w:pPr>
      <w:r>
        <w:rPr>
          <w:rFonts w:ascii="arial" w:hAnsi="arial"/>
          <w:sz w:val="20"/>
        </w:rPr>
        <w:t xml:space="preserve">24. </w:t>
      </w:r>
      <w:r>
        <w:rPr>
          <w:rFonts w:ascii="Arial" w:hAnsi="Arial"/>
          <w:b/>
          <w:sz w:val="20"/>
        </w:rPr>
        <w:t>THIS COURT ORDERS</w:t>
      </w:r>
      <w:r>
        <w:rPr>
          <w:rFonts w:ascii="arial" w:hAnsi="arial"/>
          <w:sz w:val="20"/>
        </w:rPr>
        <w:t xml:space="preserve"> that upon approval by the Shareholders of the Plan of Arrangement in the manner set forth in this Interim Order, Thomson Reuters may apply to this Court for final approval of the Arrangement. </w:t>
      </w:r>
    </w:p>
    <w:p>
      <w:pPr>
        <w:pStyle w:val="TextBody"/>
        <w:spacing w:before="120" w:after="0"/>
        <w:jc w:val="left"/>
        <w:rPr>
          <w:rFonts w:ascii="arial" w:hAnsi="arial"/>
          <w:sz w:val="20"/>
        </w:rPr>
      </w:pPr>
      <w:r>
        <w:rPr>
          <w:rFonts w:ascii="arial" w:hAnsi="arial"/>
          <w:sz w:val="20"/>
        </w:rPr>
        <w:t xml:space="preserve">25. </w:t>
      </w:r>
      <w:r>
        <w:rPr>
          <w:rFonts w:ascii="Arial" w:hAnsi="Arial"/>
          <w:b/>
          <w:sz w:val="20"/>
        </w:rPr>
        <w:t>THIS COURT ORDERS</w:t>
      </w:r>
      <w:r>
        <w:rPr>
          <w:rFonts w:ascii="arial" w:hAnsi="arial"/>
          <w:sz w:val="20"/>
        </w:rPr>
        <w:t xml:space="preserve"> that distribution of the Notice of Application and the Interim Order in the Circular, when sent in accordance with paragraph 12, shall constitute good and sufficient service of the Notice of Application and this Interim Order and no other form of service need be effected and no other material need be served unless a Notice of Appearance is served in accordance with paragraph 23. </w:t>
      </w:r>
    </w:p>
    <w:p>
      <w:pPr>
        <w:pStyle w:val="TextBody"/>
        <w:spacing w:before="120" w:after="0"/>
        <w:jc w:val="left"/>
        <w:rPr>
          <w:rFonts w:ascii="arial" w:hAnsi="arial"/>
          <w:sz w:val="20"/>
        </w:rPr>
      </w:pPr>
      <w:r>
        <w:rPr>
          <w:rFonts w:ascii="arial" w:hAnsi="arial"/>
          <w:sz w:val="20"/>
        </w:rPr>
        <w:t xml:space="preserve">26. </w:t>
      </w:r>
      <w:r>
        <w:rPr>
          <w:rFonts w:ascii="Arial" w:hAnsi="Arial"/>
          <w:b/>
          <w:sz w:val="20"/>
        </w:rPr>
        <w:t>THIS COURT ORDERS</w:t>
      </w:r>
      <w:r>
        <w:rPr>
          <w:rFonts w:ascii="arial" w:hAnsi="arial"/>
          <w:sz w:val="20"/>
        </w:rPr>
        <w:t xml:space="preserve"> that any Notice of Appearance served in response to the Notice of Application shall be served on the lawyers for Thomson Reuters as soon as reasonably practicable, and, in any event, no less than five days before the hearing of the within Application at the following address: </w:t>
      </w:r>
    </w:p>
    <w:p>
      <w:pPr>
        <w:pStyle w:val="TextBody"/>
        <w:spacing w:before="120" w:after="0"/>
        <w:jc w:val="left"/>
        <w:rPr>
          <w:rFonts w:ascii="arial" w:hAnsi="arial"/>
          <w:sz w:val="20"/>
        </w:rPr>
      </w:pPr>
      <w:r>
        <w:rPr>
          <w:rFonts w:ascii="arial" w:hAnsi="arial"/>
          <w:sz w:val="20"/>
        </w:rPr>
        <w:t xml:space="preserve">Andrew Gray and Colette Koopman </w:t>
      </w:r>
    </w:p>
    <w:p>
      <w:pPr>
        <w:pStyle w:val="TextBody"/>
        <w:spacing w:before="0" w:after="0"/>
        <w:jc w:val="left"/>
        <w:rPr>
          <w:rFonts w:ascii="arial" w:hAnsi="arial"/>
          <w:sz w:val="20"/>
        </w:rPr>
      </w:pPr>
      <w:r>
        <w:rPr>
          <w:rFonts w:ascii="arial" w:hAnsi="arial"/>
          <w:sz w:val="20"/>
        </w:rPr>
        <w:t xml:space="preserve">Torys LLP </w:t>
      </w:r>
    </w:p>
    <w:p>
      <w:pPr>
        <w:pStyle w:val="TextBody"/>
        <w:spacing w:before="0" w:after="0"/>
        <w:jc w:val="left"/>
        <w:rPr>
          <w:rFonts w:ascii="arial" w:hAnsi="arial"/>
          <w:sz w:val="20"/>
        </w:rPr>
      </w:pPr>
      <w:r>
        <w:rPr>
          <w:rFonts w:ascii="arial" w:hAnsi="arial"/>
          <w:sz w:val="20"/>
        </w:rPr>
        <w:t xml:space="preserve">79 Wellington Street West </w:t>
      </w:r>
    </w:p>
    <w:p>
      <w:pPr>
        <w:pStyle w:val="TextBody"/>
        <w:spacing w:before="0" w:after="0"/>
        <w:jc w:val="left"/>
        <w:rPr>
          <w:rFonts w:ascii="arial" w:hAnsi="arial"/>
          <w:sz w:val="20"/>
        </w:rPr>
      </w:pPr>
      <w:r>
        <w:rPr>
          <w:rFonts w:ascii="arial" w:hAnsi="arial"/>
          <w:sz w:val="20"/>
        </w:rPr>
        <w:t xml:space="preserve">Toronto, Ontario </w:t>
      </w:r>
    </w:p>
    <w:p>
      <w:pPr>
        <w:pStyle w:val="TextBody"/>
        <w:spacing w:before="0" w:after="0"/>
        <w:jc w:val="left"/>
        <w:rPr>
          <w:rFonts w:ascii="arial" w:hAnsi="arial"/>
          <w:sz w:val="20"/>
        </w:rPr>
      </w:pPr>
      <w:r>
        <w:rPr>
          <w:rFonts w:ascii="arial" w:hAnsi="arial"/>
          <w:sz w:val="20"/>
        </w:rPr>
        <w:t xml:space="preserve">M5K 1N2 Canada </w:t>
      </w:r>
    </w:p>
    <w:p>
      <w:pPr>
        <w:pStyle w:val="TextBody"/>
        <w:spacing w:before="0" w:after="0"/>
        <w:jc w:val="left"/>
        <w:rPr>
          <w:rFonts w:ascii="arial" w:hAnsi="arial"/>
          <w:sz w:val="20"/>
        </w:rPr>
      </w:pPr>
      <w:r>
        <w:rPr>
          <w:rFonts w:ascii="arial" w:hAnsi="arial"/>
          <w:sz w:val="20"/>
        </w:rPr>
        <w:t xml:space="preserve">email: agray@torys.com; ckoopman@torys.com </w:t>
      </w:r>
    </w:p>
    <w:p>
      <w:pPr>
        <w:pStyle w:val="TextBody"/>
        <w:spacing w:before="120" w:after="0"/>
        <w:jc w:val="left"/>
        <w:rPr>
          <w:rFonts w:ascii="arial" w:hAnsi="arial"/>
          <w:sz w:val="20"/>
        </w:rPr>
      </w:pPr>
      <w:r>
        <w:rPr>
          <w:rFonts w:ascii="arial" w:hAnsi="arial"/>
          <w:sz w:val="20"/>
        </w:rPr>
        <w:t xml:space="preserve">27. </w:t>
      </w:r>
      <w:r>
        <w:rPr>
          <w:rFonts w:ascii="Arial" w:hAnsi="Arial"/>
          <w:b/>
          <w:sz w:val="20"/>
        </w:rPr>
        <w:t>THIS COURT ORDERS</w:t>
      </w:r>
      <w:r>
        <w:rPr>
          <w:rFonts w:ascii="arial" w:hAnsi="arial"/>
          <w:sz w:val="20"/>
        </w:rPr>
        <w:t xml:space="preserve"> that, subject to further order of this Court, the only persons entitled to appear and be heard at the hearing of the within Application shall be Thomson Reuters, and any person who has filed a Notice of Appearance herein in accordance with the Notice of Application, this Interim Order and the </w:t>
      </w:r>
      <w:r>
        <w:rPr>
          <w:rFonts w:ascii="arial" w:hAnsi="arial"/>
          <w:i/>
          <w:sz w:val="20"/>
        </w:rPr>
        <w:t>Rules of Civil Procedure</w:t>
      </w:r>
      <w:r>
        <w:rPr>
          <w:rFonts w:ascii="arial" w:hAnsi="arial"/>
          <w:sz w:val="20"/>
        </w:rPr>
        <w:t xml:space="preserve">. </w:t>
      </w:r>
    </w:p>
    <w:p>
      <w:pPr>
        <w:pStyle w:val="TextBody"/>
        <w:spacing w:before="0" w:after="0"/>
        <w:jc w:val="left"/>
        <w:rPr/>
      </w:pPr>
      <w:r>
        <w:rPr/>
        <w:t> </w:t>
      </w:r>
    </w:p>
    <w:p>
      <w:pPr>
        <w:pStyle w:val="TextBody"/>
        <w:spacing w:before="0" w:after="0"/>
        <w:jc w:val="right"/>
        <w:rPr>
          <w:rFonts w:ascii="arial" w:hAnsi="arial"/>
          <w:color w:val="FF0200"/>
          <w:sz w:val="28"/>
        </w:rPr>
      </w:pPr>
      <w:r>
        <w:rPr>
          <w:rFonts w:ascii="arial" w:hAnsi="arial"/>
          <w:color w:val="FF0200"/>
          <w:sz w:val="28"/>
        </w:rPr>
        <w:t xml:space="preserve">A183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D-4    Management Proxy Circular and Notice of Annual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arial" w:hAnsi="arial"/>
          <w:color w:val="FF0200"/>
          <w:sz w:val="28"/>
        </w:rPr>
      </w:pPr>
      <w:r>
        <w:rPr>
          <w:rFonts w:ascii="arial" w:hAnsi="arial"/>
          <w:color w:val="FF0200"/>
          <w:sz w:val="28"/>
        </w:rPr>
        <w:t xml:space="preserve">A184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28. </w:t>
      </w:r>
      <w:r>
        <w:rPr>
          <w:rFonts w:ascii="Arial" w:hAnsi="Arial"/>
          <w:b/>
          <w:sz w:val="20"/>
        </w:rPr>
        <w:t>THIS COURT ORDERS</w:t>
      </w:r>
      <w:r>
        <w:rPr>
          <w:rFonts w:ascii="arial" w:hAnsi="arial"/>
          <w:sz w:val="20"/>
        </w:rPr>
        <w:t xml:space="preserve"> that any materials to be filed by Thomson Reuters in support of the within Application for final approval of the Arrangement may be filed up to the day prior to the hearing of the Application without further order of this Court. </w:t>
      </w:r>
    </w:p>
    <w:p>
      <w:pPr>
        <w:pStyle w:val="TextBody"/>
        <w:spacing w:before="120" w:after="0"/>
        <w:jc w:val="left"/>
        <w:rPr>
          <w:rFonts w:ascii="arial" w:hAnsi="arial"/>
          <w:sz w:val="20"/>
        </w:rPr>
      </w:pPr>
      <w:r>
        <w:rPr>
          <w:rFonts w:ascii="arial" w:hAnsi="arial"/>
          <w:sz w:val="20"/>
        </w:rPr>
        <w:t xml:space="preserve">29. </w:t>
      </w:r>
      <w:r>
        <w:rPr>
          <w:rFonts w:ascii="Arial" w:hAnsi="Arial"/>
          <w:b/>
          <w:sz w:val="20"/>
        </w:rPr>
        <w:t>THIS COURT ORDERS</w:t>
      </w:r>
      <w:r>
        <w:rPr>
          <w:rFonts w:ascii="arial" w:hAnsi="arial"/>
          <w:sz w:val="20"/>
        </w:rPr>
        <w:t xml:space="preserve"> that in the event the within Application for final approval does not proceed on the date set forth in the Notice of Application, and is adjourned, only those persons who served and filed a Notice of Appearance in accordance with paragraph 23 shall be entitled to be given notice of the adjourned date. </w:t>
      </w:r>
    </w:p>
    <w:p>
      <w:pPr>
        <w:pStyle w:val="TextBody"/>
        <w:spacing w:before="240" w:after="0"/>
        <w:jc w:val="left"/>
        <w:rPr>
          <w:rFonts w:ascii="Arial" w:hAnsi="Arial"/>
          <w:b/>
          <w:sz w:val="20"/>
        </w:rPr>
      </w:pPr>
      <w:r>
        <w:rPr>
          <w:rFonts w:ascii="Arial" w:hAnsi="Arial"/>
          <w:b/>
          <w:sz w:val="20"/>
        </w:rPr>
        <w:t xml:space="preserve">Precedence </w:t>
      </w:r>
    </w:p>
    <w:p>
      <w:pPr>
        <w:pStyle w:val="TextBody"/>
        <w:spacing w:before="120" w:after="0"/>
        <w:jc w:val="left"/>
        <w:rPr>
          <w:rFonts w:ascii="arial" w:hAnsi="arial"/>
          <w:sz w:val="20"/>
        </w:rPr>
      </w:pPr>
      <w:r>
        <w:rPr>
          <w:rFonts w:ascii="arial" w:hAnsi="arial"/>
          <w:sz w:val="20"/>
        </w:rPr>
        <w:t xml:space="preserve">30. </w:t>
      </w:r>
      <w:r>
        <w:rPr>
          <w:rFonts w:ascii="Arial" w:hAnsi="Arial"/>
          <w:b/>
          <w:sz w:val="20"/>
        </w:rPr>
        <w:t>THIS COURT ORDERS</w:t>
      </w:r>
      <w:r>
        <w:rPr>
          <w:rFonts w:ascii="arial" w:hAnsi="arial"/>
          <w:sz w:val="20"/>
        </w:rPr>
        <w:t xml:space="preserve"> that, to the extent of any inconsistency or discrepancy between this Interim Order and the terms of any instrument creating, governing or collateral to the Shares, or articles or by-laws of Thomson Reuters, this Interim Order shall govern. </w:t>
      </w:r>
    </w:p>
    <w:p>
      <w:pPr>
        <w:pStyle w:val="TextBody"/>
        <w:spacing w:before="240" w:after="0"/>
        <w:jc w:val="left"/>
        <w:rPr>
          <w:rFonts w:ascii="Arial" w:hAnsi="Arial"/>
          <w:b/>
          <w:sz w:val="20"/>
        </w:rPr>
      </w:pPr>
      <w:r>
        <w:rPr>
          <w:rFonts w:ascii="Arial" w:hAnsi="Arial"/>
          <w:b/>
          <w:sz w:val="20"/>
        </w:rPr>
        <w:t xml:space="preserve">Extra-Territorial Assistance </w:t>
      </w:r>
    </w:p>
    <w:p>
      <w:pPr>
        <w:pStyle w:val="TextBody"/>
        <w:spacing w:before="120" w:after="0"/>
        <w:jc w:val="left"/>
        <w:rPr>
          <w:rFonts w:ascii="arial" w:hAnsi="arial"/>
          <w:sz w:val="20"/>
        </w:rPr>
      </w:pPr>
      <w:r>
        <w:rPr>
          <w:rFonts w:ascii="arial" w:hAnsi="arial"/>
          <w:sz w:val="20"/>
        </w:rPr>
        <w:t xml:space="preserve">31. </w:t>
      </w:r>
      <w:r>
        <w:rPr>
          <w:rFonts w:ascii="Arial" w:hAnsi="Arial"/>
          <w:b/>
          <w:sz w:val="20"/>
        </w:rPr>
        <w:t>THIS COURT</w:t>
      </w:r>
      <w:r>
        <w:rPr>
          <w:rFonts w:ascii="arial" w:hAnsi="arial"/>
          <w:sz w:val="20"/>
        </w:rPr>
        <w:t xml:space="preserve"> seeks and requests the aid and recognition of any court or any judicial, regulatory or administrative body in any province of Canada and any judicial, regulatory or administrative tribunal or other court constituted pursuant to the Parliament of Canada or the legislature of any province and any court or any judicial, regulatory or administrative body of the United States or other country to act in aid of and to assist this Court in carrying out the terms of this Interim Order. </w:t>
      </w:r>
    </w:p>
    <w:p>
      <w:pPr>
        <w:pStyle w:val="TextBody"/>
        <w:spacing w:before="240" w:after="0"/>
        <w:jc w:val="left"/>
        <w:rPr>
          <w:rFonts w:ascii="Arial" w:hAnsi="Arial"/>
          <w:b/>
          <w:sz w:val="20"/>
        </w:rPr>
      </w:pPr>
      <w:r>
        <w:rPr>
          <w:rFonts w:ascii="Arial" w:hAnsi="Arial"/>
          <w:b/>
          <w:sz w:val="20"/>
        </w:rPr>
        <w:t xml:space="preserve">Variance </w:t>
      </w:r>
    </w:p>
    <w:p>
      <w:pPr>
        <w:pStyle w:val="TextBody"/>
        <w:spacing w:before="120" w:after="0"/>
        <w:jc w:val="left"/>
        <w:rPr>
          <w:rFonts w:ascii="arial" w:hAnsi="arial"/>
          <w:sz w:val="20"/>
        </w:rPr>
      </w:pPr>
      <w:r>
        <w:rPr>
          <w:rFonts w:ascii="arial" w:hAnsi="arial"/>
          <w:sz w:val="20"/>
        </w:rPr>
        <w:t xml:space="preserve">32. </w:t>
      </w:r>
      <w:r>
        <w:rPr>
          <w:rFonts w:ascii="Arial" w:hAnsi="Arial"/>
          <w:b/>
          <w:sz w:val="20"/>
        </w:rPr>
        <w:t>THIS COURT ORDERS</w:t>
      </w:r>
      <w:r>
        <w:rPr>
          <w:rFonts w:ascii="arial" w:hAnsi="arial"/>
          <w:sz w:val="20"/>
        </w:rPr>
        <w:t xml:space="preserve"> that Thomson Reuters shall be entitled to seek leave to vary this Interim Order upon such terms and upon the giving of such notice as this Court may direct.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0"/>
              <w:rPr/>
            </w:pPr>
            <w:r>
              <w:rPr/>
              <w:drawing>
                <wp:inline distT="0" distB="0" distL="0" distR="0">
                  <wp:extent cx="51435" cy="2667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51435" cy="26670"/>
                          </a:xfrm>
                          <a:prstGeom prst="rect">
                            <a:avLst/>
                          </a:prstGeom>
                        </pic:spPr>
                      </pic:pic>
                    </a:graphicData>
                  </a:graphic>
                </wp:inline>
              </w:drawing>
            </w:r>
            <w:r>
              <w:rPr/>
              <w:t xml:space="preserve"> </w:t>
            </w:r>
          </w:p>
          <w:p>
            <w:pPr>
              <w:pStyle w:val="TableContents"/>
              <w:pBdr>
                <w:bottom w:val="single" w:sz="2" w:space="1" w:color="000000"/>
              </w:pBdr>
              <w:spacing w:before="0" w:after="20"/>
              <w:rPr/>
            </w:pPr>
            <w:r>
              <w:rPr/>
              <w:t> </w:t>
            </w:r>
          </w:p>
        </w:tc>
      </w:tr>
    </w:tbl>
    <w:p>
      <w:pPr>
        <w:pStyle w:val="TextBody"/>
        <w:spacing w:before="0" w:after="0"/>
        <w:jc w:val="left"/>
        <w:rPr/>
      </w:pPr>
      <w:r>
        <w:rPr/>
        <w:t> </w:t>
      </w:r>
    </w:p>
    <w:p>
      <w:pPr>
        <w:pStyle w:val="TextBody"/>
        <w:spacing w:before="0" w:after="0"/>
        <w:jc w:val="right"/>
        <w:rPr>
          <w:rFonts w:ascii="arial" w:hAnsi="arial"/>
          <w:color w:val="FF0200"/>
          <w:sz w:val="28"/>
        </w:rPr>
      </w:pPr>
      <w:r>
        <w:rPr>
          <w:rFonts w:ascii="arial" w:hAnsi="arial"/>
          <w:color w:val="FF0200"/>
          <w:sz w:val="28"/>
        </w:rPr>
        <w:t xml:space="preserve">A184 </w:t>
      </w:r>
    </w:p>
    <w:p>
      <w:pPr>
        <w:pStyle w:val="TextBody"/>
        <w:spacing w:before="0" w:after="0"/>
        <w:jc w:val="left"/>
        <w:rPr/>
      </w:pPr>
      <w:r>
        <w:rPr/>
        <w:t>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D-5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8" w:name="tx494196_66"/>
      <w:bookmarkEnd w:id="108"/>
      <w:r>
        <w:rPr>
          <w:rFonts w:ascii="arial" w:hAnsi="arial"/>
          <w:color w:val="B94831"/>
          <w:sz w:val="52"/>
        </w:rPr>
        <w:t xml:space="preserve">Appendix E  Notice of Application for Final Order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92"/>
        <w:gridCol w:w="101"/>
        <w:gridCol w:w="5512"/>
      </w:tblGrid>
      <w:tr>
        <w:trPr/>
        <w:tc>
          <w:tcPr>
            <w:tcW w:w="459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512"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rPr>
                <w:rFonts w:ascii="arial" w:hAnsi="arial"/>
                <w:sz w:val="16"/>
              </w:rPr>
            </w:pPr>
            <w:r>
              <w:rPr>
                <w:rFonts w:ascii="arial" w:hAnsi="arial"/>
                <w:sz w:val="16"/>
              </w:rPr>
              <w:t>Electronically issued / Délivré par voie électronique : 05-Apr-2023</w:t>
            </w:r>
          </w:p>
          <w:p>
            <w:pPr>
              <w:pStyle w:val="TableContents"/>
              <w:spacing w:before="0" w:after="20"/>
              <w:rPr>
                <w:rFonts w:ascii="arial" w:hAnsi="arial"/>
                <w:sz w:val="16"/>
              </w:rPr>
            </w:pPr>
            <w:r>
              <w:rPr>
                <w:rFonts w:ascii="arial" w:hAnsi="arial"/>
                <w:sz w:val="16"/>
              </w:rPr>
              <w:t>Toronto Superior Court of Justice / Cour supérieure de justice</w:t>
            </w:r>
          </w:p>
        </w:tc>
        <w:tc>
          <w:tcPr>
            <w:tcW w:w="101" w:type="dxa"/>
            <w:tcBorders/>
            <w:shd w:fill="auto" w:val="clear"/>
            <w:vAlign w:val="bottom"/>
          </w:tcPr>
          <w:p>
            <w:pPr>
              <w:pStyle w:val="TableContents"/>
              <w:spacing w:before="0" w:after="283"/>
              <w:rPr/>
            </w:pPr>
            <w:r>
              <w:rPr/>
              <w:t> </w:t>
            </w:r>
          </w:p>
        </w:tc>
        <w:tc>
          <w:tcPr>
            <w:tcW w:w="5512" w:type="dxa"/>
            <w:tcBorders/>
            <w:shd w:fill="auto" w:val="clear"/>
          </w:tcPr>
          <w:p>
            <w:pPr>
              <w:pStyle w:val="TableContents"/>
              <w:spacing w:before="0" w:after="283"/>
              <w:jc w:val="right"/>
              <w:rPr/>
            </w:pPr>
            <w:r>
              <w:rPr>
                <w:rFonts w:ascii="Arial" w:hAnsi="Arial"/>
                <w:b/>
              </w:rPr>
              <w:t>Court File No./N° du dossier du greffe :</w:t>
            </w:r>
            <w:r>
              <w:rPr/>
              <w:t xml:space="preserve"> CV-23-00697453-00CL</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30"/>
        <w:gridCol w:w="102"/>
        <w:gridCol w:w="8573"/>
      </w:tblGrid>
      <w:tr>
        <w:trPr/>
        <w:tc>
          <w:tcPr>
            <w:tcW w:w="153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8573" w:type="dxa"/>
            <w:tcBorders/>
            <w:shd w:fill="auto" w:val="clear"/>
            <w:vAlign w:val="center"/>
          </w:tcPr>
          <w:p>
            <w:pPr>
              <w:pStyle w:val="TableContents"/>
              <w:spacing w:before="0" w:after="283"/>
              <w:rPr>
                <w:sz w:val="4"/>
                <w:szCs w:val="4"/>
              </w:rPr>
            </w:pPr>
            <w:r>
              <w:rPr>
                <w:sz w:val="4"/>
                <w:szCs w:val="4"/>
              </w:rPr>
            </w:r>
          </w:p>
        </w:tc>
      </w:tr>
      <w:tr>
        <w:trPr/>
        <w:tc>
          <w:tcPr>
            <w:tcW w:w="1530" w:type="dxa"/>
            <w:tcBorders/>
            <w:shd w:fill="auto" w:val="clear"/>
          </w:tcPr>
          <w:p>
            <w:pPr>
              <w:pStyle w:val="TableContents"/>
              <w:spacing w:before="0" w:after="283"/>
              <w:rPr/>
            </w:pPr>
            <w:r>
              <w:rPr/>
              <w:drawing>
                <wp:inline distT="0" distB="0" distL="0" distR="0">
                  <wp:extent cx="99060" cy="9906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9060" cy="9906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0"/>
              <w:jc w:val="right"/>
              <w:rPr>
                <w:rFonts w:ascii="arial" w:hAnsi="arial"/>
                <w:sz w:val="20"/>
              </w:rPr>
            </w:pPr>
            <w:r>
              <w:rPr>
                <w:rFonts w:ascii="arial" w:hAnsi="arial"/>
                <w:sz w:val="20"/>
              </w:rPr>
              <w:t>Commercial List Court File No.                                         </w:t>
            </w:r>
          </w:p>
          <w:p>
            <w:pPr>
              <w:pStyle w:val="TableContents"/>
              <w:spacing w:before="0" w:after="0"/>
              <w:jc w:val="left"/>
              <w:rPr/>
            </w:pPr>
            <w:r>
              <w:rPr/>
              <w:t> </w:t>
            </w:r>
          </w:p>
          <w:p>
            <w:pPr>
              <w:pStyle w:val="TableContents"/>
              <w:spacing w:before="0" w:after="0"/>
              <w:jc w:val="center"/>
              <w:rPr>
                <w:rFonts w:ascii="Arial" w:hAnsi="Arial"/>
                <w:b/>
                <w:sz w:val="20"/>
              </w:rPr>
            </w:pPr>
            <w:r>
              <w:rPr>
                <w:rFonts w:ascii="Arial" w:hAnsi="Arial"/>
                <w:b/>
                <w:sz w:val="20"/>
              </w:rPr>
              <w:t>ONTARIO                                      </w:t>
            </w:r>
          </w:p>
          <w:p>
            <w:pPr>
              <w:pStyle w:val="TableContents"/>
              <w:spacing w:before="0" w:after="0"/>
              <w:jc w:val="center"/>
              <w:rPr>
                <w:rFonts w:ascii="Arial" w:hAnsi="Arial"/>
                <w:b/>
                <w:sz w:val="20"/>
              </w:rPr>
            </w:pPr>
            <w:r>
              <w:rPr>
                <w:rFonts w:ascii="Arial" w:hAnsi="Arial"/>
                <w:b/>
                <w:sz w:val="20"/>
              </w:rPr>
              <w:t>SUPERIOR COURT OF JUSTICE                                     </w:t>
            </w:r>
          </w:p>
          <w:p>
            <w:pPr>
              <w:pStyle w:val="TableContents"/>
              <w:spacing w:before="0" w:after="20"/>
              <w:jc w:val="center"/>
              <w:rPr>
                <w:rFonts w:ascii="Arial" w:hAnsi="Arial"/>
                <w:b/>
                <w:sz w:val="20"/>
              </w:rPr>
            </w:pPr>
            <w:r>
              <w:rPr>
                <w:rFonts w:ascii="Arial" w:hAnsi="Arial"/>
                <w:b/>
                <w:sz w:val="20"/>
              </w:rPr>
              <w:t>COMMERCIAL LIST                                     </w:t>
            </w:r>
          </w:p>
        </w:tc>
      </w:tr>
    </w:tbl>
    <w:p>
      <w:pPr>
        <w:pStyle w:val="TextBody"/>
        <w:spacing w:before="240" w:after="0"/>
        <w:jc w:val="left"/>
        <w:rPr>
          <w:rFonts w:ascii="Arial" w:hAnsi="Arial"/>
          <w:b/>
          <w:sz w:val="20"/>
        </w:rPr>
      </w:pPr>
      <w:r>
        <w:rPr>
          <w:rFonts w:ascii="Arial" w:hAnsi="Arial"/>
          <w:b/>
          <w:sz w:val="20"/>
        </w:rPr>
        <w:t xml:space="preserve">IN THE MATTER OF AN APPLICATION UNDER SECTION 182 OF THE BUSINESS CORPORATIONS ACT (ONTARIO), R.S.O. 1990, c. B. 16, AS AMENDED </w:t>
      </w:r>
    </w:p>
    <w:p>
      <w:pPr>
        <w:pStyle w:val="TextBody"/>
        <w:spacing w:before="120" w:after="0"/>
        <w:jc w:val="left"/>
        <w:rPr>
          <w:rFonts w:ascii="Arial" w:hAnsi="Arial"/>
          <w:b/>
          <w:sz w:val="20"/>
        </w:rPr>
      </w:pPr>
      <w:r>
        <w:rPr>
          <w:rFonts w:ascii="Arial" w:hAnsi="Arial"/>
          <w:b/>
          <w:sz w:val="20"/>
        </w:rPr>
        <w:t xml:space="preserve">AND IN THE MATTER OF A PROPOSED PLAN OF ARRANGEMENT OF THOMSON REUTERS CORPORATION </w:t>
      </w:r>
    </w:p>
    <w:p>
      <w:pPr>
        <w:pStyle w:val="TextBody"/>
        <w:spacing w:before="260" w:after="0"/>
        <w:jc w:val="center"/>
        <w:rPr>
          <w:rFonts w:ascii="Arial" w:hAnsi="Arial"/>
          <w:b/>
          <w:sz w:val="20"/>
        </w:rPr>
      </w:pPr>
      <w:r>
        <w:rPr>
          <w:rFonts w:ascii="Arial" w:hAnsi="Arial"/>
          <w:b/>
          <w:sz w:val="20"/>
        </w:rPr>
        <w:t xml:space="preserve">THOMSON REUTERS CORPORATION </w:t>
      </w:r>
    </w:p>
    <w:p>
      <w:pPr>
        <w:pStyle w:val="TextBody"/>
        <w:spacing w:before="120" w:after="0"/>
        <w:jc w:val="right"/>
        <w:rPr>
          <w:rFonts w:ascii="Arial" w:hAnsi="Arial"/>
          <w:b/>
          <w:sz w:val="20"/>
        </w:rPr>
      </w:pPr>
      <w:r>
        <w:rPr>
          <w:rFonts w:ascii="Arial" w:hAnsi="Arial"/>
          <w:b/>
          <w:sz w:val="20"/>
        </w:rPr>
        <w:t xml:space="preserve">Applicant </w:t>
      </w:r>
    </w:p>
    <w:p>
      <w:pPr>
        <w:pStyle w:val="TextBody"/>
        <w:spacing w:before="240" w:after="0"/>
        <w:jc w:val="center"/>
        <w:rPr>
          <w:rFonts w:ascii="Arial" w:hAnsi="Arial"/>
          <w:b/>
          <w:sz w:val="20"/>
        </w:rPr>
      </w:pPr>
      <w:r>
        <w:rPr>
          <w:rFonts w:ascii="Arial" w:hAnsi="Arial"/>
          <w:b/>
          <w:sz w:val="20"/>
        </w:rPr>
        <w:t xml:space="preserve">NOTICE OF APPLICATION </w:t>
      </w:r>
    </w:p>
    <w:p>
      <w:pPr>
        <w:pStyle w:val="TextBody"/>
        <w:spacing w:before="120" w:after="0"/>
        <w:jc w:val="left"/>
        <w:rPr>
          <w:rFonts w:ascii="arial" w:hAnsi="arial"/>
          <w:sz w:val="20"/>
        </w:rPr>
      </w:pPr>
      <w:r>
        <w:rPr>
          <w:rFonts w:ascii="arial" w:hAnsi="arial"/>
          <w:sz w:val="20"/>
        </w:rPr>
        <w:t xml:space="preserve">TO THE RESPONDENTS </w:t>
      </w:r>
    </w:p>
    <w:p>
      <w:pPr>
        <w:pStyle w:val="TextBody"/>
        <w:spacing w:before="120" w:after="0"/>
        <w:jc w:val="left"/>
        <w:rPr>
          <w:rFonts w:ascii="arial" w:hAnsi="arial"/>
          <w:sz w:val="20"/>
        </w:rPr>
      </w:pPr>
      <w:r>
        <w:rPr>
          <w:rFonts w:ascii="arial" w:hAnsi="arial"/>
          <w:sz w:val="20"/>
        </w:rPr>
        <w:t xml:space="preserve">A LEGAL PROCEEDING HAS BEEN COMMENCED by the applicant. The claim made by the applicant appears on the following page. </w:t>
      </w:r>
    </w:p>
    <w:p>
      <w:pPr>
        <w:pStyle w:val="TextBody"/>
        <w:spacing w:before="120" w:after="0"/>
        <w:jc w:val="left"/>
        <w:rPr>
          <w:rFonts w:ascii="arial" w:hAnsi="arial"/>
          <w:sz w:val="20"/>
        </w:rPr>
      </w:pPr>
      <w:r>
        <w:rPr>
          <w:rFonts w:ascii="arial" w:hAnsi="arial"/>
          <w:sz w:val="20"/>
        </w:rPr>
        <w:t xml:space="preserve">THIS APPLICATION will come on for a hearing </w:t>
      </w:r>
    </w:p>
    <w:p>
      <w:pPr>
        <w:pStyle w:val="TextBody"/>
        <w:spacing w:before="120" w:after="0"/>
        <w:jc w:val="left"/>
        <w:rPr/>
      </w:pPr>
      <w:r>
        <w:rPr/>
        <w:t xml:space="preserve">☐ </w:t>
      </w:r>
      <w:r>
        <w:rPr>
          <w:rFonts w:ascii="arial" w:hAnsi="arial"/>
          <w:sz w:val="20"/>
        </w:rPr>
        <w:t xml:space="preserve">In writing </w:t>
      </w:r>
    </w:p>
    <w:p>
      <w:pPr>
        <w:pStyle w:val="TextBody"/>
        <w:spacing w:before="0" w:after="0"/>
        <w:jc w:val="left"/>
        <w:rPr/>
      </w:pPr>
      <w:r>
        <w:rPr/>
        <w:t xml:space="preserve">☐ </w:t>
      </w:r>
      <w:r>
        <w:rPr>
          <w:rFonts w:ascii="arial" w:hAnsi="arial"/>
          <w:sz w:val="20"/>
        </w:rPr>
        <w:t xml:space="preserve">In person </w:t>
      </w:r>
    </w:p>
    <w:p>
      <w:pPr>
        <w:pStyle w:val="TextBody"/>
        <w:spacing w:before="0" w:after="0"/>
        <w:jc w:val="left"/>
        <w:rPr/>
      </w:pPr>
      <w:r>
        <w:rPr/>
        <w:t xml:space="preserve">☐ </w:t>
      </w:r>
      <w:r>
        <w:rPr>
          <w:rFonts w:ascii="arial" w:hAnsi="arial"/>
          <w:sz w:val="20"/>
        </w:rPr>
        <w:t xml:space="preserve">By telephone conference </w:t>
      </w:r>
    </w:p>
    <w:p>
      <w:pPr>
        <w:pStyle w:val="TextBody"/>
        <w:spacing w:before="0" w:after="0"/>
        <w:jc w:val="left"/>
        <w:rPr/>
      </w:pPr>
      <w:r>
        <w:rPr/>
        <w:t xml:space="preserve">☒ </w:t>
      </w:r>
      <w:r>
        <w:rPr>
          <w:rFonts w:ascii="arial" w:hAnsi="arial"/>
          <w:sz w:val="20"/>
        </w:rPr>
        <w:t xml:space="preserve">By video conference </w:t>
      </w:r>
    </w:p>
    <w:p>
      <w:pPr>
        <w:pStyle w:val="TextBody"/>
        <w:spacing w:before="120" w:after="0"/>
        <w:jc w:val="left"/>
        <w:rPr>
          <w:rFonts w:ascii="arial" w:hAnsi="arial"/>
          <w:sz w:val="20"/>
        </w:rPr>
      </w:pPr>
      <w:r>
        <w:rPr>
          <w:rFonts w:ascii="arial" w:hAnsi="arial"/>
          <w:sz w:val="20"/>
        </w:rPr>
        <w:t xml:space="preserve">at the following location: </w:t>
      </w:r>
    </w:p>
    <w:p>
      <w:pPr>
        <w:pStyle w:val="TextBody"/>
        <w:spacing w:before="120" w:after="0"/>
        <w:jc w:val="left"/>
        <w:rPr>
          <w:rFonts w:ascii="arial" w:hAnsi="arial"/>
          <w:sz w:val="20"/>
        </w:rPr>
      </w:pPr>
      <w:r>
        <w:rPr>
          <w:rFonts w:ascii="arial" w:hAnsi="arial"/>
          <w:sz w:val="20"/>
        </w:rPr>
        <w:t xml:space="preserve">330 University Avenue, Toronto, Ontario, M5G 1R8 </w:t>
      </w:r>
    </w:p>
    <w:p>
      <w:pPr>
        <w:pStyle w:val="TextBody"/>
        <w:spacing w:before="120" w:after="0"/>
        <w:jc w:val="left"/>
        <w:rPr>
          <w:rFonts w:ascii="arial" w:hAnsi="arial"/>
          <w:sz w:val="20"/>
        </w:rPr>
      </w:pPr>
      <w:r>
        <w:rPr>
          <w:rFonts w:ascii="arial" w:hAnsi="arial"/>
          <w:sz w:val="20"/>
        </w:rPr>
        <w:t xml:space="preserve">on a date to be set by a judge presiding over the Commercial List. </w:t>
      </w:r>
    </w:p>
    <w:p>
      <w:pPr>
        <w:pStyle w:val="TextBody"/>
        <w:spacing w:before="120" w:after="0"/>
        <w:jc w:val="left"/>
        <w:rPr>
          <w:rFonts w:ascii="arial" w:hAnsi="arial"/>
          <w:sz w:val="20"/>
        </w:rPr>
      </w:pPr>
      <w:r>
        <w:rPr>
          <w:rFonts w:ascii="arial" w:hAnsi="arial"/>
          <w:sz w:val="20"/>
        </w:rPr>
        <w:t xml:space="preserve">IF YOU WISH TO OPPOSE THIS APPLICATION, to receive notice of any step in the application or to be served with any documents in the application, you or an Ontario lawyer acting for you must forthwith prepare a notice of appearance in Form 38A prescribed by the </w:t>
      </w:r>
      <w:r>
        <w:rPr>
          <w:rFonts w:ascii="arial" w:hAnsi="arial"/>
          <w:i/>
          <w:sz w:val="20"/>
        </w:rPr>
        <w:t>Rules of Civil Procedure</w:t>
      </w:r>
      <w:r>
        <w:rPr>
          <w:rFonts w:ascii="arial" w:hAnsi="arial"/>
          <w:sz w:val="20"/>
        </w:rPr>
        <w:t xml:space="preserve">, serve it on the applicants lawyer or, where the applicant does not have a lawyer, serve it on the applicant, and file it, with proof of service, in this court office, all in accordance with the Interim Order, dated April 21, 2023, and you or your lawyer must appear at the hearing. </w:t>
      </w:r>
    </w:p>
    <w:p>
      <w:pPr>
        <w:pStyle w:val="TextBody"/>
        <w:spacing w:before="120" w:after="0"/>
        <w:jc w:val="left"/>
        <w:rPr>
          <w:rFonts w:ascii="arial" w:hAnsi="arial"/>
          <w:sz w:val="20"/>
        </w:rPr>
      </w:pPr>
      <w:r>
        <w:rPr>
          <w:rFonts w:ascii="arial" w:hAnsi="arial"/>
          <w:sz w:val="20"/>
        </w:rPr>
        <w:t xml:space="preserve">IF YOU WISH TO PRESENT AFFIDAVIT OR OTHER DOCUMENTARY EVIDENCE TO THE COURT OR TO EXAMINE OR CROSS-EXAMINE WITNESSES ON THE APPLICATION, you or your lawyer must, in addition to serving your notice of appearance, serve a copy of the evidence on the applicants lawyer or, where the applicant does not have a lawyer, serve it on the applicant, and file it, with proof of service, in the court office where the application is to be heard as soon as possible, but at least four days before the hearing. </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92"/>
        <w:gridCol w:w="101"/>
        <w:gridCol w:w="5512"/>
      </w:tblGrid>
      <w:tr>
        <w:trPr/>
        <w:tc>
          <w:tcPr>
            <w:tcW w:w="459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512"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rPr>
                <w:rFonts w:ascii="arial" w:hAnsi="arial"/>
                <w:sz w:val="16"/>
              </w:rPr>
            </w:pPr>
            <w:r>
              <w:rPr>
                <w:rFonts w:ascii="arial" w:hAnsi="arial"/>
                <w:sz w:val="16"/>
              </w:rPr>
              <w:t>Electronically issued / Délivré par voie électronique : 05-Apr-2023</w:t>
            </w:r>
          </w:p>
          <w:p>
            <w:pPr>
              <w:pStyle w:val="TableContents"/>
              <w:spacing w:before="0" w:after="20"/>
              <w:rPr>
                <w:rFonts w:ascii="arial" w:hAnsi="arial"/>
                <w:sz w:val="16"/>
              </w:rPr>
            </w:pPr>
            <w:r>
              <w:rPr>
                <w:rFonts w:ascii="arial" w:hAnsi="arial"/>
                <w:sz w:val="16"/>
              </w:rPr>
              <w:t>Toronto Superior Court of Justice / Cour supérieure de justice</w:t>
            </w:r>
          </w:p>
        </w:tc>
        <w:tc>
          <w:tcPr>
            <w:tcW w:w="101" w:type="dxa"/>
            <w:tcBorders/>
            <w:shd w:fill="auto" w:val="clear"/>
            <w:vAlign w:val="bottom"/>
          </w:tcPr>
          <w:p>
            <w:pPr>
              <w:pStyle w:val="TableContents"/>
              <w:spacing w:before="0" w:after="283"/>
              <w:rPr/>
            </w:pPr>
            <w:r>
              <w:rPr/>
              <w:t> </w:t>
            </w:r>
          </w:p>
        </w:tc>
        <w:tc>
          <w:tcPr>
            <w:tcW w:w="5512" w:type="dxa"/>
            <w:tcBorders/>
            <w:shd w:fill="auto" w:val="clear"/>
          </w:tcPr>
          <w:p>
            <w:pPr>
              <w:pStyle w:val="TableContents"/>
              <w:spacing w:before="0" w:after="283"/>
              <w:jc w:val="right"/>
              <w:rPr/>
            </w:pPr>
            <w:r>
              <w:rPr>
                <w:rFonts w:ascii="Arial" w:hAnsi="Arial"/>
                <w:b/>
              </w:rPr>
              <w:t>Court File No./N° du dossier du greffe :</w:t>
            </w:r>
            <w:r>
              <w:rPr/>
              <w:t xml:space="preserve"> CV-23-00697453-00CL</w:t>
            </w:r>
          </w:p>
        </w:tc>
      </w:tr>
    </w:tbl>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IF YOU FAIL TO APPEAR AT THE HEARING, JUDGMENT MAY BE GIVEN IN YOUR ABSENCE AND WITHOUT FURTHER NOTICE TO YOU. IF YOU WISH TO OPPOSE THIS APPLICATION BUT ARE UNABLE TO PAY LEGAL FEES, LEGAL AID MAY BE AVAILABLE TO YOU BY CONTACTING A LOCAL LEGAL AID OFFICE.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20"/>
        <w:gridCol w:w="107"/>
        <w:gridCol w:w="3545"/>
        <w:gridCol w:w="107"/>
        <w:gridCol w:w="482"/>
        <w:gridCol w:w="107"/>
        <w:gridCol w:w="1280"/>
        <w:gridCol w:w="107"/>
        <w:gridCol w:w="3750"/>
      </w:tblGrid>
      <w:tr>
        <w:trPr/>
        <w:tc>
          <w:tcPr>
            <w:tcW w:w="7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54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750" w:type="dxa"/>
            <w:tcBorders/>
            <w:shd w:fill="auto" w:val="clear"/>
            <w:vAlign w:val="center"/>
          </w:tcPr>
          <w:p>
            <w:pPr>
              <w:pStyle w:val="TableContents"/>
              <w:spacing w:before="0" w:after="283"/>
              <w:rPr>
                <w:sz w:val="4"/>
                <w:szCs w:val="4"/>
              </w:rPr>
            </w:pPr>
            <w:r>
              <w:rPr>
                <w:sz w:val="4"/>
                <w:szCs w:val="4"/>
              </w:rPr>
            </w:r>
          </w:p>
        </w:tc>
      </w:tr>
      <w:tr>
        <w:trPr/>
        <w:tc>
          <w:tcPr>
            <w:tcW w:w="720" w:type="dxa"/>
            <w:tcBorders/>
            <w:shd w:fill="auto" w:val="clear"/>
            <w:vAlign w:val="bottom"/>
          </w:tcPr>
          <w:p>
            <w:pPr>
              <w:pStyle w:val="TableContents"/>
              <w:spacing w:before="0" w:after="283"/>
              <w:rPr/>
            </w:pPr>
            <w:r>
              <w:rPr/>
              <w:t>Date    </w:t>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pBdr>
                <w:bottom w:val="single" w:sz="2" w:space="1" w:color="000000"/>
              </w:pBdr>
              <w:spacing w:before="0" w:after="20"/>
              <w:rPr/>
            </w:pPr>
            <w:r>
              <w:rPr/>
              <w:t> </w:t>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Issued by</w:t>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pBdr>
                <w:bottom w:val="single" w:sz="2" w:space="1" w:color="000000"/>
              </w:pBdr>
              <w:spacing w:before="0" w:after="20"/>
              <w:rPr/>
            </w:pPr>
            <w:r>
              <w:rPr/>
              <w:t> </w:t>
            </w:r>
          </w:p>
        </w:tc>
      </w:tr>
      <w:tr>
        <w:trPr/>
        <w:tc>
          <w:tcPr>
            <w:tcW w:w="7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spacing w:before="0" w:after="283"/>
              <w:rPr/>
            </w:pPr>
            <w:r>
              <w:rPr/>
              <w:t>Local Registrar</w:t>
            </w:r>
          </w:p>
        </w:tc>
      </w:tr>
      <w:tr>
        <w:trPr/>
        <w:tc>
          <w:tcPr>
            <w:tcW w:w="7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Address of</w:t>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spacing w:before="0" w:after="283"/>
              <w:rPr/>
            </w:pPr>
            <w:r>
              <w:rPr/>
              <w:t>Superior Court of Justice</w:t>
            </w:r>
          </w:p>
        </w:tc>
      </w:tr>
      <w:tr>
        <w:trPr/>
        <w:tc>
          <w:tcPr>
            <w:tcW w:w="7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court office:    </w:t>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spacing w:before="0" w:after="283"/>
              <w:rPr/>
            </w:pPr>
            <w:r>
              <w:rPr/>
              <w:t>330 University Avenue, 9th Floor</w:t>
            </w:r>
          </w:p>
        </w:tc>
      </w:tr>
      <w:tr>
        <w:trPr/>
        <w:tc>
          <w:tcPr>
            <w:tcW w:w="7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spacing w:before="0" w:after="283"/>
              <w:rPr/>
            </w:pPr>
            <w:r>
              <w:rPr/>
              <w:t>Toronto, Ontario</w:t>
            </w:r>
          </w:p>
        </w:tc>
      </w:tr>
      <w:tr>
        <w:trPr/>
        <w:tc>
          <w:tcPr>
            <w:tcW w:w="72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750" w:type="dxa"/>
            <w:tcBorders/>
            <w:shd w:fill="auto" w:val="clear"/>
            <w:vAlign w:val="bottom"/>
          </w:tcPr>
          <w:p>
            <w:pPr>
              <w:pStyle w:val="TableContents"/>
              <w:spacing w:before="0" w:after="283"/>
              <w:rPr/>
            </w:pPr>
            <w:r>
              <w:rPr/>
              <w:t>M5G 1R7</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7"/>
        <w:gridCol w:w="123"/>
        <w:gridCol w:w="9715"/>
      </w:tblGrid>
      <w:tr>
        <w:trPr/>
        <w:tc>
          <w:tcPr>
            <w:tcW w:w="36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9715" w:type="dxa"/>
            <w:tcBorders/>
            <w:shd w:fill="auto" w:val="clear"/>
            <w:vAlign w:val="center"/>
          </w:tcPr>
          <w:p>
            <w:pPr>
              <w:pStyle w:val="TableContents"/>
              <w:spacing w:before="0" w:after="283"/>
              <w:rPr>
                <w:sz w:val="4"/>
                <w:szCs w:val="4"/>
              </w:rPr>
            </w:pPr>
            <w:r>
              <w:rPr>
                <w:sz w:val="4"/>
                <w:szCs w:val="4"/>
              </w:rPr>
            </w:r>
          </w:p>
        </w:tc>
      </w:tr>
      <w:tr>
        <w:trPr/>
        <w:tc>
          <w:tcPr>
            <w:tcW w:w="367" w:type="dxa"/>
            <w:tcBorders/>
            <w:shd w:fill="auto" w:val="clear"/>
            <w:vAlign w:val="bottom"/>
          </w:tcPr>
          <w:p>
            <w:pPr>
              <w:pStyle w:val="TableContents"/>
              <w:spacing w:before="0" w:after="283"/>
              <w:rPr/>
            </w:pPr>
            <w:r>
              <w:rPr/>
              <w:t>TO:</w:t>
            </w:r>
          </w:p>
        </w:tc>
        <w:tc>
          <w:tcPr>
            <w:tcW w:w="123" w:type="dxa"/>
            <w:tcBorders/>
            <w:shd w:fill="auto" w:val="clear"/>
            <w:vAlign w:val="bottom"/>
          </w:tcPr>
          <w:p>
            <w:pPr>
              <w:pStyle w:val="TableContents"/>
              <w:spacing w:before="0" w:after="283"/>
              <w:rPr/>
            </w:pPr>
            <w:r>
              <w:rPr/>
              <w:t>  </w:t>
            </w:r>
          </w:p>
        </w:tc>
        <w:tc>
          <w:tcPr>
            <w:tcW w:w="9715" w:type="dxa"/>
            <w:tcBorders/>
            <w:shd w:fill="auto" w:val="clear"/>
            <w:vAlign w:val="bottom"/>
          </w:tcPr>
          <w:p>
            <w:pPr>
              <w:pStyle w:val="TableContents"/>
              <w:spacing w:before="0" w:after="283"/>
              <w:rPr/>
            </w:pPr>
            <w:r>
              <w:rPr/>
              <w:t>HOLDERS OF COMMON SHARES OF</w:t>
            </w:r>
          </w:p>
        </w:tc>
      </w:tr>
      <w:tr>
        <w:trPr/>
        <w:tc>
          <w:tcPr>
            <w:tcW w:w="367"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9715" w:type="dxa"/>
            <w:tcBorders/>
            <w:shd w:fill="auto" w:val="clear"/>
            <w:vAlign w:val="bottom"/>
          </w:tcPr>
          <w:p>
            <w:pPr>
              <w:pStyle w:val="TableContents"/>
              <w:spacing w:before="0" w:after="283"/>
              <w:rPr/>
            </w:pPr>
            <w:r>
              <w:rPr/>
              <w:t>THOMSON REUTERS CORPORATION</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E-2    Management Proxy Circular and Notice of Annual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92"/>
        <w:gridCol w:w="101"/>
        <w:gridCol w:w="5512"/>
      </w:tblGrid>
      <w:tr>
        <w:trPr/>
        <w:tc>
          <w:tcPr>
            <w:tcW w:w="459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512"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rPr>
                <w:rFonts w:ascii="arial" w:hAnsi="arial"/>
                <w:sz w:val="16"/>
              </w:rPr>
            </w:pPr>
            <w:r>
              <w:rPr>
                <w:rFonts w:ascii="arial" w:hAnsi="arial"/>
                <w:sz w:val="16"/>
              </w:rPr>
              <w:t>Electronically issued / Délivré par voie électronique : 05-Apr-2023</w:t>
            </w:r>
          </w:p>
          <w:p>
            <w:pPr>
              <w:pStyle w:val="TableContents"/>
              <w:spacing w:before="0" w:after="20"/>
              <w:rPr>
                <w:rFonts w:ascii="arial" w:hAnsi="arial"/>
                <w:sz w:val="16"/>
              </w:rPr>
            </w:pPr>
            <w:r>
              <w:rPr>
                <w:rFonts w:ascii="arial" w:hAnsi="arial"/>
                <w:sz w:val="16"/>
              </w:rPr>
              <w:t>Toronto Superior Court of Justice / Cour supérieure de justice</w:t>
            </w:r>
          </w:p>
        </w:tc>
        <w:tc>
          <w:tcPr>
            <w:tcW w:w="101" w:type="dxa"/>
            <w:tcBorders/>
            <w:shd w:fill="auto" w:val="clear"/>
            <w:vAlign w:val="bottom"/>
          </w:tcPr>
          <w:p>
            <w:pPr>
              <w:pStyle w:val="TableContents"/>
              <w:spacing w:before="0" w:after="283"/>
              <w:rPr/>
            </w:pPr>
            <w:r>
              <w:rPr/>
              <w:t> </w:t>
            </w:r>
          </w:p>
        </w:tc>
        <w:tc>
          <w:tcPr>
            <w:tcW w:w="5512" w:type="dxa"/>
            <w:tcBorders/>
            <w:shd w:fill="auto" w:val="clear"/>
          </w:tcPr>
          <w:p>
            <w:pPr>
              <w:pStyle w:val="TableContents"/>
              <w:spacing w:before="0" w:after="283"/>
              <w:jc w:val="right"/>
              <w:rPr/>
            </w:pPr>
            <w:r>
              <w:rPr>
                <w:rFonts w:ascii="Arial" w:hAnsi="Arial"/>
                <w:b/>
              </w:rPr>
              <w:t>Court File No./N° du dossier du greffe :</w:t>
            </w:r>
            <w:r>
              <w:rPr/>
              <w:t xml:space="preserve"> CV-23-00697453-00CL</w:t>
            </w:r>
          </w:p>
        </w:tc>
      </w:tr>
    </w:tbl>
    <w:p>
      <w:pPr>
        <w:pStyle w:val="TextBody"/>
        <w:spacing w:before="0" w:after="0"/>
        <w:jc w:val="left"/>
        <w:rPr/>
      </w:pPr>
      <w:r>
        <w:rPr/>
        <w:t> </w:t>
      </w:r>
    </w:p>
    <w:p>
      <w:pPr>
        <w:pStyle w:val="TextBody"/>
        <w:spacing w:before="0" w:after="0"/>
        <w:jc w:val="center"/>
        <w:rPr>
          <w:rFonts w:ascii="Arial" w:hAnsi="Arial"/>
          <w:b/>
          <w:sz w:val="20"/>
        </w:rPr>
      </w:pPr>
      <w:r>
        <w:rPr>
          <w:rFonts w:ascii="Arial" w:hAnsi="Arial"/>
          <w:b/>
          <w:sz w:val="20"/>
        </w:rPr>
        <w:t xml:space="preserve">APPLICATION </w:t>
      </w:r>
    </w:p>
    <w:p>
      <w:pPr>
        <w:pStyle w:val="TextBody"/>
        <w:spacing w:before="240" w:after="0"/>
        <w:jc w:val="left"/>
        <w:rPr>
          <w:rFonts w:ascii="Arial" w:hAnsi="Arial"/>
          <w:b/>
          <w:sz w:val="20"/>
        </w:rPr>
      </w:pPr>
      <w:r>
        <w:rPr>
          <w:rFonts w:ascii="Arial" w:hAnsi="Arial"/>
          <w:b/>
          <w:sz w:val="20"/>
        </w:rPr>
        <w:t xml:space="preserve">THE APPLICANT, THOMSON REUTERS CORPORATION (THOMSON REUTERS), MAKES APPLICATION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 interim order for advice and directions pursuant to section 182(5) of the </w:t>
            </w:r>
            <w:r>
              <w:rPr>
                <w:rFonts w:ascii="arial" w:hAnsi="arial"/>
                <w:i/>
                <w:sz w:val="20"/>
              </w:rPr>
              <w:t xml:space="preserve">Business Corporations Act </w:t>
            </w:r>
            <w:r>
              <w:rPr>
                <w:rFonts w:ascii="arial" w:hAnsi="arial"/>
                <w:sz w:val="20"/>
              </w:rPr>
              <w:t xml:space="preserve">(Ontario), R.S.O. 1990, c.B.1, as amended (OBCA) with respect to calling and conducting a special meeting (the Meeting) of the holders of the common shares (the Shares) of Thomson Reuters (the Shareholders) to consider, among other things, a plan of arrangement involving Thomson Reuters (the Arrangement);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an order pursuant to s. 182(5) of the OBCA approving the Arrangement;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such further and other relief as this Honourable Court may deem just. </w:t>
            </w:r>
          </w:p>
        </w:tc>
      </w:tr>
    </w:tbl>
    <w:p>
      <w:pPr>
        <w:pStyle w:val="TextBody"/>
        <w:spacing w:before="240" w:after="0"/>
        <w:jc w:val="left"/>
        <w:rPr>
          <w:rFonts w:ascii="Arial" w:hAnsi="Arial"/>
          <w:b/>
          <w:sz w:val="20"/>
        </w:rPr>
      </w:pPr>
      <w:r>
        <w:rPr>
          <w:rFonts w:ascii="Arial" w:hAnsi="Arial"/>
          <w:b/>
          <w:sz w:val="20"/>
        </w:rPr>
        <w:t xml:space="preserve">THE GROUNDS OF THE APPLICATION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Thomson Reuters is incorporated under the OBCA and is headquartered in Toronto, Ontario;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Arrangement is an arrangement within the meaning of s. 182(1) of the OBCA;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all preconditions to the Courts approval of the Arrangement will have been satisfied prior to the hearing of the Application, including compliance with the terms of the OBCA and any Interim Order made by the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this Application has been put forward in good faith for a </w:t>
            </w:r>
            <w:r>
              <w:rPr>
                <w:rFonts w:ascii="arial" w:hAnsi="arial"/>
                <w:i/>
                <w:sz w:val="20"/>
              </w:rPr>
              <w:t xml:space="preserve">bona fide </w:t>
            </w:r>
            <w:r>
              <w:rPr>
                <w:rFonts w:ascii="arial" w:hAnsi="arial"/>
                <w:sz w:val="20"/>
              </w:rPr>
              <w:t xml:space="preserve">business purpose;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 Arrangement is fair and reasonable;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section 182 of the OBCA;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(g)</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rules 14.05(1), 14.05(2), 14.05(3)(f), 17.02 and 38 of the </w:t>
            </w:r>
            <w:r>
              <w:rPr>
                <w:rFonts w:ascii="arial" w:hAnsi="arial"/>
                <w:i/>
                <w:sz w:val="20"/>
              </w:rPr>
              <w:t>Rules of Civil Procedure</w:t>
            </w:r>
            <w:r>
              <w:rPr>
                <w:rFonts w:ascii="arial" w:hAnsi="arial"/>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(h)</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such further and other grounds as the lawyers may advise. </w:t>
            </w:r>
          </w:p>
        </w:tc>
      </w:tr>
    </w:tbl>
    <w:p>
      <w:pPr>
        <w:pStyle w:val="TextBody"/>
        <w:spacing w:before="360" w:after="0"/>
        <w:jc w:val="left"/>
        <w:rPr>
          <w:rFonts w:ascii="Arial" w:hAnsi="Arial"/>
          <w:b/>
          <w:sz w:val="20"/>
        </w:rPr>
      </w:pPr>
      <w:r>
        <w:rPr>
          <w:rFonts w:ascii="Arial" w:hAnsi="Arial"/>
          <w:b/>
          <w:sz w:val="20"/>
        </w:rPr>
        <w:t xml:space="preserve">THE FOLLOWING DOCUMENTARY EVIDENCE WILL BE USED AT THE HEARING OF THE APPLICATION: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(a)</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the Interim Order;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(b)</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affidavit evidence, to be sworn;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supplementary affidavit evidence reporting, among other things, on the results of the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such further and other material as counsel may advise and this Honourable Court may permit.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33"/>
        <w:gridCol w:w="120"/>
        <w:gridCol w:w="5052"/>
      </w:tblGrid>
      <w:tr>
        <w:trPr/>
        <w:tc>
          <w:tcPr>
            <w:tcW w:w="503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52" w:type="dxa"/>
            <w:tcBorders/>
            <w:shd w:fill="auto" w:val="clear"/>
            <w:vAlign w:val="center"/>
          </w:tcPr>
          <w:p>
            <w:pPr>
              <w:pStyle w:val="TableContents"/>
              <w:spacing w:before="0" w:after="283"/>
              <w:rPr>
                <w:sz w:val="4"/>
                <w:szCs w:val="4"/>
              </w:rPr>
            </w:pPr>
            <w:r>
              <w:rPr>
                <w:sz w:val="4"/>
                <w:szCs w:val="4"/>
              </w:rPr>
            </w:r>
          </w:p>
        </w:tc>
      </w:tr>
      <w:tr>
        <w:trPr/>
        <w:tc>
          <w:tcPr>
            <w:tcW w:w="5033" w:type="dxa"/>
            <w:tcBorders/>
            <w:shd w:fill="auto" w:val="clear"/>
            <w:vAlign w:val="bottom"/>
          </w:tcPr>
          <w:p>
            <w:pPr>
              <w:pStyle w:val="TableContents"/>
              <w:spacing w:before="0" w:after="283"/>
              <w:rPr/>
            </w:pPr>
            <w:r>
              <w:rPr/>
              <w:t>April 4, 2023</w:t>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rFonts w:ascii="Arial" w:hAnsi="Arial"/>
                <w:b/>
              </w:rPr>
            </w:pPr>
            <w:r>
              <w:rPr>
                <w:rFonts w:ascii="Arial" w:hAnsi="Arial"/>
                <w:b/>
              </w:rPr>
              <w:t>T</w:t>
            </w:r>
            <w:r>
              <w:rPr>
                <w:rFonts w:ascii="Arial" w:hAnsi="Arial"/>
                <w:b/>
                <w:sz w:val="14"/>
              </w:rPr>
              <w:t>ORYS</w:t>
            </w:r>
            <w:r>
              <w:rPr>
                <w:rFonts w:ascii="Arial" w:hAnsi="Arial"/>
                <w:b/>
              </w:rPr>
              <w:t xml:space="preserve"> LLP</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Suite 3000</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79 Wellington St. W.</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Toronto, Ontario</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M5K 1N2 Canada</w:t>
            </w:r>
          </w:p>
        </w:tc>
      </w:tr>
      <w:tr>
        <w:trPr>
          <w:trHeight w:val="120" w:hRule="atLeast"/>
        </w:trPr>
        <w:tc>
          <w:tcPr>
            <w:tcW w:w="5033" w:type="dxa"/>
            <w:tcBorders/>
            <w:shd w:fill="auto" w:val="clear"/>
            <w:vAlign w:val="center"/>
          </w:tcPr>
          <w:p>
            <w:pPr>
              <w:pStyle w:val="TableContents"/>
              <w:spacing w:before="0" w:after="283"/>
              <w:rPr>
                <w:sz w:val="4"/>
                <w:szCs w:val="4"/>
              </w:rPr>
            </w:pPr>
            <w:r>
              <w:rPr>
                <w:sz w:val="4"/>
                <w:szCs w:val="4"/>
              </w:rPr>
            </w:r>
          </w:p>
        </w:tc>
        <w:tc>
          <w:tcPr>
            <w:tcW w:w="5172" w:type="dxa"/>
            <w:gridSpan w:val="2"/>
            <w:tcBorders/>
            <w:shd w:fill="auto" w:val="clear"/>
            <w:vAlign w:val="center"/>
          </w:tcPr>
          <w:p>
            <w:pPr>
              <w:pStyle w:val="TableContents"/>
              <w:spacing w:before="0" w:after="283"/>
              <w:rPr>
                <w:sz w:val="4"/>
                <w:szCs w:val="4"/>
              </w:rPr>
            </w:pPr>
            <w:r>
              <w:rPr>
                <w:sz w:val="4"/>
                <w:szCs w:val="4"/>
              </w:rPr>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Andrew Gray (LSO #: 46626V)</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Tel: 416.865.7630</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agray@torys.com</w:t>
            </w:r>
          </w:p>
        </w:tc>
      </w:tr>
      <w:tr>
        <w:trPr>
          <w:trHeight w:val="120" w:hRule="atLeast"/>
        </w:trPr>
        <w:tc>
          <w:tcPr>
            <w:tcW w:w="5033" w:type="dxa"/>
            <w:tcBorders/>
            <w:shd w:fill="auto" w:val="clear"/>
            <w:vAlign w:val="center"/>
          </w:tcPr>
          <w:p>
            <w:pPr>
              <w:pStyle w:val="TableContents"/>
              <w:spacing w:before="0" w:after="283"/>
              <w:rPr>
                <w:sz w:val="4"/>
                <w:szCs w:val="4"/>
              </w:rPr>
            </w:pPr>
            <w:r>
              <w:rPr>
                <w:sz w:val="4"/>
                <w:szCs w:val="4"/>
              </w:rPr>
            </w:r>
          </w:p>
        </w:tc>
        <w:tc>
          <w:tcPr>
            <w:tcW w:w="5172" w:type="dxa"/>
            <w:gridSpan w:val="2"/>
            <w:tcBorders/>
            <w:shd w:fill="auto" w:val="clear"/>
            <w:vAlign w:val="center"/>
          </w:tcPr>
          <w:p>
            <w:pPr>
              <w:pStyle w:val="TableContents"/>
              <w:spacing w:before="0" w:after="283"/>
              <w:rPr>
                <w:sz w:val="4"/>
                <w:szCs w:val="4"/>
              </w:rPr>
            </w:pPr>
            <w:r>
              <w:rPr>
                <w:sz w:val="4"/>
                <w:szCs w:val="4"/>
              </w:rPr>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Colette Koopman (LSO #: 81804R)</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Tel: 416.865.7393</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ckoopman@torys.com</w:t>
            </w:r>
          </w:p>
        </w:tc>
      </w:tr>
      <w:tr>
        <w:trPr>
          <w:trHeight w:val="120" w:hRule="atLeast"/>
        </w:trPr>
        <w:tc>
          <w:tcPr>
            <w:tcW w:w="5033" w:type="dxa"/>
            <w:tcBorders/>
            <w:shd w:fill="auto" w:val="clear"/>
            <w:vAlign w:val="center"/>
          </w:tcPr>
          <w:p>
            <w:pPr>
              <w:pStyle w:val="TableContents"/>
              <w:spacing w:before="0" w:after="283"/>
              <w:rPr>
                <w:sz w:val="4"/>
                <w:szCs w:val="4"/>
              </w:rPr>
            </w:pPr>
            <w:r>
              <w:rPr>
                <w:sz w:val="4"/>
                <w:szCs w:val="4"/>
              </w:rPr>
            </w:r>
          </w:p>
        </w:tc>
        <w:tc>
          <w:tcPr>
            <w:tcW w:w="5172" w:type="dxa"/>
            <w:gridSpan w:val="2"/>
            <w:tcBorders/>
            <w:shd w:fill="auto" w:val="clear"/>
            <w:vAlign w:val="center"/>
          </w:tcPr>
          <w:p>
            <w:pPr>
              <w:pStyle w:val="TableContents"/>
              <w:spacing w:before="0" w:after="283"/>
              <w:rPr>
                <w:sz w:val="4"/>
                <w:szCs w:val="4"/>
              </w:rPr>
            </w:pPr>
            <w:r>
              <w:rPr>
                <w:sz w:val="4"/>
                <w:szCs w:val="4"/>
              </w:rPr>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Lawyers for the Applicant,</w:t>
            </w:r>
          </w:p>
        </w:tc>
      </w:tr>
      <w:tr>
        <w:trPr/>
        <w:tc>
          <w:tcPr>
            <w:tcW w:w="503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52" w:type="dxa"/>
            <w:tcBorders/>
            <w:shd w:fill="auto" w:val="clear"/>
            <w:vAlign w:val="bottom"/>
          </w:tcPr>
          <w:p>
            <w:pPr>
              <w:pStyle w:val="TableContents"/>
              <w:spacing w:before="0" w:after="283"/>
              <w:rPr/>
            </w:pPr>
            <w:r>
              <w:rPr/>
              <w:t>Thomson Reuters Corporation</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92"/>
        <w:gridCol w:w="101"/>
        <w:gridCol w:w="5512"/>
      </w:tblGrid>
      <w:tr>
        <w:trPr/>
        <w:tc>
          <w:tcPr>
            <w:tcW w:w="459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512"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rPr>
                <w:rFonts w:ascii="arial" w:hAnsi="arial"/>
                <w:sz w:val="16"/>
              </w:rPr>
            </w:pPr>
            <w:r>
              <w:rPr>
                <w:rFonts w:ascii="arial" w:hAnsi="arial"/>
                <w:sz w:val="16"/>
              </w:rPr>
              <w:t>Electronically issued / Délivré par voie électronique : 05-Apr-2023</w:t>
            </w:r>
          </w:p>
          <w:p>
            <w:pPr>
              <w:pStyle w:val="TableContents"/>
              <w:spacing w:before="0" w:after="20"/>
              <w:rPr>
                <w:rFonts w:ascii="arial" w:hAnsi="arial"/>
                <w:sz w:val="16"/>
              </w:rPr>
            </w:pPr>
            <w:r>
              <w:rPr>
                <w:rFonts w:ascii="arial" w:hAnsi="arial"/>
                <w:sz w:val="16"/>
              </w:rPr>
              <w:t>Toronto Superior Court of Justice / Cour supérieure de justice</w:t>
            </w:r>
          </w:p>
        </w:tc>
        <w:tc>
          <w:tcPr>
            <w:tcW w:w="101" w:type="dxa"/>
            <w:tcBorders/>
            <w:shd w:fill="auto" w:val="clear"/>
            <w:vAlign w:val="bottom"/>
          </w:tcPr>
          <w:p>
            <w:pPr>
              <w:pStyle w:val="TableContents"/>
              <w:spacing w:before="0" w:after="283"/>
              <w:rPr/>
            </w:pPr>
            <w:r>
              <w:rPr/>
              <w:t> </w:t>
            </w:r>
          </w:p>
        </w:tc>
        <w:tc>
          <w:tcPr>
            <w:tcW w:w="5512" w:type="dxa"/>
            <w:tcBorders/>
            <w:shd w:fill="auto" w:val="clear"/>
          </w:tcPr>
          <w:p>
            <w:pPr>
              <w:pStyle w:val="TableContents"/>
              <w:spacing w:before="0" w:after="283"/>
              <w:jc w:val="right"/>
              <w:rPr/>
            </w:pPr>
            <w:r>
              <w:rPr>
                <w:rFonts w:ascii="Arial" w:hAnsi="Arial"/>
                <w:b/>
              </w:rPr>
              <w:t>Court File No./N° du dossier du greffe :</w:t>
            </w:r>
            <w:r>
              <w:rPr/>
              <w:t xml:space="preserve"> CV-23-00697453-00CL</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26"/>
        <w:gridCol w:w="99"/>
        <w:gridCol w:w="4780"/>
      </w:tblGrid>
      <w:tr>
        <w:trPr/>
        <w:tc>
          <w:tcPr>
            <w:tcW w:w="5326"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4780" w:type="dxa"/>
            <w:tcBorders/>
            <w:shd w:fill="auto" w:val="clear"/>
            <w:vAlign w:val="center"/>
          </w:tcPr>
          <w:p>
            <w:pPr>
              <w:pStyle w:val="TableContents"/>
              <w:spacing w:before="0" w:after="283"/>
              <w:rPr>
                <w:sz w:val="4"/>
                <w:szCs w:val="4"/>
              </w:rPr>
            </w:pPr>
            <w:r>
              <w:rPr>
                <w:sz w:val="4"/>
                <w:szCs w:val="4"/>
              </w:rPr>
            </w:r>
          </w:p>
        </w:tc>
      </w:tr>
      <w:tr>
        <w:trPr/>
        <w:tc>
          <w:tcPr>
            <w:tcW w:w="5326" w:type="dxa"/>
            <w:vMerge w:val="restart"/>
            <w:tcBorders/>
            <w:shd w:fill="auto" w:val="clear"/>
            <w:vAlign w:val="bottom"/>
          </w:tcPr>
          <w:p>
            <w:pPr>
              <w:pStyle w:val="TableContents"/>
              <w:spacing w:before="0" w:after="283"/>
              <w:rPr/>
            </w:pPr>
            <w:r>
              <w:rPr>
                <w:b/>
              </w:rPr>
              <w:t xml:space="preserve">IN THE MATTER OF AN APPLICATION UNDER SECTION 182 OF THE </w:t>
            </w:r>
            <w:r>
              <w:rPr>
                <w:b/>
                <w:i/>
              </w:rPr>
              <w:t>BUSINESS CORPORATIONS ACT,</w:t>
            </w:r>
            <w:r>
              <w:rPr/>
              <w:t xml:space="preserve"> </w:t>
            </w:r>
            <w:r>
              <w:rPr>
                <w:b/>
              </w:rPr>
              <w:t>R.S.O. 1990 c. B. 16, AS AMENDED</w:t>
            </w:r>
          </w:p>
        </w:tc>
        <w:tc>
          <w:tcPr>
            <w:tcW w:w="99"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rFonts w:ascii="arial" w:hAnsi="arial"/>
              </w:rPr>
            </w:pPr>
            <w:r>
              <w:rPr>
                <w:rFonts w:ascii="arial" w:hAnsi="arial"/>
              </w:rPr>
              <w:t>Commercial List Court File No.                                     </w:t>
            </w:r>
          </w:p>
        </w:tc>
      </w:tr>
      <w:tr>
        <w:trPr/>
        <w:tc>
          <w:tcPr>
            <w:tcW w:w="5326" w:type="dxa"/>
            <w:vMerge w:val="continue"/>
            <w:tcBorders/>
            <w:shd w:fill="auto" w:val="clear"/>
            <w:vAlign w:val="bottom"/>
          </w:tcPr>
          <w:p>
            <w:pPr>
              <w:pStyle w:val="Normal"/>
              <w:rPr/>
            </w:pPr>
            <w:r>
              <w:rPr/>
            </w:r>
          </w:p>
        </w:tc>
        <w:tc>
          <w:tcPr>
            <w:tcW w:w="99"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shd w:fill="auto" w:val="clear"/>
            <w:vAlign w:val="center"/>
          </w:tcPr>
          <w:p>
            <w:pPr>
              <w:pStyle w:val="TableContents"/>
              <w:spacing w:before="0" w:after="283"/>
              <w:rPr>
                <w:sz w:val="4"/>
                <w:szCs w:val="4"/>
              </w:rPr>
            </w:pPr>
            <w:r>
              <w:rPr>
                <w:sz w:val="4"/>
                <w:szCs w:val="4"/>
              </w:rPr>
            </w:r>
          </w:p>
        </w:tc>
      </w:tr>
      <w:tr>
        <w:trPr/>
        <w:tc>
          <w:tcPr>
            <w:tcW w:w="5326" w:type="dxa"/>
            <w:vMerge w:val="restart"/>
            <w:tcBorders/>
            <w:shd w:fill="auto" w:val="clear"/>
            <w:vAlign w:val="bottom"/>
          </w:tcPr>
          <w:p>
            <w:pPr>
              <w:pStyle w:val="TableContents"/>
              <w:spacing w:before="0" w:after="283"/>
              <w:rPr>
                <w:b/>
              </w:rPr>
            </w:pPr>
            <w:r>
              <w:rPr>
                <w:b/>
              </w:rPr>
              <w:t>AND IN THE MATTER OF A PROPOSED PLAN OF ARRANGEMENT INVOLVING THOMSON REUTERS CORPORATION</w:t>
            </w:r>
          </w:p>
        </w:tc>
        <w:tc>
          <w:tcPr>
            <w:tcW w:w="99"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sz w:val="4"/>
                <w:szCs w:val="4"/>
              </w:rPr>
            </w:pPr>
            <w:r>
              <w:rPr>
                <w:sz w:val="4"/>
                <w:szCs w:val="4"/>
              </w:rPr>
            </w:r>
          </w:p>
        </w:tc>
      </w:tr>
      <w:tr>
        <w:trPr/>
        <w:tc>
          <w:tcPr>
            <w:tcW w:w="5326" w:type="dxa"/>
            <w:vMerge w:val="continue"/>
            <w:tcBorders/>
            <w:shd w:fill="auto" w:val="clear"/>
            <w:vAlign w:val="bottom"/>
          </w:tcPr>
          <w:p>
            <w:pPr>
              <w:pStyle w:val="Normal"/>
              <w:rPr/>
            </w:pPr>
            <w:r>
              <w:rPr/>
            </w:r>
          </w:p>
        </w:tc>
        <w:tc>
          <w:tcPr>
            <w:tcW w:w="99"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shd w:fill="auto" w:val="clear"/>
            <w:vAlign w:val="center"/>
          </w:tcPr>
          <w:p>
            <w:pPr>
              <w:pStyle w:val="TableContents"/>
              <w:spacing w:before="0" w:after="283"/>
              <w:rPr>
                <w:sz w:val="4"/>
                <w:szCs w:val="4"/>
              </w:rPr>
            </w:pPr>
            <w:r>
              <w:rPr>
                <w:sz w:val="4"/>
                <w:szCs w:val="4"/>
              </w:rPr>
            </w:r>
          </w:p>
        </w:tc>
      </w:tr>
      <w:tr>
        <w:trPr/>
        <w:tc>
          <w:tcPr>
            <w:tcW w:w="5326" w:type="dxa"/>
            <w:tcBorders/>
            <w:shd w:fill="auto" w:val="clear"/>
            <w:vAlign w:val="bottom"/>
          </w:tcPr>
          <w:p>
            <w:pPr>
              <w:pStyle w:val="TableContents"/>
              <w:spacing w:before="0" w:after="283"/>
              <w:rPr>
                <w:b/>
              </w:rPr>
            </w:pPr>
            <w:r>
              <w:rPr>
                <w:b/>
              </w:rPr>
              <w:t>THOMSON REUTERS CORPORATION</w:t>
            </w:r>
          </w:p>
        </w:tc>
        <w:tc>
          <w:tcPr>
            <w:tcW w:w="99" w:type="dxa"/>
            <w:tcBorders/>
            <w:shd w:fill="auto" w:val="clear"/>
            <w:vAlign w:val="bottom"/>
          </w:tcPr>
          <w:p>
            <w:pPr>
              <w:pStyle w:val="TableContents"/>
              <w:spacing w:before="0" w:after="283"/>
              <w:rPr/>
            </w:pPr>
            <w:r>
              <w:rPr/>
              <w:t> </w:t>
            </w:r>
          </w:p>
        </w:tc>
        <w:tc>
          <w:tcPr>
            <w:tcW w:w="478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shd w:fill="auto" w:val="clear"/>
            <w:vAlign w:val="center"/>
          </w:tcPr>
          <w:p>
            <w:pPr>
              <w:pStyle w:val="TableContents"/>
              <w:spacing w:before="0" w:after="283"/>
              <w:rPr>
                <w:sz w:val="4"/>
                <w:szCs w:val="4"/>
              </w:rPr>
            </w:pPr>
            <w:r>
              <w:rPr>
                <w:sz w:val="4"/>
                <w:szCs w:val="4"/>
              </w:rPr>
            </w:r>
          </w:p>
        </w:tc>
      </w:tr>
      <w:tr>
        <w:trPr/>
        <w:tc>
          <w:tcPr>
            <w:tcW w:w="5326" w:type="dxa"/>
            <w:tcBorders>
              <w:bottom w:val="single" w:sz="2" w:space="0" w:color="000000"/>
            </w:tcBorders>
            <w:shd w:fill="auto" w:val="clear"/>
            <w:tcMar>
              <w:bottom w:w="60" w:type="dxa"/>
            </w:tcMar>
            <w:vAlign w:val="bottom"/>
          </w:tcPr>
          <w:p>
            <w:pPr>
              <w:pStyle w:val="TableContents"/>
              <w:spacing w:before="0" w:after="283"/>
              <w:jc w:val="right"/>
              <w:rPr>
                <w:b/>
              </w:rPr>
            </w:pPr>
            <w:r>
              <w:rPr>
                <w:b/>
              </w:rPr>
              <w:t>Applicant</w:t>
            </w:r>
          </w:p>
        </w:tc>
        <w:tc>
          <w:tcPr>
            <w:tcW w:w="99" w:type="dxa"/>
            <w:tcBorders>
              <w:bottom w:val="single" w:sz="2" w:space="0" w:color="000000"/>
            </w:tcBorders>
            <w:shd w:fill="auto" w:val="clear"/>
            <w:tcMar>
              <w:bottom w:w="28" w:type="dxa"/>
            </w:tcMar>
            <w:vAlign w:val="bottom"/>
          </w:tcPr>
          <w:p>
            <w:pPr>
              <w:pStyle w:val="TableContents"/>
              <w:spacing w:before="0" w:after="283"/>
              <w:rPr/>
            </w:pPr>
            <w:r>
              <w:rPr/>
              <w:t> </w:t>
            </w:r>
          </w:p>
        </w:tc>
        <w:tc>
          <w:tcPr>
            <w:tcW w:w="4780"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5326" w:type="dxa"/>
            <w:tcBorders/>
            <w:shd w:fill="auto" w:val="clear"/>
            <w:vAlign w:val="bottom"/>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vAlign w:val="bottom"/>
          </w:tcPr>
          <w:p>
            <w:pPr>
              <w:pStyle w:val="TableContents"/>
              <w:spacing w:before="0" w:after="0"/>
              <w:rPr/>
            </w:pPr>
            <w:r>
              <w:rPr/>
              <w:t> </w:t>
            </w:r>
          </w:p>
          <w:p>
            <w:pPr>
              <w:pStyle w:val="TableContents"/>
              <w:spacing w:before="0" w:after="20"/>
              <w:jc w:val="center"/>
              <w:rPr>
                <w:rFonts w:ascii="Arial" w:hAnsi="Arial"/>
                <w:b/>
                <w:sz w:val="20"/>
              </w:rPr>
            </w:pPr>
            <w:r>
              <w:rPr>
                <w:rFonts w:ascii="Arial" w:hAnsi="Arial"/>
                <w:b/>
                <w:sz w:val="20"/>
              </w:rPr>
              <w:t>ONTARIO</w:t>
            </w:r>
          </w:p>
        </w:tc>
      </w:tr>
      <w:tr>
        <w:trPr/>
        <w:tc>
          <w:tcPr>
            <w:tcW w:w="5326" w:type="dxa"/>
            <w:tcBorders/>
            <w:shd w:fill="auto" w:val="clear"/>
            <w:vAlign w:val="bottom"/>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vAlign w:val="bottom"/>
          </w:tcPr>
          <w:p>
            <w:pPr>
              <w:pStyle w:val="TableContents"/>
              <w:spacing w:before="0" w:after="283"/>
              <w:jc w:val="center"/>
              <w:rPr>
                <w:rFonts w:ascii="Arial" w:hAnsi="Arial"/>
                <w:b/>
              </w:rPr>
            </w:pPr>
            <w:r>
              <w:rPr>
                <w:rFonts w:ascii="Arial" w:hAnsi="Arial"/>
                <w:b/>
              </w:rPr>
              <w:t>SUPERIOR COURT OF JUSTICE</w:t>
            </w:r>
          </w:p>
        </w:tc>
      </w:tr>
      <w:tr>
        <w:trPr/>
        <w:tc>
          <w:tcPr>
            <w:tcW w:w="5326" w:type="dxa"/>
            <w:tcBorders/>
            <w:shd w:fill="auto" w:val="clear"/>
            <w:vAlign w:val="bottom"/>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vAlign w:val="bottom"/>
          </w:tcPr>
          <w:p>
            <w:pPr>
              <w:pStyle w:val="TableContents"/>
              <w:spacing w:before="0" w:after="283"/>
              <w:jc w:val="center"/>
              <w:rPr>
                <w:rFonts w:ascii="Arial" w:hAnsi="Arial"/>
                <w:b/>
              </w:rPr>
            </w:pPr>
            <w:r>
              <w:rPr>
                <w:rFonts w:ascii="Arial" w:hAnsi="Arial"/>
                <w:b/>
              </w:rPr>
              <w:t>COMMERCIAL LIST</w:t>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5326" w:type="dxa"/>
            <w:tcBorders/>
            <w:shd w:fill="auto" w:val="clear"/>
            <w:vAlign w:val="bottom"/>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vAlign w:val="bottom"/>
          </w:tcPr>
          <w:p>
            <w:pPr>
              <w:pStyle w:val="TableContents"/>
              <w:spacing w:before="0" w:after="0"/>
              <w:jc w:val="center"/>
              <w:rPr>
                <w:rFonts w:ascii="arial" w:hAnsi="arial"/>
                <w:sz w:val="20"/>
              </w:rPr>
            </w:pPr>
            <w:r>
              <w:rPr>
                <w:rFonts w:ascii="arial" w:hAnsi="arial"/>
                <w:sz w:val="20"/>
              </w:rPr>
              <w:t>Proceeding commenced at TORONTO</w:t>
            </w:r>
          </w:p>
          <w:p>
            <w:pPr>
              <w:pStyle w:val="TableContents"/>
              <w:spacing w:before="0" w:after="20"/>
              <w:jc w:val="left"/>
              <w:rPr/>
            </w:pPr>
            <w:r>
              <w:rPr/>
              <w:t> </w:t>
            </w:r>
          </w:p>
        </w:tc>
      </w:tr>
      <w:tr>
        <w:trPr/>
        <w:tc>
          <w:tcPr>
            <w:tcW w:w="5326" w:type="dxa"/>
            <w:tcBorders/>
            <w:shd w:fill="auto" w:val="clear"/>
            <w:vAlign w:val="bottom"/>
          </w:tcPr>
          <w:p>
            <w:pPr>
              <w:pStyle w:val="TableContents"/>
              <w:spacing w:before="0" w:after="283"/>
              <w:rPr>
                <w:sz w:val="4"/>
                <w:szCs w:val="4"/>
              </w:rPr>
            </w:pPr>
            <w:r>
              <w:rPr>
                <w:sz w:val="4"/>
                <w:szCs w:val="4"/>
              </w:rPr>
            </w:r>
          </w:p>
        </w:tc>
        <w:tc>
          <w:tcPr>
            <w:tcW w:w="9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78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rPr/>
            </w:pPr>
            <w:r>
              <w:rPr/>
              <w:t> </w:t>
            </w:r>
          </w:p>
          <w:p>
            <w:pPr>
              <w:pStyle w:val="TableContents"/>
              <w:spacing w:before="0" w:after="0"/>
              <w:jc w:val="center"/>
              <w:rPr>
                <w:rFonts w:ascii="Arial" w:hAnsi="Arial"/>
                <w:b/>
                <w:sz w:val="20"/>
              </w:rPr>
            </w:pPr>
            <w:r>
              <w:rPr>
                <w:rFonts w:ascii="Arial" w:hAnsi="Arial"/>
                <w:b/>
                <w:sz w:val="20"/>
              </w:rPr>
              <w:t>NOTICE OF APPLICATION</w:t>
            </w:r>
          </w:p>
          <w:p>
            <w:pPr>
              <w:pStyle w:val="TableContents"/>
              <w:spacing w:before="0" w:after="20"/>
              <w:jc w:val="left"/>
              <w:rPr/>
            </w:pPr>
            <w:r>
              <w:rPr/>
              <w:t> </w:t>
            </w:r>
          </w:p>
        </w:tc>
      </w:tr>
      <w:tr>
        <w:trPr>
          <w:trHeight w:val="24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b/>
                <w:sz w:val="20"/>
              </w:rPr>
            </w:pPr>
            <w:r>
              <w:rPr>
                <w:rFonts w:ascii="Arial" w:hAnsi="Arial"/>
                <w:b/>
                <w:sz w:val="20"/>
              </w:rPr>
              <w:t>TORYS LLP</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Suite 3000</w:t>
            </w:r>
          </w:p>
          <w:p>
            <w:pPr>
              <w:pStyle w:val="TableContents"/>
              <w:spacing w:before="0" w:after="20"/>
              <w:rPr>
                <w:rFonts w:ascii="arial" w:hAnsi="arial"/>
                <w:sz w:val="20"/>
              </w:rPr>
            </w:pPr>
            <w:r>
              <w:rPr>
                <w:rFonts w:ascii="arial" w:hAnsi="arial"/>
                <w:sz w:val="20"/>
              </w:rPr>
              <w:t>79 Wellington St. W.</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Toronto, Ontario</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M5K 1N2 Canada</w:t>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Andrew Gray (LSO #: 46626V)</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Tel: 416.865.7630</w:t>
            </w:r>
          </w:p>
          <w:p>
            <w:pPr>
              <w:pStyle w:val="TableContents"/>
              <w:spacing w:before="0" w:after="20"/>
              <w:rPr>
                <w:rFonts w:ascii="arial" w:hAnsi="arial"/>
                <w:sz w:val="20"/>
              </w:rPr>
            </w:pPr>
            <w:r>
              <w:rPr>
                <w:rFonts w:ascii="arial" w:hAnsi="arial"/>
                <w:sz w:val="20"/>
              </w:rPr>
              <w:t>agray@torys.com</w:t>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Colette Koopman (LSO #: 81804R)</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Tel: 416.865.7393</w:t>
            </w:r>
          </w:p>
          <w:p>
            <w:pPr>
              <w:pStyle w:val="TableContents"/>
              <w:spacing w:before="0" w:after="20"/>
              <w:rPr>
                <w:rFonts w:ascii="arial" w:hAnsi="arial"/>
                <w:sz w:val="20"/>
              </w:rPr>
            </w:pPr>
            <w:r>
              <w:rPr>
                <w:rFonts w:ascii="arial" w:hAnsi="arial"/>
                <w:sz w:val="20"/>
              </w:rPr>
              <w:t>ckoopman@torys.com</w:t>
            </w:r>
          </w:p>
        </w:tc>
      </w:tr>
      <w:tr>
        <w:trPr>
          <w:trHeight w:val="120" w:hRule="atLeast"/>
        </w:trPr>
        <w:tc>
          <w:tcPr>
            <w:tcW w:w="5326" w:type="dxa"/>
            <w:tcBorders/>
            <w:shd w:fill="auto" w:val="clear"/>
            <w:vAlign w:val="center"/>
          </w:tcPr>
          <w:p>
            <w:pPr>
              <w:pStyle w:val="TableContents"/>
              <w:spacing w:before="0" w:after="283"/>
              <w:rPr>
                <w:sz w:val="4"/>
                <w:szCs w:val="4"/>
              </w:rPr>
            </w:pPr>
            <w:r>
              <w:rPr>
                <w:sz w:val="4"/>
                <w:szCs w:val="4"/>
              </w:rPr>
            </w:r>
          </w:p>
        </w:tc>
        <w:tc>
          <w:tcPr>
            <w:tcW w:w="487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Lawyers for the Applicant,</w:t>
            </w:r>
          </w:p>
        </w:tc>
      </w:tr>
      <w:tr>
        <w:trPr/>
        <w:tc>
          <w:tcPr>
            <w:tcW w:w="5326" w:type="dxa"/>
            <w:tcBorders/>
            <w:shd w:fill="auto" w:val="clear"/>
          </w:tcPr>
          <w:p>
            <w:pPr>
              <w:pStyle w:val="TableContents"/>
              <w:spacing w:before="0" w:after="283"/>
              <w:rPr>
                <w:sz w:val="4"/>
                <w:szCs w:val="4"/>
              </w:rPr>
            </w:pPr>
            <w:r>
              <w:rPr>
                <w:sz w:val="4"/>
                <w:szCs w:val="4"/>
              </w:rPr>
            </w:r>
          </w:p>
        </w:tc>
        <w:tc>
          <w:tcPr>
            <w:tcW w:w="99" w:type="dxa"/>
            <w:tcBorders>
              <w:left w:val="single" w:sz="2" w:space="0" w:color="000000"/>
            </w:tcBorders>
            <w:shd w:fill="auto" w:val="clear"/>
            <w:tcMar>
              <w:left w:w="28" w:type="dxa"/>
            </w:tcMar>
            <w:vAlign w:val="bottom"/>
          </w:tcPr>
          <w:p>
            <w:pPr>
              <w:pStyle w:val="TableContents"/>
              <w:spacing w:before="0" w:after="283"/>
              <w:rPr/>
            </w:pPr>
            <w:r>
              <w:rPr/>
              <w:t> </w:t>
            </w:r>
          </w:p>
        </w:tc>
        <w:tc>
          <w:tcPr>
            <w:tcW w:w="4780" w:type="dxa"/>
            <w:tcBorders/>
            <w:shd w:fill="auto" w:val="clear"/>
          </w:tcPr>
          <w:p>
            <w:pPr>
              <w:pStyle w:val="TableContents"/>
              <w:spacing w:before="0" w:after="0"/>
              <w:rPr>
                <w:rFonts w:ascii="arial" w:hAnsi="arial"/>
                <w:sz w:val="20"/>
              </w:rPr>
            </w:pPr>
            <w:r>
              <w:rPr>
                <w:rFonts w:ascii="arial" w:hAnsi="arial"/>
                <w:sz w:val="20"/>
              </w:rPr>
              <w:t>Thomson Reuters Corporation</w:t>
            </w:r>
          </w:p>
          <w:p>
            <w:pPr>
              <w:pStyle w:val="TableContents"/>
              <w:spacing w:before="0" w:after="20"/>
              <w:rPr/>
            </w:pPr>
            <w:r>
              <w:rPr/>
              <w:t>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E-4    Management Proxy Circular and Notice of Annual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52"/>
        </w:rPr>
      </w:pPr>
      <w:bookmarkStart w:id="109" w:name="tx494196_67"/>
      <w:bookmarkEnd w:id="109"/>
      <w:r>
        <w:rPr>
          <w:rFonts w:ascii="arial" w:hAnsi="arial"/>
          <w:color w:val="B94831"/>
          <w:sz w:val="52"/>
        </w:rPr>
        <w:t xml:space="preserve">Appendix F  Withdrawn Proposal </w:t>
      </w:r>
    </w:p>
    <w:p>
      <w:pPr>
        <w:pStyle w:val="TextBody"/>
        <w:spacing w:before="480" w:after="0"/>
        <w:jc w:val="left"/>
        <w:rPr>
          <w:rFonts w:ascii="arial" w:hAnsi="arial"/>
          <w:sz w:val="20"/>
        </w:rPr>
      </w:pPr>
      <w:r>
        <w:rPr>
          <w:rFonts w:ascii="arial" w:hAnsi="arial"/>
          <w:sz w:val="20"/>
        </w:rPr>
        <w:t xml:space="preserve">B.C. General Employees Union General Fund and B.C. General Employees Union Defence Fund of 4911 Canada Way, Burnaby, British Columbia V5G 3W3, Canada (BCGEU) submitted a proposal to our company for consideration at the annual and special meeting of shareholders. Following a constructive discussion with our company and based on our progress, ongoing work and commitments in this area, BCGEU agreed not to submit its proposal to a shareholder vote at the meeting. We agreed to include BCGEUs proposal in this circular for informational purposes only. The proposal and related supporting statement are reproduced below in full in italics, along with our companys response. This proposal is not a part of the formal business or agenda of the meeting. </w:t>
      </w:r>
    </w:p>
    <w:p>
      <w:pPr>
        <w:pStyle w:val="TextBody"/>
        <w:spacing w:before="120" w:after="0"/>
        <w:jc w:val="left"/>
        <w:rPr>
          <w:rFonts w:ascii="arial" w:hAnsi="arial"/>
          <w:color w:val="B94831"/>
          <w:sz w:val="28"/>
        </w:rPr>
      </w:pPr>
      <w:r>
        <w:rPr>
          <w:rFonts w:ascii="arial" w:hAnsi="arial"/>
          <w:color w:val="B94831"/>
          <w:sz w:val="28"/>
        </w:rPr>
        <w:t xml:space="preserve">Shareholder Proposal and Supporting Statement </w:t>
      </w:r>
    </w:p>
    <w:p>
      <w:pPr>
        <w:pStyle w:val="TextBody"/>
        <w:spacing w:before="40" w:after="0"/>
        <w:jc w:val="left"/>
        <w:rPr>
          <w:rFonts w:ascii="arial" w:hAnsi="arial"/>
          <w:i/>
          <w:sz w:val="20"/>
        </w:rPr>
      </w:pPr>
      <w:r>
        <w:rPr>
          <w:rFonts w:ascii="arial" w:hAnsi="arial"/>
          <w:i/>
          <w:sz w:val="20"/>
        </w:rPr>
        <w:t xml:space="preserve">Thomson Reuters (TRI) has faced controversy surrounding the use of its technology products, including the U.S. Immigration and Customs Enforcement (ICE) agencys use of CLEAR®. Also, license plate readers, such as those incorporated into CLEAR®, could be used by law enforcement to track those seeking abortions or providing abortion care.123 </w:t>
      </w:r>
    </w:p>
    <w:p>
      <w:pPr>
        <w:pStyle w:val="TextBody"/>
        <w:spacing w:before="120" w:after="0"/>
        <w:jc w:val="left"/>
        <w:rPr>
          <w:rFonts w:ascii="arial" w:hAnsi="arial"/>
          <w:i/>
          <w:sz w:val="20"/>
        </w:rPr>
      </w:pPr>
      <w:r>
        <w:rPr>
          <w:rFonts w:ascii="arial" w:hAnsi="arial"/>
          <w:i/>
          <w:sz w:val="20"/>
        </w:rPr>
        <w:t xml:space="preserve">In response to BCGEUs 2022 shareholder proposal, TRI disclosed its alignment with the UN Guiding Principles on Business and Human Rights (UNGPs). TRI recently released a summary of its ESG materiality assessment and human rights impact assessment (HRIA). The summary fails to disclose any of the recommendations delivered by Article One, the consultancy which conducted the HRIA. </w:t>
      </w:r>
    </w:p>
    <w:p>
      <w:pPr>
        <w:pStyle w:val="TextBody"/>
        <w:spacing w:before="120" w:after="0"/>
        <w:jc w:val="left"/>
        <w:rPr>
          <w:rFonts w:ascii="arial" w:hAnsi="arial"/>
          <w:i/>
          <w:sz w:val="20"/>
        </w:rPr>
      </w:pPr>
      <w:r>
        <w:rPr>
          <w:rFonts w:ascii="arial" w:hAnsi="arial"/>
          <w:i/>
          <w:sz w:val="20"/>
        </w:rPr>
        <w:t xml:space="preserve">In response to BCGEUs 2021 shareholder proposal, TRI pointed to its mechanisms to respect human rights: </w:t>
      </w:r>
    </w:p>
    <w:p>
      <w:pPr>
        <w:pStyle w:val="TextBody"/>
        <w:spacing w:before="120" w:after="0"/>
        <w:jc w:val="left"/>
        <w:rPr>
          <w:rFonts w:ascii="arial" w:hAnsi="arial"/>
          <w:sz w:val="20"/>
        </w:rPr>
      </w:pPr>
      <w:r>
        <w:rPr>
          <w:rFonts w:ascii="arial" w:hAnsi="arial"/>
          <w:i/>
          <w:sz w:val="20"/>
        </w:rPr>
        <w:t>Use of our investigative solutions by any Thomson Reuters customer must be in accordance with applicable laws, rules and, in relation to CLEAR, for certain specified permissible uses authorized by applicable regulations. We have implemented a robust compliance program that covers the customer lifecycle to ensure that only appropriate entities that have certified their permissible uses under applicable statutes have access to CLEAR. This program includes initial use and customer vetting, customer credentialing and validation, investigations of any allegations of misuse and ongoing education.</w:t>
      </w:r>
      <w:r>
        <w:rPr>
          <w:rFonts w:ascii="arial" w:hAnsi="arial"/>
          <w:sz w:val="20"/>
        </w:rPr>
        <w:t xml:space="preserve"> </w:t>
      </w:r>
    </w:p>
    <w:p>
      <w:pPr>
        <w:pStyle w:val="TextBody"/>
        <w:spacing w:before="120" w:after="0"/>
        <w:jc w:val="left"/>
        <w:rPr>
          <w:rFonts w:ascii="arial" w:hAnsi="arial"/>
          <w:i/>
          <w:sz w:val="20"/>
        </w:rPr>
      </w:pPr>
      <w:r>
        <w:rPr>
          <w:rFonts w:ascii="arial" w:hAnsi="arial"/>
          <w:i/>
          <w:sz w:val="20"/>
        </w:rPr>
        <w:t xml:space="preserve">These procedures, which BCGEU confirmed in discussions with TRI in 2023, do not incorporate any application of the UNGPs and international human rights norms, and are instead focused on compliance with domestic law. Despite this, in its Human Rights Policy TRI claims it is committed to respecting all internationally recognized human rights, and that it conducts human rights due diligence in line with the UNGPs.4 </w:t>
      </w:r>
    </w:p>
    <w:p>
      <w:pPr>
        <w:pStyle w:val="TextBody"/>
        <w:spacing w:before="120" w:after="0"/>
        <w:jc w:val="left"/>
        <w:rPr>
          <w:rFonts w:ascii="arial" w:hAnsi="arial"/>
          <w:i/>
          <w:sz w:val="20"/>
        </w:rPr>
      </w:pPr>
      <w:r>
        <w:rPr>
          <w:rFonts w:ascii="arial" w:hAnsi="arial"/>
          <w:i/>
          <w:sz w:val="20"/>
        </w:rPr>
        <w:t xml:space="preserve">A fundamental premise of the UNGPs is seeking compliance with standards beyond domestic law5: </w:t>
      </w:r>
    </w:p>
    <w:p>
      <w:pPr>
        <w:pStyle w:val="TextBody"/>
        <w:spacing w:before="120" w:after="0"/>
        <w:jc w:val="left"/>
        <w:rPr>
          <w:rFonts w:ascii="arial" w:hAnsi="arial"/>
          <w:sz w:val="20"/>
        </w:rPr>
      </w:pPr>
      <w:r>
        <w:rPr>
          <w:rFonts w:ascii="arial" w:hAnsi="arial"/>
          <w:i/>
          <w:sz w:val="20"/>
        </w:rPr>
        <w:t>The responsibility to respect human rights is not, however, limited to compliance with such domestic law provisions. It exists over and above legal compliance, constituting a global standard of expected conduct applicable to all businesses in all situations. It therefore also exists independently of an enterprises own commitment to human rights. It is reflected in soft law instruments such as the Guidelines for Multinational Enterprises of the Organisation for Economic Co-operation and Development (OECD). There can be legal, financial and reputational consequences if enterprises fail to meet the responsibility to respect.</w:t>
      </w:r>
      <w:r>
        <w:rPr>
          <w:rFonts w:ascii="arial" w:hAnsi="arial"/>
          <w:sz w:val="20"/>
        </w:rPr>
        <w:t xml:space="preserve"> </w:t>
      </w:r>
    </w:p>
    <w:p>
      <w:pPr>
        <w:pStyle w:val="TextBody"/>
        <w:spacing w:before="120" w:after="0"/>
        <w:jc w:val="left"/>
        <w:rPr>
          <w:rFonts w:ascii="arial" w:hAnsi="arial"/>
          <w:i/>
          <w:sz w:val="20"/>
        </w:rPr>
      </w:pPr>
      <w:r>
        <w:rPr>
          <w:rFonts w:ascii="arial" w:hAnsi="arial"/>
          <w:i/>
          <w:sz w:val="20"/>
        </w:rPr>
        <w:t xml:space="preserve">In May 2020, Australias Rio Tinto complied with domestic law in destroying a 46,000-year-old Aboriginal site in Western Australias Juukan Gorge in order to expand an iron ore mine. Rio Tinto later admitted its failings, including non-compliance with the UNGPs. As stated in one article 6, [t]he destruction was irreversible, but, incredibly, legal. </w:t>
      </w:r>
    </w:p>
    <w:p>
      <w:pPr>
        <w:pStyle w:val="TextBody"/>
        <w:spacing w:before="120" w:after="0"/>
        <w:jc w:val="left"/>
        <w:rPr>
          <w:rFonts w:ascii="arial" w:hAnsi="arial"/>
          <w:i/>
          <w:sz w:val="20"/>
        </w:rPr>
      </w:pPr>
      <w:r>
        <w:rPr>
          <w:rFonts w:ascii="arial" w:hAnsi="arial"/>
          <w:i/>
          <w:sz w:val="20"/>
        </w:rPr>
        <w:t xml:space="preserve">RESOLVED: The Board evaluate it human rights due diligence procedures to determine whether compliance with permissible use of its products should be limited to compliance with domestic law, or whether, as required by the UN Guiding Principles on Business and Human Rights (UNGPs), such analysis be informed by international human rights norms such as the UNGPs.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1 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https://www.wired.com/story/license-plate-reader-alpr-surveillance-abortion/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2 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https://apnews.com/article/abortion-health -nashville-statutes-government-and-politicsc3ca03d813f99a7b34b40cd2f27e8518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3 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https://www.washingtonpost.com/nation/2023/03/29/idaho-abortion-trafficking-biII-travel-gop/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4 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https://www.thomsonreuters.com/content/dam/ewp-m/documents/thomsonreuters/en/pdf/social-impact/trhuman- rights-policy-final-2023.pdf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5 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https://www.business-humanrights.org/en/big-issues/un-guiding-principles-on-business-human-rights/guidanceimplementation/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B94831"/>
          <w:sz w:val="28"/>
        </w:rPr>
      </w:pPr>
      <w:r>
        <w:rPr>
          <w:rFonts w:ascii="arial" w:hAnsi="arial"/>
          <w:color w:val="B94831"/>
          <w:sz w:val="28"/>
        </w:rPr>
        <w:t xml:space="preserve">Thomson Reuters Response </w:t>
      </w:r>
    </w:p>
    <w:p>
      <w:pPr>
        <w:pStyle w:val="TextBody"/>
        <w:spacing w:before="40" w:after="0"/>
        <w:jc w:val="left"/>
        <w:rPr>
          <w:rFonts w:ascii="arial" w:hAnsi="arial"/>
          <w:sz w:val="20"/>
        </w:rPr>
      </w:pPr>
      <w:r>
        <w:rPr>
          <w:rFonts w:ascii="arial" w:hAnsi="arial"/>
          <w:sz w:val="20"/>
        </w:rPr>
        <w:t>Thomson Reuters takes its role as a responsible corporate citizen seriously and continues to strive for leadership, and not just compliance, in this space. The Company and the Thomson Reuters Board of Directors have evaluated our human rights due diligence procedures, and we have determined that our compliance aligns with the requirements of domestic and international laws, as well as the UN Guiding Principles of Business and Human Rights. We accomplish this through our written policies and procedures, corporate governance frameworks, internal advisory groups that further disseminate communications, and the advice and guidance received from external consultants and counsel.</w:t>
      </w:r>
    </w:p>
    <w:p>
      <w:pPr>
        <w:pStyle w:val="TextBody"/>
        <w:spacing w:before="120" w:after="0"/>
        <w:jc w:val="left"/>
        <w:rPr>
          <w:rFonts w:ascii="arial" w:hAnsi="arial"/>
          <w:sz w:val="20"/>
        </w:rPr>
      </w:pPr>
      <w:r>
        <w:rPr>
          <w:rFonts w:ascii="arial" w:hAnsi="arial"/>
          <w:sz w:val="20"/>
        </w:rPr>
        <w:t xml:space="preserve">In our engagement with BCGEU, we confirmed to the BCGEU how we have addressed the concerns raised in the shareholder proposal already by implementing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7"/>
        <w:gridCol w:w="109"/>
        <w:gridCol w:w="9652"/>
      </w:tblGrid>
      <w:tr>
        <w:trPr/>
        <w:tc>
          <w:tcPr>
            <w:tcW w:w="207"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2" w:type="dxa"/>
            <w:tcBorders/>
            <w:shd w:fill="auto" w:val="clear"/>
          </w:tcPr>
          <w:p>
            <w:pPr>
              <w:pStyle w:val="TableContents"/>
              <w:spacing w:before="0" w:after="0"/>
              <w:jc w:val="left"/>
              <w:rPr>
                <w:rFonts w:ascii="arial" w:hAnsi="arial"/>
                <w:sz w:val="20"/>
              </w:rPr>
            </w:pPr>
            <w:r>
              <w:rPr>
                <w:rFonts w:ascii="Arial" w:hAnsi="Arial"/>
                <w:b/>
                <w:sz w:val="20"/>
              </w:rPr>
              <w:t>Established policies and procedures that reinforce the companys commitment to human rights</w:t>
            </w:r>
            <w:r>
              <w:rPr>
                <w:rFonts w:ascii="arial" w:hAnsi="arial"/>
                <w:sz w:val="20"/>
              </w:rPr>
              <w:t xml:space="preserve">, such as our Code of Business Conduct and Ethics, Supply Chain Ethical Code, supplier onboarding and due diligence processes and Modern Slavery Transparency Statement. In April 2023, Thomson Reuters released its Human Rights Policy, which underscores our commitment to human rights as well as our approach to managing human rights impacts.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9"/>
        <w:gridCol w:w="109"/>
        <w:gridCol w:w="9650"/>
      </w:tblGrid>
      <w:tr>
        <w:trPr/>
        <w:tc>
          <w:tcPr>
            <w:tcW w:w="2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0" w:type="dxa"/>
            <w:tcBorders/>
            <w:shd w:fill="auto" w:val="clear"/>
          </w:tcPr>
          <w:p>
            <w:pPr>
              <w:pStyle w:val="TableContents"/>
              <w:spacing w:before="0" w:after="0"/>
              <w:jc w:val="left"/>
              <w:rPr>
                <w:rFonts w:ascii="arial" w:hAnsi="arial"/>
                <w:sz w:val="20"/>
              </w:rPr>
            </w:pPr>
            <w:r>
              <w:rPr>
                <w:rFonts w:ascii="Arial" w:hAnsi="Arial"/>
                <w:b/>
                <w:sz w:val="20"/>
              </w:rPr>
              <w:t>Established corporate governance framework, with Board and management oversight of ESG</w:t>
            </w:r>
            <w:r>
              <w:rPr>
                <w:rFonts w:ascii="arial" w:hAnsi="arial"/>
                <w:sz w:val="20"/>
              </w:rPr>
              <w:t>, which includes oversight of human rights matters. In 2021, the Corporate Governance Committee of the Board took over ESG oversight and coordination amongst the Boards four standing committees. You can find more information about ESG oversight by the Board and its committees on page 40 of this circular.</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6"/>
        <w:gridCol w:w="232"/>
        <w:gridCol w:w="107"/>
        <w:gridCol w:w="9660"/>
      </w:tblGrid>
      <w:tr>
        <w:trPr/>
        <w:tc>
          <w:tcPr>
            <w:tcW w:w="206" w:type="dxa"/>
            <w:tcBorders/>
            <w:shd w:fill="auto" w:val="clear"/>
            <w:vAlign w:val="center"/>
          </w:tcPr>
          <w:p>
            <w:pPr>
              <w:pStyle w:val="TableContents"/>
              <w:spacing w:before="0" w:after="283"/>
              <w:rPr/>
            </w:pPr>
            <w:r>
              <w:rPr/>
              <w:t> </w:t>
            </w:r>
          </w:p>
        </w:tc>
        <w:tc>
          <w:tcPr>
            <w:tcW w:w="232" w:type="dxa"/>
            <w:tcBorders/>
            <w:shd w:fill="auto" w:val="clear"/>
          </w:tcPr>
          <w:p>
            <w:pPr>
              <w:pStyle w:val="TableContents"/>
              <w:spacing w:before="0" w:after="283"/>
              <w:jc w:val="left"/>
              <w:rPr/>
            </w:pPr>
            <w:r>
              <w:rPr/>
              <w:t>● </w:t>
            </w:r>
          </w:p>
        </w:tc>
        <w:tc>
          <w:tcPr>
            <w:tcW w:w="107" w:type="dxa"/>
            <w:tcBorders/>
            <w:shd w:fill="auto" w:val="clear"/>
          </w:tcPr>
          <w:p>
            <w:pPr>
              <w:pStyle w:val="TableContents"/>
              <w:spacing w:before="0" w:after="283"/>
              <w:rPr/>
            </w:pPr>
            <w:r>
              <w:rPr/>
              <w:t> </w:t>
            </w:r>
          </w:p>
        </w:tc>
        <w:tc>
          <w:tcPr>
            <w:tcW w:w="9660" w:type="dxa"/>
            <w:tcBorders/>
            <w:shd w:fill="auto" w:val="clear"/>
          </w:tcPr>
          <w:p>
            <w:pPr>
              <w:pStyle w:val="TableContents"/>
              <w:spacing w:before="0" w:after="0"/>
              <w:jc w:val="left"/>
              <w:rPr>
                <w:rFonts w:ascii="arial" w:hAnsi="arial"/>
                <w:sz w:val="20"/>
              </w:rPr>
            </w:pPr>
            <w:r>
              <w:rPr>
                <w:rFonts w:ascii="Arial" w:hAnsi="Arial"/>
                <w:b/>
                <w:sz w:val="20"/>
              </w:rPr>
              <w:t>Alignment to the United Nations Guiding Principles on Business and Human Rights (UNGPs</w:t>
            </w:r>
            <w:r>
              <w:rPr>
                <w:rFonts w:ascii="arial" w:hAnsi="arial"/>
                <w:sz w:val="20"/>
              </w:rPr>
              <w:t xml:space="preserve">). In 2022, we announced that Thomson Reuters has aligned with the UN Guiding Principles on Business and Human Rights (UNGPs), which augments our longstanding commitment to the UN Global Compact, the U.N. Declaration on Human Rights and other international standards. Guiding Principle 15 of the UNGPs states that business enterprises should have in place policies and processes appropriate to their size and circumstances, includinga human rights due diligence process to identify, prevent, mitigate and account for how they address their impacts on human rights6. As part of our obligations to the UNGPs, we established a Human Rights Steering Committee, an essential governance structure of cross-functional leaders and experts who play a significant role in indoctrinating these principles and implementing a culture of human rights awareness across our enterprise. Our commitment to UNGPs and other standards extends to every area of our global business and applies to every market we operate in. In addition, as signatories to the United Nations Global Compact, we are committed to the Ten Principles and integrate responsible business practices on human rights, labor, environment, and anti-corruption in our global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9"/>
        <w:gridCol w:w="109"/>
        <w:gridCol w:w="9650"/>
      </w:tblGrid>
      <w:tr>
        <w:trPr/>
        <w:tc>
          <w:tcPr>
            <w:tcW w:w="2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650" w:type="dxa"/>
            <w:tcBorders/>
            <w:shd w:fill="auto" w:val="clear"/>
          </w:tcPr>
          <w:p>
            <w:pPr>
              <w:pStyle w:val="TableContents"/>
              <w:spacing w:before="0" w:after="0"/>
              <w:jc w:val="left"/>
              <w:rPr>
                <w:rFonts w:ascii="arial" w:hAnsi="arial"/>
                <w:sz w:val="20"/>
              </w:rPr>
            </w:pPr>
            <w:r>
              <w:rPr>
                <w:rFonts w:ascii="Arial" w:hAnsi="Arial"/>
                <w:b/>
                <w:sz w:val="20"/>
              </w:rPr>
              <w:t>Commitment</w:t>
            </w:r>
            <w:r>
              <w:rPr>
                <w:rFonts w:ascii="arial" w:hAnsi="arial"/>
                <w:sz w:val="20"/>
              </w:rPr>
              <w:t xml:space="preserve"> </w:t>
            </w:r>
            <w:r>
              <w:rPr>
                <w:rFonts w:ascii="Arial" w:hAnsi="Arial"/>
                <w:b/>
                <w:sz w:val="20"/>
              </w:rPr>
              <w:t>to Upholding the Thomson Reuters Trust Principles</w:t>
            </w:r>
            <w:r>
              <w:rPr>
                <w:rFonts w:ascii="arial" w:hAnsi="arial"/>
                <w:sz w:val="20"/>
              </w:rPr>
              <w:t>, which reflect our ethical values as an organization and our approach to doing business. With regard to the Thomson Reuters Trust Principles alignment to the UNGPs, our view continues to be that they are compatible with one another and that they successfully coexist. This view is also shared by the Thomson Reuters Founders Share Company, which has a duty to ensure, to the extent possible, that the Thomson Reuters Trust Principles are complied with.</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4"/>
        <w:gridCol w:w="108"/>
        <w:gridCol w:w="9656"/>
      </w:tblGrid>
      <w:tr>
        <w:trPr/>
        <w:tc>
          <w:tcPr>
            <w:tcW w:w="207" w:type="dxa"/>
            <w:tcBorders/>
            <w:shd w:fill="auto" w:val="clear"/>
            <w:vAlign w:val="center"/>
          </w:tcPr>
          <w:p>
            <w:pPr>
              <w:pStyle w:val="TableContents"/>
              <w:spacing w:before="0" w:after="283"/>
              <w:rPr/>
            </w:pPr>
            <w:r>
              <w:rPr/>
              <w:t> </w:t>
            </w:r>
          </w:p>
        </w:tc>
        <w:tc>
          <w:tcPr>
            <w:tcW w:w="234"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6" w:type="dxa"/>
            <w:tcBorders/>
            <w:shd w:fill="auto" w:val="clear"/>
          </w:tcPr>
          <w:p>
            <w:pPr>
              <w:pStyle w:val="TableContents"/>
              <w:spacing w:before="0" w:after="0"/>
              <w:jc w:val="left"/>
              <w:rPr>
                <w:rFonts w:ascii="arial" w:hAnsi="arial"/>
                <w:sz w:val="20"/>
              </w:rPr>
            </w:pPr>
            <w:r>
              <w:rPr>
                <w:rFonts w:ascii="Arial" w:hAnsi="Arial"/>
                <w:b/>
                <w:sz w:val="20"/>
              </w:rPr>
              <w:t>Transparent ESG disclosure,</w:t>
            </w:r>
            <w:r>
              <w:rPr>
                <w:rFonts w:ascii="arial" w:hAnsi="arial"/>
                <w:sz w:val="20"/>
              </w:rPr>
              <w:t xml:space="preserve"> including transparent disclosure regarding our approach to human rights. As noted in the ESG section of this circular, we published key findings of the global ESG materiality assessment and the human rights impact assessment (HRIA) that were completed in 2022. In accordance with our obligations under Guiding Principle 19 of the UNGPs, including in regards to appropriate actions in cases where a business enterprise causes or contributes to an adverse impact, we have begun to integrate the findings from our HRIA across relevant internal functions and processes and will continue to do so. We will continue to publish relevant updates on our work and progress in this space, including our annual Social Impact &amp; ESG Report (which is posted annually on the Thomson Reuters website), Annual Report, Management Proxy Circular and through other public disclosures. We also plan to continue our dialogue with the shareholder proponent and other interested stakeholders on human rights and other important topics.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i/>
              </w:rPr>
            </w:pPr>
            <w:r>
              <w:rPr>
                <w:i/>
              </w:rPr>
              <w:t>6 </w:t>
            </w:r>
          </w:p>
        </w:tc>
        <w:tc>
          <w:tcPr>
            <w:tcW w:w="9900" w:type="dxa"/>
            <w:tcBorders/>
            <w:shd w:fill="auto" w:val="clear"/>
          </w:tcPr>
          <w:p>
            <w:pPr>
              <w:pStyle w:val="TableContents"/>
              <w:spacing w:before="0" w:after="0"/>
              <w:jc w:val="left"/>
              <w:rPr>
                <w:rFonts w:ascii="arial" w:hAnsi="arial"/>
                <w:i/>
                <w:sz w:val="15"/>
              </w:rPr>
            </w:pPr>
            <w:r>
              <w:rPr>
                <w:rFonts w:ascii="arial" w:hAnsi="arial"/>
                <w:i/>
                <w:sz w:val="15"/>
              </w:rPr>
              <w:t xml:space="preserve">https://www.ohchr.org/sites/default/files/documents/publications/guidingprinciplesbusinesshr_en.pdf </w:t>
            </w:r>
          </w:p>
        </w:tc>
      </w:tr>
    </w:tbl>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F-2    Management Proxy Circular and Notice of Annual Meeting of Shareholders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also confirmed to the BCGEU the following about how Thomson Reuters operationalizes the above, including the UNGPs, in its human rights due diligence procedures: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242"/>
        <w:gridCol w:w="110"/>
        <w:gridCol w:w="9645"/>
      </w:tblGrid>
      <w:tr>
        <w:trPr/>
        <w:tc>
          <w:tcPr>
            <w:tcW w:w="208"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645" w:type="dxa"/>
            <w:tcBorders/>
            <w:shd w:fill="auto" w:val="clear"/>
          </w:tcPr>
          <w:p>
            <w:pPr>
              <w:pStyle w:val="TableContents"/>
              <w:spacing w:before="0" w:after="0"/>
              <w:jc w:val="left"/>
              <w:rPr>
                <w:rFonts w:ascii="arial" w:hAnsi="arial"/>
                <w:sz w:val="20"/>
              </w:rPr>
            </w:pPr>
            <w:r>
              <w:rPr>
                <w:rFonts w:ascii="arial" w:hAnsi="arial"/>
                <w:sz w:val="20"/>
              </w:rPr>
              <w:t xml:space="preserve">In evaluating the potential human rights impacts from the end-use of our technology products and services, we not only look to ensure customer compliance with domestic law, but we also consider international human rights laws norms and standards with our alignment to the UNGPs, the International Bill of Human Rights (comprising the Universal Declaration of Human Rights, the International Covenant on Civil and Political Rights and the International Covenant on Economic, Social and Cultural Rights), as well as the rights contained within the core International Labour Organization conventions, and the UN Global Compact.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7"/>
        <w:gridCol w:w="235"/>
        <w:gridCol w:w="108"/>
        <w:gridCol w:w="9655"/>
      </w:tblGrid>
      <w:tr>
        <w:trPr/>
        <w:tc>
          <w:tcPr>
            <w:tcW w:w="207"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 </w:t>
            </w:r>
          </w:p>
        </w:tc>
        <w:tc>
          <w:tcPr>
            <w:tcW w:w="108" w:type="dxa"/>
            <w:tcBorders/>
            <w:shd w:fill="auto" w:val="clear"/>
          </w:tcPr>
          <w:p>
            <w:pPr>
              <w:pStyle w:val="TableContents"/>
              <w:spacing w:before="0" w:after="283"/>
              <w:rPr/>
            </w:pPr>
            <w:r>
              <w:rPr/>
              <w:t> </w:t>
            </w:r>
          </w:p>
        </w:tc>
        <w:tc>
          <w:tcPr>
            <w:tcW w:w="9655" w:type="dxa"/>
            <w:tcBorders/>
            <w:shd w:fill="auto" w:val="clear"/>
          </w:tcPr>
          <w:p>
            <w:pPr>
              <w:pStyle w:val="TableContents"/>
              <w:spacing w:before="0" w:after="0"/>
              <w:jc w:val="left"/>
              <w:rPr>
                <w:rFonts w:ascii="arial" w:hAnsi="arial"/>
                <w:sz w:val="20"/>
              </w:rPr>
            </w:pPr>
            <w:r>
              <w:rPr>
                <w:rFonts w:ascii="arial" w:hAnsi="arial"/>
                <w:sz w:val="20"/>
              </w:rPr>
              <w:t xml:space="preserve">There may be situations where an end-users use of our products, while in compliance with domestic law, may run counter to the previously enumerated international human rights laws norms and standards. In such a situation where a matter were to be raised alleging use of our products that has a human rights impact, the matter would be thoroughly investigated and actioned as appropriate, in line with our stated policies, procedures and principles, which include our obligations to the UNGPs. </w:t>
            </w:r>
          </w:p>
        </w:tc>
      </w:tr>
    </w:tbl>
    <w:p>
      <w:pPr>
        <w:pStyle w:val="TextBody"/>
        <w:spacing w:before="120" w:after="0"/>
        <w:jc w:val="left"/>
        <w:rPr>
          <w:rFonts w:ascii="arial" w:hAnsi="arial"/>
          <w:sz w:val="20"/>
        </w:rPr>
      </w:pPr>
      <w:r>
        <w:rPr>
          <w:rFonts w:ascii="arial" w:hAnsi="arial"/>
          <w:sz w:val="20"/>
        </w:rPr>
        <w:t>Through these strategies, initiatives, and efforts, we believe that Thomson Reuters has a multifaceted approach that ensures respect for human rights is a consistent theme in the management of the company and the principles by which it operates.</w:t>
      </w:r>
    </w:p>
    <w:p>
      <w:pPr>
        <w:pStyle w:val="TextBody"/>
        <w:spacing w:before="120" w:after="0"/>
        <w:jc w:val="left"/>
        <w:rPr>
          <w:rFonts w:ascii="Arial" w:hAnsi="Arial"/>
          <w:b/>
          <w:sz w:val="28"/>
        </w:rPr>
      </w:pPr>
      <w:r>
        <w:rPr>
          <w:rFonts w:ascii="Arial" w:hAnsi="Arial"/>
          <w:b/>
          <w:sz w:val="28"/>
        </w:rPr>
        <w:t>Our Commitment to Human Rights</w:t>
      </w:r>
    </w:p>
    <w:p>
      <w:pPr>
        <w:pStyle w:val="TextBody"/>
        <w:spacing w:before="120" w:after="0"/>
        <w:jc w:val="left"/>
        <w:rPr>
          <w:rFonts w:ascii="arial" w:hAnsi="arial"/>
          <w:sz w:val="20"/>
        </w:rPr>
      </w:pPr>
      <w:r>
        <w:rPr>
          <w:rFonts w:ascii="arial" w:hAnsi="arial"/>
          <w:sz w:val="20"/>
        </w:rPr>
        <w:t>Thomson Reuters has long believed that all companies should consider potential human rights and broader Environmental, Social and Governance (ESG) implications as they relate to their operations. Focused on our company purpose  to Inform the Way Forward  and guided by our Code of Business Conduct and Ethics as well as the Thomson Reuters Trust Principles, we continually review best practices for identifying and mitigating these risks at our company. Our company is committed to upholding these high standards as applied to our employees, data subjects, end-users (customers), workers in our supply chain, and those in the communities in which we operate. Accordingly, we work to avoid infringing on human rights and mitigate adverse impacts that are directly linked to our operations, products, or services.</w:t>
      </w:r>
    </w:p>
    <w:p>
      <w:pPr>
        <w:pStyle w:val="TextBody"/>
        <w:spacing w:before="0" w:after="0"/>
        <w:jc w:val="left"/>
        <w:rPr/>
      </w:pPr>
      <w:r>
        <w:rPr/>
        <w:t> </w:t>
      </w:r>
    </w:p>
    <w:p>
      <w:pPr>
        <w:pStyle w:val="TextBody"/>
        <w:pBdr>
          <w:bottom w:val="single" w:sz="24" w:space="1" w:color="B94831"/>
        </w:pBdr>
        <w:spacing w:lineRule="atLeast" w:line="141" w:before="0" w:after="40"/>
        <w:jc w:val="left"/>
        <w:rPr/>
      </w:pPr>
      <w:r>
        <w:rPr/>
        <w:t> </w:t>
      </w:r>
    </w:p>
    <w:p>
      <w:pPr>
        <w:pStyle w:val="TextBody"/>
        <w:spacing w:before="0" w:after="0"/>
        <w:jc w:val="left"/>
        <w:rPr/>
      </w:pPr>
      <w:r>
        <w:rPr/>
        <w:t> </w:t>
      </w:r>
    </w:p>
    <w:p>
      <w:pPr>
        <w:pStyle w:val="TextBody"/>
        <w:spacing w:before="0" w:after="0"/>
        <w:jc w:val="right"/>
        <w:rPr>
          <w:rFonts w:ascii="arial" w:hAnsi="arial"/>
          <w:sz w:val="15"/>
        </w:rPr>
      </w:pPr>
      <w:r>
        <w:rPr>
          <w:rFonts w:ascii="arial" w:hAnsi="arial"/>
          <w:sz w:val="15"/>
        </w:rPr>
        <w:t xml:space="preserve">Management Proxy Circular and Notice of Annual and Special Meeting of Shareholders    Page 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55"/>
        <w:gridCol w:w="305"/>
        <w:gridCol w:w="7145"/>
      </w:tblGrid>
      <w:tr>
        <w:trPr/>
        <w:tc>
          <w:tcPr>
            <w:tcW w:w="275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7145" w:type="dxa"/>
            <w:tcBorders/>
            <w:shd w:fill="auto" w:val="clear"/>
            <w:vAlign w:val="center"/>
          </w:tcPr>
          <w:p>
            <w:pPr>
              <w:pStyle w:val="TableContents"/>
              <w:spacing w:before="0" w:after="283"/>
              <w:rPr>
                <w:sz w:val="4"/>
                <w:szCs w:val="4"/>
              </w:rPr>
            </w:pPr>
            <w:r>
              <w:rPr>
                <w:sz w:val="4"/>
                <w:szCs w:val="4"/>
              </w:rPr>
            </w:r>
          </w:p>
        </w:tc>
      </w:tr>
      <w:tr>
        <w:trPr/>
        <w:tc>
          <w:tcPr>
            <w:tcW w:w="2755" w:type="dxa"/>
            <w:tcBorders/>
            <w:shd w:fill="auto" w:val="clear"/>
          </w:tcPr>
          <w:p>
            <w:pPr>
              <w:pStyle w:val="TableContents"/>
              <w:spacing w:before="0" w:after="0"/>
              <w:rPr>
                <w:rFonts w:ascii="Arial" w:hAnsi="Arial"/>
                <w:b/>
                <w:color w:val="B94831"/>
                <w:sz w:val="28"/>
              </w:rPr>
            </w:pPr>
            <w:r>
              <w:rPr>
                <w:rFonts w:ascii="Arial" w:hAnsi="Arial"/>
                <w:b/>
                <w:color w:val="B94831"/>
                <w:sz w:val="28"/>
              </w:rPr>
              <w:t>THOMSON REUTERS</w:t>
            </w:r>
          </w:p>
          <w:p>
            <w:pPr>
              <w:pStyle w:val="TableContents"/>
              <w:spacing w:before="0" w:after="0"/>
              <w:rPr/>
            </w:pPr>
            <w:r>
              <w:rPr/>
              <w:t> </w:t>
            </w:r>
          </w:p>
          <w:p>
            <w:pPr>
              <w:pStyle w:val="TableContents"/>
              <w:spacing w:before="0" w:after="0"/>
              <w:rPr>
                <w:rFonts w:ascii="arial" w:hAnsi="arial"/>
                <w:sz w:val="18"/>
              </w:rPr>
            </w:pPr>
            <w:r>
              <w:rPr>
                <w:rFonts w:ascii="arial" w:hAnsi="arial"/>
                <w:sz w:val="18"/>
              </w:rPr>
              <w:t>333 Bay Street, Suite 300</w:t>
            </w:r>
          </w:p>
          <w:p>
            <w:pPr>
              <w:pStyle w:val="TableContents"/>
              <w:spacing w:before="0" w:after="0"/>
              <w:rPr>
                <w:rFonts w:ascii="arial" w:hAnsi="arial"/>
                <w:sz w:val="18"/>
              </w:rPr>
            </w:pPr>
            <w:r>
              <w:rPr>
                <w:rFonts w:ascii="arial" w:hAnsi="arial"/>
                <w:sz w:val="18"/>
              </w:rPr>
              <w:t>Toronto, Ontario M5H 2R2</w:t>
            </w:r>
          </w:p>
          <w:p>
            <w:pPr>
              <w:pStyle w:val="TableContents"/>
              <w:spacing w:before="0" w:after="0"/>
              <w:rPr>
                <w:rFonts w:ascii="arial" w:hAnsi="arial"/>
                <w:sz w:val="18"/>
              </w:rPr>
            </w:pPr>
            <w:r>
              <w:rPr>
                <w:rFonts w:ascii="arial" w:hAnsi="arial"/>
                <w:sz w:val="18"/>
              </w:rPr>
              <w:t>Canada</w:t>
            </w:r>
          </w:p>
          <w:p>
            <w:pPr>
              <w:pStyle w:val="TableContents"/>
              <w:spacing w:before="0" w:after="0"/>
              <w:rPr/>
            </w:pPr>
            <w:r>
              <w:rPr/>
              <w:t> </w:t>
            </w:r>
          </w:p>
          <w:p>
            <w:pPr>
              <w:pStyle w:val="TableContents"/>
              <w:spacing w:before="0" w:after="0"/>
              <w:rPr>
                <w:rFonts w:ascii="arial" w:hAnsi="arial"/>
                <w:sz w:val="18"/>
              </w:rPr>
            </w:pPr>
            <w:r>
              <w:rPr>
                <w:rFonts w:ascii="arial" w:hAnsi="arial"/>
                <w:sz w:val="18"/>
              </w:rPr>
              <w:t>tel: +1 647 480 7000</w:t>
            </w:r>
          </w:p>
          <w:p>
            <w:pPr>
              <w:pStyle w:val="TableContents"/>
              <w:spacing w:before="0" w:after="0"/>
              <w:rPr/>
            </w:pPr>
            <w:r>
              <w:rPr/>
              <w:t> </w:t>
            </w:r>
          </w:p>
          <w:p>
            <w:pPr>
              <w:pStyle w:val="TableContents"/>
              <w:spacing w:before="0" w:after="20"/>
              <w:rPr>
                <w:rFonts w:ascii="Arial" w:hAnsi="Arial"/>
                <w:b/>
                <w:color w:val="335367"/>
                <w:sz w:val="18"/>
              </w:rPr>
            </w:pPr>
            <w:r>
              <w:rPr>
                <w:rFonts w:ascii="Arial" w:hAnsi="Arial"/>
                <w:b/>
                <w:color w:val="335367"/>
                <w:sz w:val="18"/>
              </w:rPr>
              <w:t>www.tr.com</w:t>
            </w:r>
          </w:p>
        </w:tc>
        <w:tc>
          <w:tcPr>
            <w:tcW w:w="305" w:type="dxa"/>
            <w:tcBorders/>
            <w:shd w:fill="auto" w:val="clear"/>
            <w:vAlign w:val="bottom"/>
          </w:tcPr>
          <w:p>
            <w:pPr>
              <w:pStyle w:val="TableContents"/>
              <w:spacing w:before="0" w:after="283"/>
              <w:rPr/>
            </w:pPr>
            <w:r>
              <w:rPr/>
              <w:t>  </w:t>
            </w:r>
          </w:p>
        </w:tc>
        <w:tc>
          <w:tcPr>
            <w:tcW w:w="7145" w:type="dxa"/>
            <w:tcBorders/>
            <w:shd w:fill="auto" w:val="clear"/>
            <w:vAlign w:val="bottom"/>
          </w:tcPr>
          <w:p>
            <w:pPr>
              <w:pStyle w:val="TableContents"/>
              <w:spacing w:before="0" w:after="283"/>
              <w:jc w:val="right"/>
              <w:rPr/>
            </w:pPr>
            <w:r>
              <w:rPr/>
              <w:drawing>
                <wp:inline distT="0" distB="0" distL="0" distR="0">
                  <wp:extent cx="288290" cy="3683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288290" cy="36830"/>
                          </a:xfrm>
                          <a:prstGeom prst="rect">
                            <a:avLst/>
                          </a:prstGeom>
                        </pic:spPr>
                      </pic:pic>
                    </a:graphicData>
                  </a:graphic>
                </wp:inline>
              </w:drawing>
            </w:r>
            <w:r>
              <w:rPr/>
              <w:t xml:space="preserve"> </w:t>
            </w:r>
          </w:p>
        </w:tc>
      </w:tr>
    </w:tbl>
    <w:p>
      <w:pPr>
        <w:pStyle w:val="TextBody"/>
        <w:spacing w:before="0" w:after="0"/>
        <w:jc w:val="right"/>
        <w:rPr>
          <w:rFonts w:ascii="Times New Roman" w:hAnsi="Times New Roman"/>
          <w:b/>
          <w:sz w:val="20"/>
        </w:rPr>
      </w:pPr>
      <w:r>
        <w:br w:type="page"/>
      </w:r>
      <w:bookmarkStart w:id="110" w:name="d490645dex992.htm"/>
      <w:bookmarkStart w:id="111" w:name="ksd490645dex992"/>
      <w:bookmarkEnd w:id="110"/>
      <w:bookmarkEnd w:id="111"/>
      <w:r>
        <w:rPr>
          <w:rFonts w:ascii="Times New Roman" w:hAnsi="Times New Roman"/>
          <w:b/>
          <w:sz w:val="20"/>
        </w:rPr>
        <w:t xml:space="preserve">Exhibit 99.2 </w:t>
      </w:r>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8th Floor, 100 University Avenue Toronto, Ontario M5J 2Y1, Canada Facsimile 1-866-249-7775 416-263-9524 www.computershare.com MR SAM SAMPLE 123 SAMPLES STREET Security Class SAMPLETOWN SS X9X 9X9 123 Holder Account Number C1234567890 X X X Fold Form of ProxyAnnual and Special Meeting of Shareholders to be held on Wednesday, June 14, 2023 Meeting location: Virtual meeting via live webcast at www.tr.com/agm2023 Time: 12:00 p.m. (Eastern Daylight Time) Notes to Proxy Form 1. Every holder has the right to appoint some other person of their choice, who need not be a shareholder of Thomson Reuters Corporation, to attend and act on their behalf at the meeting. If you wish to appoint a person other than the persons whose names are printed herein, please insert the name of your chosen proxyholder in the space provided (see reverse) and follow the other instructions set forth herein. In addition, you MUST go to www.computershare.com/ThomsonReuters and provide Computershare with the name and email address of the person you are appointing as proxyholder by no later than 5:00 p.m. (Eastern Daylight Time) on June 12, 2023. Computershare will use this information ONLY to provide the appointee with a username via email. This username will allow your proxyholder to attend, submit questions and vote in real time at the meeting. Without a username, your proxyholder will only be able to attend the meeting as a guest but will not be able to submit questions or vote at the meeting. 2. If the shares are registered in the name of more than one owner (for example, joint ownership, trustees, executors, etc.), then all those registered should sign this proxy form. If you are voting on behalf of a corporation or another individual, you may be required to provide documentation evidencing your power to sign this proxy form with signing capacity stated. 3. This proxy form should be signed in the exact manner as the name appears on the proxy form. 4. If this proxy form is not dated, it will be deemed to bear the date on which it is mailed by Thomson Reuters to the holder. 5. The shares represented by this proxy form will be voted or withheld from voting as directed by the holder. In the absence of such directions, shares represented by proxy forms received by Management will be voted FOR items 1 through 4 and in favor of Managements proposals generally. 6. This proxy form should be read in conjunction with the Notice of Annual and Special Meeting of Shareholders and Management Proxy Circular. Information contained in or otherwise accessible through the websites mentioned in this proxy form does not form part hereof, and the references to the websites are inactive textual references only. Fold Proxy forms submitted must be received by Computershare by 5:00 p.m. (Eastern Daylight Time) on June 12, 2023. VOTE USING THE TELEPHONE OR INTERNET 24 HOURS A DAY 7 DAYS A WEEK . . To Vote Using the Telephone To Vote Using the Internet To the Virtually Meeting Attend Electronically To Receive Documents Call the number listed BELOW from a touch Go to the following web You can attend the meeting virtually by You can enroll to receive future securityholder tone telephone. site: www.investorvote.com visiting www.tr.com/agm2023. communications electronically by visiting Smartphone? For additional details, see Voting www.investorcentre.com. 1-866-732-VOTE (8683) Toll Free Information and How to Attend in the Scan the QR code to vote now. Management Proxy Circular. If you vote by telephone or the Internet, DO NOT mail back this proxy form. Voting by mail may be the only method for securities held in the name of a corporation or securities being voted on behalf of another individual. Voting by mail or by Internet are the only methods by which a holder may appoint a person as proxyholder other than the individuals named on the reverse of this proxy form. Instead of mailing this proxy form, you may choose one of the two voting methods outlined above to vote this proxy form. For more information, please refer to Voting Information and How to Attend in the Management Proxy Circular. To vote by telephone or the Internet, you will need to provide your CONTROL NUMBER listed below. CONTROL NUMBER 123456789012345 CPUQC01.E.INT/000001/i1234 01VUYC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 MR SAM SAMPLE C1234567890 XXX 123 This Form of Proxy is solicited by and on behalf of Management. Appointment of Proxyholder I/We being holder(s) of common shares of Thomson Print other the then name the management of the person nominees you are appointing . if it is someone Reuters failing him Corporation David W. Binet, hereby both appoint: being directors David Thomson, of Thomson or OR Reuters proxyholder If you complete other the than appointment management box nominees and appoint you a MUST go to Computershare www.computershare with the .com/ThomsonReuters name and email address and of provide the information person you are ONLY appointing to provide by the no appointee later than 5:00 with p a. m username . (Eastern via Daylight email. This Time) username on June 12, will 2023 allow . Computershare your proxyholder will to use attend, this submit attend the or ask meeting questions as a guest and vote but in will real not time be able at the to meeting submit or . Without ask questions a username, or vote your at the proxyholder meeting. will For additional only be able details, to see Voting Information and How to Attend in the Management Proxy Circular. respect as my/our to any proxyholder amendments with full to power matters of referred substitution to in and the accompanying to vote in accordance Notice of with Annual the following and Special directions Meeting (or of if no Shareholders directions have as well been as given, all other as matters the proxyholder that may sees properly fit) and come to vote before at the such Annual proxyholders and Special discretion Meeting with of Shareholders of Thomson Reuters to be held virtually at www.tr.com/agm2023 on Wednesday, June 14, 2023 at 12:00 p.m. (Eastern Daylight Time), and at any adjournment or postponement thereof. The Board of Directors and Management recommend that shareholders VOTE FOR items 1, 2, 3 and 4 below. 1. Election of Directors To elect each of the following individuals as directors of Thomson Reuters: Fold For Withhold For Withhold For Withhold For Withhold 05. W. Edmund 09. Deanna 01. David Thomson 13. Peter J. Thomson Clark, C.M. Oppenheimer 02. Steve Hasker 06. LaVerne Council 10. Simon Paris 14. Beth Wilson 03. Kirk E. Arnold 07. Michael E. Daniels 11. Kim M. Rivera 04. David W. Binet 08. Kirk Koenigsbauer 12. Barry Salzberg For Withhold 2. Appointment of Auditor To appoint PricewaterhouseCoopers LLP as auditor and to authorize the directors to fix the auditors remuneration. For Against 3. Advisory Resolution on Executive Compensation To accept, on an advisory basis, the approach to executive compensation described in the accompanying Management Proxy Circular. 4. Plan of Arrangement The Corporations special resolution, Act (Ontario) the under full text which of which Thomson is set forth Reuters in Appendix Corporation B to will the (i) accompanying make a cash distribution Management of US Proxy $4. 67 Circular, per common approving share, the or plan approximately of arrangement US$ under 2.2 billion Section in the 182 aggregate of the Business and (ii) consolidate its outstanding common shares (or reverse stock split) on a basis that is proportional to the cash distribution, all as more particularly described in the Management Proxy Circular. Fold Signature(s) Date Authorized Signature(s)Sign HereThis section must be completed for your instructions to be executed. I/We I/We hereby authorize revoke you to any act proxy in accordance previously with given my/our with respect instructions to the set Meeting out above . . DD / MM / YY Quarterly Financial Statements and MD&amp;A Request Annual Report Request Thomson Reuters quarterly financial statements and related managements discussion Thomson Reuters annual report containing our audited financial statements and related and analysis (MD&amp;A) are available at www.thomsonreuters.com. However, if you wish to MD&amp;A is available at www.thomsonreuters.com. However, if you wish to receive receive them by mail, please mark this box. If you do not mark this box, or do not it by mail, please mark this box. If you do not mark this box, or do not return this form, return this form, you will not receive our quarterly financial statements and MD&amp;A by mail. you will not receive our annual report by mail. You are required to complete this request You are required to complete this request on an annual basis. on an annual basis. You can also receive these documents electronicallysee reverse for instructions to enroll for electronic delivery. TOCQ 349111 XXXX AR1 9999999999 01VUZG </w:t>
      </w:r>
      <w:r>
        <w:br w:type="page"/>
      </w:r>
    </w:p>
    <w:p>
      <w:pPr>
        <w:pStyle w:val="TextBody"/>
        <w:spacing w:before="0" w:after="0"/>
        <w:jc w:val="right"/>
        <w:rPr>
          <w:rFonts w:ascii="arial" w:hAnsi="arial"/>
          <w:b/>
          <w:sz w:val="20"/>
        </w:rPr>
      </w:pPr>
      <w:bookmarkStart w:id="112" w:name="d490645dex993.htm"/>
      <w:bookmarkStart w:id="113" w:name="ksd490645dex993"/>
      <w:bookmarkEnd w:id="112"/>
      <w:bookmarkEnd w:id="113"/>
      <w:r>
        <w:rPr>
          <w:rFonts w:ascii="arial" w:hAnsi="arial"/>
          <w:b/>
          <w:sz w:val="20"/>
        </w:rPr>
        <w:t xml:space="preserve">Exhibit 99.3 </w:t>
      </w:r>
    </w:p>
    <w:p>
      <w:pPr>
        <w:pStyle w:val="TextBody"/>
        <w:spacing w:before="0" w:after="0"/>
        <w:jc w:val="left"/>
        <w:rPr/>
      </w:pPr>
      <w:r>
        <w:rPr/>
        <w:t> </w:t>
      </w:r>
    </w:p>
    <w:p>
      <w:pPr>
        <w:pStyle w:val="TextBody"/>
        <w:spacing w:before="0" w:after="0"/>
        <w:jc w:val="left"/>
        <w:rPr/>
      </w:pPr>
      <w:r>
        <w:rPr/>
        <w:drawing>
          <wp:inline distT="0" distB="0" distL="0" distR="0">
            <wp:extent cx="229870" cy="3429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229870" cy="34290"/>
                    </a:xfrm>
                    <a:prstGeom prst="rect">
                      <a:avLst/>
                    </a:prstGeom>
                  </pic:spPr>
                </pic:pic>
              </a:graphicData>
            </a:graphic>
          </wp:inline>
        </w:drawing>
      </w:r>
      <w:r>
        <w:rPr/>
        <w:t xml:space="preserve"> </w:t>
      </w:r>
    </w:p>
    <w:p>
      <w:pPr>
        <w:pStyle w:val="TextBody"/>
        <w:spacing w:before="180" w:after="0"/>
        <w:jc w:val="center"/>
        <w:rPr>
          <w:rFonts w:ascii="arial" w:hAnsi="arial"/>
          <w:color w:val="B94831"/>
          <w:sz w:val="34"/>
        </w:rPr>
      </w:pPr>
      <w:r>
        <w:rPr>
          <w:rFonts w:ascii="arial" w:hAnsi="arial"/>
          <w:color w:val="B94831"/>
          <w:sz w:val="34"/>
        </w:rPr>
        <w:t xml:space="preserve">NOTICE OF AVAILABILITY OF PROXY MATERIALS FOR THE </w:t>
      </w:r>
    </w:p>
    <w:p>
      <w:pPr>
        <w:pStyle w:val="TextBody"/>
        <w:spacing w:before="0" w:after="0"/>
        <w:jc w:val="center"/>
        <w:rPr>
          <w:rFonts w:ascii="arial" w:hAnsi="arial"/>
          <w:color w:val="B94831"/>
          <w:sz w:val="34"/>
        </w:rPr>
      </w:pPr>
      <w:r>
        <w:rPr>
          <w:rFonts w:ascii="arial" w:hAnsi="arial"/>
          <w:color w:val="B94831"/>
          <w:sz w:val="34"/>
        </w:rPr>
        <w:t xml:space="preserve">2023 THOMSON REUTERS CORPORATION </w:t>
      </w:r>
    </w:p>
    <w:p>
      <w:pPr>
        <w:pStyle w:val="TextBody"/>
        <w:spacing w:before="0" w:after="0"/>
        <w:jc w:val="center"/>
        <w:rPr>
          <w:rFonts w:ascii="arial" w:hAnsi="arial"/>
          <w:color w:val="B94831"/>
          <w:sz w:val="34"/>
        </w:rPr>
      </w:pPr>
      <w:r>
        <w:rPr>
          <w:rFonts w:ascii="arial" w:hAnsi="arial"/>
          <w:color w:val="B94831"/>
          <w:sz w:val="34"/>
        </w:rPr>
        <w:t xml:space="preserve">ANNUAL AND SPECIAL MEETING OF SHAREHOLDERS </w:t>
      </w:r>
    </w:p>
    <w:p>
      <w:pPr>
        <w:pStyle w:val="TextBody"/>
        <w:spacing w:before="140" w:after="0"/>
        <w:jc w:val="left"/>
        <w:rPr>
          <w:rFonts w:ascii="arial" w:hAnsi="arial"/>
          <w:sz w:val="18"/>
        </w:rPr>
      </w:pPr>
      <w:r>
        <w:rPr>
          <w:rFonts w:ascii="arial" w:hAnsi="arial"/>
          <w:sz w:val="18"/>
        </w:rPr>
        <w:t xml:space="preserve">To our Shareholders, </w:t>
      </w:r>
    </w:p>
    <w:p>
      <w:pPr>
        <w:pStyle w:val="TextBody"/>
        <w:spacing w:before="180" w:after="0"/>
        <w:jc w:val="left"/>
        <w:rPr>
          <w:rFonts w:ascii="arial" w:hAnsi="arial"/>
          <w:sz w:val="18"/>
        </w:rPr>
      </w:pPr>
      <w:r>
        <w:rPr>
          <w:rFonts w:ascii="arial" w:hAnsi="arial"/>
          <w:sz w:val="18"/>
        </w:rPr>
        <w:t xml:space="preserve">We are using the notice-and-access system for delivery of this years proxy materials, similar to last years meeting. Under notice- and-access, you still receive a proxy or voting instruction form enabling you to vote at our meeting. However, instead of a paper copy of the management proxy circular and other proxy materials, you have received this notice which contains information about how to access these materials electronically on our website, </w:t>
      </w:r>
      <w:r>
        <w:rPr>
          <w:rFonts w:ascii="Arial" w:hAnsi="Arial"/>
          <w:b/>
          <w:color w:val="B94831"/>
          <w:sz w:val="18"/>
        </w:rPr>
        <w:t>www.tr.com</w:t>
      </w:r>
      <w:r>
        <w:rPr>
          <w:rFonts w:ascii="arial" w:hAnsi="arial"/>
          <w:sz w:val="18"/>
        </w:rPr>
        <w:t xml:space="preserve">. Electronic delivery reduces the cost and environmental impact of producing and distributing paper copies of documents in very large quantities. It also provides shareholders with faster access to information about Thomson Reuters. Shareholders who have already signed up for electronic delivery of proxy materials will continue to receive them by e-mail.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0"/>
        <w:gridCol w:w="122"/>
        <w:gridCol w:w="4983"/>
      </w:tblGrid>
      <w:tr>
        <w:trPr/>
        <w:tc>
          <w:tcPr>
            <w:tcW w:w="510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983" w:type="dxa"/>
            <w:tcBorders/>
            <w:shd w:fill="auto" w:val="clear"/>
            <w:vAlign w:val="center"/>
          </w:tcPr>
          <w:p>
            <w:pPr>
              <w:pStyle w:val="TableContents"/>
              <w:spacing w:before="0" w:after="283"/>
              <w:rPr>
                <w:sz w:val="4"/>
                <w:szCs w:val="4"/>
              </w:rPr>
            </w:pPr>
            <w:r>
              <w:rPr>
                <w:sz w:val="4"/>
                <w:szCs w:val="4"/>
              </w:rPr>
            </w:r>
          </w:p>
        </w:tc>
      </w:tr>
      <w:tr>
        <w:trPr/>
        <w:tc>
          <w:tcPr>
            <w:tcW w:w="5100" w:type="dxa"/>
            <w:tcBorders/>
            <w:shd w:fill="auto" w:val="clear"/>
          </w:tcPr>
          <w:p>
            <w:pPr>
              <w:pStyle w:val="TableContents"/>
              <w:spacing w:before="0" w:after="0"/>
              <w:rPr>
                <w:rFonts w:ascii="Arial" w:hAnsi="Arial"/>
                <w:b/>
                <w:color w:val="B94831"/>
                <w:sz w:val="18"/>
              </w:rPr>
            </w:pPr>
            <w:r>
              <w:rPr>
                <w:rFonts w:ascii="Arial" w:hAnsi="Arial"/>
                <w:b/>
                <w:color w:val="B94831"/>
                <w:sz w:val="18"/>
              </w:rPr>
              <w:t>MEETING DATE AND LOCATION</w:t>
            </w:r>
          </w:p>
          <w:p>
            <w:pPr>
              <w:pStyle w:val="TableContents"/>
              <w:spacing w:before="0" w:after="0"/>
              <w:rPr/>
            </w:pPr>
            <w:r>
              <w:rPr/>
              <w:t> </w:t>
            </w:r>
          </w:p>
          <w:p>
            <w:pPr>
              <w:pStyle w:val="TableContents"/>
              <w:spacing w:before="0" w:after="0"/>
              <w:rPr>
                <w:rFonts w:ascii="arial" w:hAnsi="arial"/>
                <w:sz w:val="18"/>
              </w:rPr>
            </w:pPr>
            <w:r>
              <w:rPr>
                <w:rFonts w:ascii="arial" w:hAnsi="arial"/>
                <w:sz w:val="18"/>
              </w:rPr>
              <w:t>WHEN:   Wednesday, June 14, 2023</w:t>
            </w:r>
          </w:p>
          <w:p>
            <w:pPr>
              <w:pStyle w:val="TableContents"/>
              <w:spacing w:before="0" w:after="20"/>
              <w:rPr>
                <w:rFonts w:ascii="arial" w:hAnsi="arial"/>
                <w:sz w:val="18"/>
              </w:rPr>
            </w:pPr>
            <w:r>
              <w:rPr>
                <w:rFonts w:ascii="arial" w:hAnsi="arial"/>
                <w:sz w:val="18"/>
              </w:rPr>
              <w:t>12:00 p.m. (Eastern Daylight Time)</w:t>
            </w:r>
          </w:p>
        </w:tc>
        <w:tc>
          <w:tcPr>
            <w:tcW w:w="122" w:type="dxa"/>
            <w:tcBorders/>
            <w:shd w:fill="auto" w:val="clear"/>
            <w:vAlign w:val="bottom"/>
          </w:tcPr>
          <w:p>
            <w:pPr>
              <w:pStyle w:val="TableContents"/>
              <w:spacing w:before="0" w:after="283"/>
              <w:rPr/>
            </w:pPr>
            <w:r>
              <w:rPr/>
              <w:t>  </w:t>
            </w:r>
          </w:p>
        </w:tc>
        <w:tc>
          <w:tcPr>
            <w:tcW w:w="4983" w:type="dxa"/>
            <w:tcBorders/>
            <w:shd w:fill="auto" w:val="clear"/>
          </w:tcPr>
          <w:p>
            <w:pPr>
              <w:pStyle w:val="TableContents"/>
              <w:spacing w:before="0" w:after="0"/>
              <w:rPr/>
            </w:pPr>
            <w:r>
              <w:rPr/>
              <w:t> </w:t>
            </w:r>
          </w:p>
          <w:p>
            <w:pPr>
              <w:pStyle w:val="TableContents"/>
              <w:spacing w:before="0" w:after="0"/>
              <w:rPr>
                <w:rFonts w:ascii="arial" w:hAnsi="arial"/>
                <w:sz w:val="18"/>
              </w:rPr>
            </w:pPr>
            <w:r>
              <w:rPr>
                <w:rFonts w:ascii="arial" w:hAnsi="arial"/>
                <w:sz w:val="18"/>
              </w:rPr>
              <w:t>WHERE:  Virtual only meeting  a live audio webcast will be</w:t>
            </w:r>
          </w:p>
          <w:p>
            <w:pPr>
              <w:pStyle w:val="TableContents"/>
              <w:spacing w:before="0" w:after="20"/>
              <w:rPr/>
            </w:pPr>
            <w:r>
              <w:rPr/>
              <w:t>         </w:t>
            </w:r>
            <w:r>
              <w:rPr>
                <w:rFonts w:ascii="arial" w:hAnsi="arial"/>
                <w:sz w:val="18"/>
              </w:rPr>
              <w:t xml:space="preserve">available at: </w:t>
            </w:r>
            <w:r>
              <w:rPr>
                <w:rFonts w:ascii="Arial" w:hAnsi="Arial"/>
                <w:b/>
                <w:color w:val="B94831"/>
                <w:sz w:val="18"/>
              </w:rPr>
              <w:t>www.tr.com/agm2023</w:t>
            </w:r>
          </w:p>
        </w:tc>
      </w:tr>
      <w:tr>
        <w:trPr>
          <w:trHeight w:val="120" w:hRule="atLeast"/>
        </w:trPr>
        <w:tc>
          <w:tcPr>
            <w:tcW w:w="5100" w:type="dxa"/>
            <w:tcBorders/>
            <w:shd w:fill="auto" w:val="clear"/>
            <w:vAlign w:val="center"/>
          </w:tcPr>
          <w:p>
            <w:pPr>
              <w:pStyle w:val="TableContents"/>
              <w:spacing w:before="0" w:after="283"/>
              <w:rPr>
                <w:sz w:val="4"/>
                <w:szCs w:val="4"/>
              </w:rPr>
            </w:pPr>
            <w:r>
              <w:rPr>
                <w:sz w:val="4"/>
                <w:szCs w:val="4"/>
              </w:rPr>
            </w:r>
          </w:p>
        </w:tc>
        <w:tc>
          <w:tcPr>
            <w:tcW w:w="5105" w:type="dxa"/>
            <w:gridSpan w:val="2"/>
            <w:tcBorders/>
            <w:shd w:fill="auto" w:val="clear"/>
            <w:vAlign w:val="center"/>
          </w:tcPr>
          <w:p>
            <w:pPr>
              <w:pStyle w:val="TableContents"/>
              <w:spacing w:before="0" w:after="283"/>
              <w:rPr>
                <w:sz w:val="4"/>
                <w:szCs w:val="4"/>
              </w:rPr>
            </w:pPr>
            <w:r>
              <w:rPr>
                <w:sz w:val="4"/>
                <w:szCs w:val="4"/>
              </w:rPr>
            </w:r>
          </w:p>
        </w:tc>
      </w:tr>
      <w:tr>
        <w:trPr/>
        <w:tc>
          <w:tcPr>
            <w:tcW w:w="510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983" w:type="dxa"/>
            <w:tcBorders/>
            <w:shd w:fill="auto" w:val="clear"/>
            <w:vAlign w:val="bottom"/>
          </w:tcPr>
          <w:p>
            <w:pPr>
              <w:pStyle w:val="TableContents"/>
              <w:spacing w:before="0" w:after="283"/>
              <w:rPr/>
            </w:pPr>
            <w:r>
              <w:rPr/>
              <w:t xml:space="preserve">Shareholders attending the meeting should enter their control number or username and the password for the meeting: </w:t>
            </w:r>
            <w:r>
              <w:rPr>
                <w:rFonts w:ascii="Arial" w:hAnsi="Arial"/>
                <w:b/>
                <w:color w:val="B94831"/>
              </w:rPr>
              <w:t>tri2023</w:t>
            </w:r>
            <w:r>
              <w:rPr>
                <w:rFonts w:ascii="Arial" w:hAnsi="Arial"/>
                <w:b/>
              </w:rPr>
              <w:t xml:space="preserve"> </w:t>
            </w:r>
            <w:r>
              <w:rPr/>
              <w:t>(case sensitive). Guests do not need a control number, username or password to attend the meeting.</w:t>
            </w:r>
          </w:p>
        </w:tc>
      </w:tr>
    </w:tbl>
    <w:p>
      <w:pPr>
        <w:pStyle w:val="TextBody"/>
        <w:spacing w:before="180" w:after="0"/>
        <w:jc w:val="left"/>
        <w:rPr>
          <w:rFonts w:ascii="Arial" w:hAnsi="Arial"/>
          <w:b/>
          <w:color w:val="B94831"/>
          <w:sz w:val="18"/>
        </w:rPr>
      </w:pPr>
      <w:r>
        <w:rPr>
          <w:rFonts w:ascii="Arial" w:hAnsi="Arial"/>
          <w:b/>
          <w:color w:val="B94831"/>
          <w:sz w:val="18"/>
        </w:rPr>
        <w:t xml:space="preserve">WHO CAN VOTE </w:t>
      </w:r>
    </w:p>
    <w:p>
      <w:pPr>
        <w:pStyle w:val="TextBody"/>
        <w:spacing w:before="120" w:after="0"/>
        <w:jc w:val="left"/>
        <w:rPr>
          <w:rFonts w:ascii="arial" w:hAnsi="arial"/>
          <w:sz w:val="18"/>
        </w:rPr>
      </w:pPr>
      <w:r>
        <w:rPr>
          <w:rFonts w:ascii="arial" w:hAnsi="arial"/>
          <w:sz w:val="18"/>
        </w:rPr>
        <w:t xml:space="preserve">Holders of our common shares as of 5:00 p.m. (Eastern Daylight Time) on April 21, 2023. </w:t>
      </w:r>
    </w:p>
    <w:p>
      <w:pPr>
        <w:pStyle w:val="TextBody"/>
        <w:spacing w:before="180" w:after="0"/>
        <w:jc w:val="left"/>
        <w:rPr>
          <w:rFonts w:ascii="Arial" w:hAnsi="Arial"/>
          <w:b/>
          <w:color w:val="B94831"/>
          <w:sz w:val="18"/>
        </w:rPr>
      </w:pPr>
      <w:r>
        <w:rPr>
          <w:rFonts w:ascii="Arial" w:hAnsi="Arial"/>
          <w:b/>
          <w:color w:val="B94831"/>
          <w:sz w:val="18"/>
        </w:rPr>
        <w:t xml:space="preserve">BUSINESS OF THE MEETING </w:t>
      </w:r>
    </w:p>
    <w:p>
      <w:pPr>
        <w:pStyle w:val="TextBody"/>
        <w:spacing w:before="120" w:after="0"/>
        <w:jc w:val="left"/>
        <w:rPr>
          <w:rFonts w:ascii="arial" w:hAnsi="arial"/>
          <w:sz w:val="18"/>
        </w:rPr>
      </w:pPr>
      <w:r>
        <w:rPr>
          <w:rFonts w:ascii="arial" w:hAnsi="arial"/>
          <w:sz w:val="18"/>
        </w:rPr>
        <w:t xml:space="preserve">This years meeting will cover the following items of business: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388"/>
        <w:gridCol w:w="99"/>
        <w:gridCol w:w="1487"/>
        <w:gridCol w:w="99"/>
        <w:gridCol w:w="5384"/>
        <w:gridCol w:w="99"/>
        <w:gridCol w:w="2546"/>
      </w:tblGrid>
      <w:tr>
        <w:trPr/>
        <w:tc>
          <w:tcPr>
            <w:tcW w:w="38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5384"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2546"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388" w:type="dxa"/>
            <w:tcBorders>
              <w:top w:val="single" w:sz="2" w:space="0" w:color="595959"/>
              <w:left w:val="single" w:sz="2" w:space="0" w:color="595959"/>
            </w:tcBorders>
            <w:shd w:fill="B94831" w:val="clear"/>
            <w:tcMar>
              <w:top w:w="28" w:type="dxa"/>
              <w:left w:w="160" w:type="dxa"/>
            </w:tcMar>
            <w:vAlign w:val="center"/>
          </w:tcPr>
          <w:p>
            <w:pPr>
              <w:pStyle w:val="TableContents"/>
              <w:spacing w:before="0" w:after="283"/>
              <w:rPr/>
            </w:pPr>
            <w:r>
              <w:rPr/>
              <w:t> </w:t>
            </w:r>
          </w:p>
        </w:tc>
        <w:tc>
          <w:tcPr>
            <w:tcW w:w="1586" w:type="dxa"/>
            <w:gridSpan w:val="2"/>
            <w:tcBorders>
              <w:top w:val="single" w:sz="2" w:space="0" w:color="595959"/>
              <w:left w:val="single" w:sz="2" w:space="0" w:color="595959"/>
            </w:tcBorders>
            <w:shd w:fill="B94831" w:val="clear"/>
            <w:tcMar>
              <w:top w:w="28" w:type="dxa"/>
              <w:left w:w="28" w:type="dxa"/>
            </w:tcMar>
            <w:vAlign w:val="center"/>
          </w:tcPr>
          <w:p>
            <w:pPr>
              <w:pStyle w:val="TableContents"/>
              <w:spacing w:before="0" w:after="283"/>
              <w:rPr/>
            </w:pPr>
            <w:r>
              <w:rPr/>
              <w:t> </w:t>
            </w:r>
          </w:p>
        </w:tc>
        <w:tc>
          <w:tcPr>
            <w:tcW w:w="5483" w:type="dxa"/>
            <w:gridSpan w:val="2"/>
            <w:tcBorders>
              <w:top w:val="single" w:sz="2" w:space="0" w:color="595959"/>
              <w:left w:val="single" w:sz="2" w:space="0" w:color="595959"/>
            </w:tcBorders>
            <w:shd w:fill="B94831" w:val="clear"/>
            <w:tcMar>
              <w:top w:w="28" w:type="dxa"/>
              <w:left w:w="28" w:type="dxa"/>
            </w:tcMar>
            <w:vAlign w:val="center"/>
          </w:tcPr>
          <w:p>
            <w:pPr>
              <w:pStyle w:val="TableContents"/>
              <w:spacing w:before="0" w:after="283"/>
              <w:rPr/>
            </w:pPr>
            <w:r>
              <w:rPr/>
              <w:t> </w:t>
            </w:r>
          </w:p>
        </w:tc>
        <w:tc>
          <w:tcPr>
            <w:tcW w:w="2645" w:type="dxa"/>
            <w:gridSpan w:val="2"/>
            <w:tcBorders>
              <w:top w:val="single" w:sz="2" w:space="0" w:color="595959"/>
              <w:left w:val="single" w:sz="2" w:space="0" w:color="595959"/>
              <w:right w:val="single" w:sz="2" w:space="0" w:color="595959"/>
            </w:tcBorders>
            <w:shd w:fill="B94831" w:val="clear"/>
            <w:tcMar>
              <w:top w:w="28" w:type="dxa"/>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595959"/>
            </w:tcBorders>
            <w:shd w:fill="B94831" w:val="clear"/>
            <w:tcMar>
              <w:left w:w="160" w:type="dxa"/>
              <w:bottom w:w="28" w:type="dxa"/>
            </w:tcMar>
            <w:vAlign w:val="bottom"/>
          </w:tcPr>
          <w:p>
            <w:pPr>
              <w:pStyle w:val="TableContents"/>
              <w:spacing w:before="0" w:after="283"/>
              <w:rPr/>
            </w:pPr>
            <w:r>
              <w:rPr/>
              <w:t>  </w:t>
            </w:r>
          </w:p>
        </w:tc>
        <w:tc>
          <w:tcPr>
            <w:tcW w:w="99" w:type="dxa"/>
            <w:tcBorders>
              <w:left w:val="single" w:sz="2" w:space="0" w:color="595959"/>
              <w:bottom w:val="single" w:sz="2" w:space="0" w:color="595959"/>
            </w:tcBorders>
            <w:shd w:fill="B94831" w:val="clear"/>
            <w:tcMar>
              <w:left w:w="28" w:type="dxa"/>
              <w:bottom w:w="28" w:type="dxa"/>
            </w:tcMar>
            <w:vAlign w:val="bottom"/>
          </w:tcPr>
          <w:p>
            <w:pPr>
              <w:pStyle w:val="TableContents"/>
              <w:spacing w:before="0" w:after="283"/>
              <w:rPr/>
            </w:pPr>
            <w:r>
              <w:rPr/>
              <w:t> </w:t>
            </w:r>
          </w:p>
        </w:tc>
        <w:tc>
          <w:tcPr>
            <w:tcW w:w="1487" w:type="dxa"/>
            <w:tcBorders>
              <w:bottom w:val="single" w:sz="2" w:space="0" w:color="595959"/>
            </w:tcBorders>
            <w:shd w:fill="B94831" w:val="clear"/>
            <w:tcMar>
              <w:bottom w:w="28" w:type="dxa"/>
            </w:tcMar>
          </w:tcPr>
          <w:p>
            <w:pPr>
              <w:pStyle w:val="TableContents"/>
              <w:spacing w:before="0" w:after="0"/>
              <w:rPr>
                <w:rFonts w:ascii="Arial" w:hAnsi="Arial"/>
                <w:b/>
                <w:color w:val="FFFFFF"/>
                <w:sz w:val="16"/>
              </w:rPr>
            </w:pPr>
            <w:r>
              <w:rPr>
                <w:rFonts w:ascii="Arial" w:hAnsi="Arial"/>
                <w:b/>
                <w:color w:val="FFFFFF"/>
                <w:sz w:val="16"/>
              </w:rPr>
              <w:t>Item of</w:t>
            </w:r>
          </w:p>
          <w:p>
            <w:pPr>
              <w:pStyle w:val="TableContents"/>
              <w:spacing w:before="0" w:after="20"/>
              <w:rPr>
                <w:rFonts w:ascii="Arial" w:hAnsi="Arial"/>
                <w:b/>
                <w:color w:val="FFFFFF"/>
                <w:sz w:val="16"/>
              </w:rPr>
            </w:pPr>
            <w:r>
              <w:rPr>
                <w:rFonts w:ascii="Arial" w:hAnsi="Arial"/>
                <w:b/>
                <w:color w:val="FFFFFF"/>
                <w:sz w:val="16"/>
              </w:rPr>
              <w:t>Business</w:t>
            </w:r>
          </w:p>
        </w:tc>
        <w:tc>
          <w:tcPr>
            <w:tcW w:w="99" w:type="dxa"/>
            <w:tcBorders>
              <w:left w:val="single" w:sz="2" w:space="0" w:color="595959"/>
              <w:bottom w:val="single" w:sz="2" w:space="0" w:color="595959"/>
            </w:tcBorders>
            <w:shd w:fill="B94831" w:val="clear"/>
            <w:tcMar>
              <w:left w:w="28" w:type="dxa"/>
              <w:bottom w:w="28" w:type="dxa"/>
            </w:tcMar>
            <w:vAlign w:val="bottom"/>
          </w:tcPr>
          <w:p>
            <w:pPr>
              <w:pStyle w:val="TableContents"/>
              <w:spacing w:before="0" w:after="283"/>
              <w:rPr/>
            </w:pPr>
            <w:r>
              <w:rPr/>
              <w:t> </w:t>
            </w:r>
          </w:p>
        </w:tc>
        <w:tc>
          <w:tcPr>
            <w:tcW w:w="5384" w:type="dxa"/>
            <w:tcBorders>
              <w:bottom w:val="single" w:sz="2" w:space="0" w:color="595959"/>
            </w:tcBorders>
            <w:shd w:fill="B94831" w:val="clear"/>
            <w:tcMar>
              <w:bottom w:w="28" w:type="dxa"/>
            </w:tcMar>
          </w:tcPr>
          <w:p>
            <w:pPr>
              <w:pStyle w:val="TableContents"/>
              <w:spacing w:before="0" w:after="283"/>
              <w:rPr>
                <w:rFonts w:ascii="Arial" w:hAnsi="Arial"/>
                <w:b/>
                <w:color w:val="FFFFFF"/>
              </w:rPr>
            </w:pPr>
            <w:r>
              <w:rPr>
                <w:rFonts w:ascii="Arial" w:hAnsi="Arial"/>
                <w:b/>
                <w:color w:val="FFFFFF"/>
              </w:rPr>
              <w:t>Highlights</w:t>
            </w:r>
          </w:p>
        </w:tc>
        <w:tc>
          <w:tcPr>
            <w:tcW w:w="99" w:type="dxa"/>
            <w:tcBorders>
              <w:left w:val="single" w:sz="2" w:space="0" w:color="595959"/>
              <w:bottom w:val="single" w:sz="2" w:space="0" w:color="595959"/>
            </w:tcBorders>
            <w:shd w:fill="B94831" w:val="clear"/>
            <w:tcMar>
              <w:left w:w="28" w:type="dxa"/>
              <w:bottom w:w="28" w:type="dxa"/>
            </w:tcMar>
            <w:vAlign w:val="bottom"/>
          </w:tcPr>
          <w:p>
            <w:pPr>
              <w:pStyle w:val="TableContents"/>
              <w:spacing w:before="0" w:after="283"/>
              <w:rPr/>
            </w:pPr>
            <w:r>
              <w:rPr/>
              <w:t> </w:t>
            </w:r>
          </w:p>
        </w:tc>
        <w:tc>
          <w:tcPr>
            <w:tcW w:w="2546" w:type="dxa"/>
            <w:tcBorders>
              <w:bottom w:val="single" w:sz="2" w:space="0" w:color="595959"/>
              <w:right w:val="single" w:sz="2" w:space="0" w:color="595959"/>
            </w:tcBorders>
            <w:shd w:fill="B94831" w:val="clear"/>
            <w:tcMar>
              <w:bottom w:w="28" w:type="dxa"/>
              <w:right w:w="40" w:type="dxa"/>
            </w:tcMar>
            <w:vAlign w:val="bottom"/>
          </w:tcPr>
          <w:p>
            <w:pPr>
              <w:pStyle w:val="TableContents"/>
              <w:spacing w:before="0" w:after="283"/>
              <w:rPr>
                <w:rFonts w:ascii="Arial" w:hAnsi="Arial"/>
                <w:b/>
                <w:color w:val="FFFFFF"/>
              </w:rPr>
            </w:pPr>
            <w:r>
              <w:rPr>
                <w:rFonts w:ascii="Arial" w:hAnsi="Arial"/>
                <w:b/>
                <w:color w:val="FFFFFF"/>
              </w:rPr>
              <w:t>Board Vote</w:t>
              <w:br/>
              <w:t>Recommendation</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0"/>
              <w:jc w:val="center"/>
              <w:rPr>
                <w:rFonts w:ascii="arial" w:hAnsi="arial"/>
                <w:sz w:val="16"/>
              </w:rPr>
            </w:pPr>
            <w:r>
              <w:rPr>
                <w:rFonts w:ascii="arial" w:hAnsi="arial"/>
                <w:sz w:val="16"/>
              </w:rPr>
              <w:t>1   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283"/>
              <w:rPr/>
            </w:pPr>
            <w:r>
              <w:rPr/>
              <w:t>Financial statements</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Receipt of our 2022 audited financial statements.</w:t>
            </w:r>
          </w:p>
          <w:p>
            <w:pPr>
              <w:pStyle w:val="TableContents"/>
              <w:spacing w:before="0" w:after="0"/>
              <w:rPr/>
            </w:pPr>
            <w:r>
              <w:rPr/>
              <w:t> </w:t>
            </w:r>
          </w:p>
          <w:p>
            <w:pPr>
              <w:pStyle w:val="TableContents"/>
              <w:spacing w:before="0" w:after="0"/>
              <w:rPr/>
            </w:pPr>
            <w:r>
              <w:rPr/>
              <w:t>●   </w:t>
            </w:r>
            <w:r>
              <w:rPr>
                <w:rFonts w:ascii="arial" w:hAnsi="arial"/>
                <w:sz w:val="16"/>
              </w:rPr>
              <w:t xml:space="preserve">Our 2022 annual consolidated financial statements are included in our 2022 annual report, which is available in the Investor Relations section of our website, </w:t>
            </w:r>
            <w:r>
              <w:rPr>
                <w:rFonts w:ascii="Arial" w:hAnsi="Arial"/>
                <w:b/>
                <w:color w:val="B94831"/>
                <w:sz w:val="16"/>
              </w:rPr>
              <w:t>www.tr.com</w:t>
            </w:r>
            <w:r>
              <w:rPr>
                <w:rFonts w:ascii="arial" w:hAnsi="arial"/>
                <w:sz w:val="16"/>
              </w:rPr>
              <w:t>.</w:t>
            </w:r>
          </w:p>
          <w:p>
            <w:pPr>
              <w:pStyle w:val="TableContents"/>
              <w:spacing w:before="0" w:after="0"/>
              <w:rPr/>
            </w:pPr>
            <w:r>
              <w:rPr/>
              <w:t> </w:t>
            </w:r>
          </w:p>
          <w:p>
            <w:pPr>
              <w:pStyle w:val="TableContents"/>
              <w:spacing w:before="0" w:after="0"/>
              <w:rPr/>
            </w:pPr>
            <w:r>
              <w:rPr/>
              <w:t>●   </w:t>
            </w:r>
            <w:r>
              <w:rPr>
                <w:rFonts w:ascii="arial" w:hAnsi="arial"/>
                <w:sz w:val="16"/>
              </w:rPr>
              <w:t>Shareholders who requested a copy of the 2022 annual report will receive it by mail or e-mail.</w:t>
            </w:r>
          </w:p>
          <w:p>
            <w:pPr>
              <w:pStyle w:val="TableContents"/>
              <w:spacing w:before="0" w:after="0"/>
              <w:rPr/>
            </w:pPr>
            <w:r>
              <w:rPr/>
              <w:t> </w:t>
            </w:r>
          </w:p>
          <w:p>
            <w:pPr>
              <w:pStyle w:val="TableContents"/>
              <w:spacing w:before="0" w:after="20"/>
              <w:rPr/>
            </w:pPr>
            <w:r>
              <w:rPr/>
              <w:t>●   </w:t>
            </w:r>
            <w:r>
              <w:rPr>
                <w:rFonts w:ascii="arial" w:hAnsi="arial"/>
                <w:sz w:val="16"/>
              </w:rPr>
              <w:t>Representatives from Thomson Reuters and our independent auditor, PricewaterhouseCoopers LLP, will be available to discuss any questions about our financial statements at the meeting.</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N/A</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0"/>
              <w:jc w:val="center"/>
              <w:rPr>
                <w:rFonts w:ascii="arial" w:hAnsi="arial"/>
                <w:sz w:val="16"/>
              </w:rPr>
            </w:pPr>
            <w:r>
              <w:rPr>
                <w:rFonts w:ascii="arial" w:hAnsi="arial"/>
                <w:sz w:val="16"/>
              </w:rPr>
              <w:t>2   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283"/>
              <w:rPr/>
            </w:pPr>
            <w:r>
              <w:rPr/>
              <w:t>Election of Directors</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At the meeting, 14 individuals are proposed to be elected to our Board of Directors. All of these individuals are currently directors of our company.</w:t>
            </w:r>
          </w:p>
          <w:p>
            <w:pPr>
              <w:pStyle w:val="TableContents"/>
              <w:spacing w:before="0" w:after="0"/>
              <w:rPr/>
            </w:pPr>
            <w:r>
              <w:rPr/>
              <w:t> </w:t>
            </w:r>
          </w:p>
          <w:p>
            <w:pPr>
              <w:pStyle w:val="TableContents"/>
              <w:spacing w:before="0" w:after="0"/>
              <w:rPr/>
            </w:pPr>
            <w:r>
              <w:rPr/>
              <w:t>●   </w:t>
            </w:r>
            <w:r>
              <w:rPr>
                <w:rFonts w:ascii="arial" w:hAnsi="arial"/>
                <w:sz w:val="16"/>
              </w:rPr>
              <w:t>A majority of our directors are independent and four of our directors are affiliated with our principal shareholder, Woodbridge. Only one director (our CEO) is a member of management.</w:t>
            </w:r>
          </w:p>
          <w:p>
            <w:pPr>
              <w:pStyle w:val="TableContents"/>
              <w:spacing w:before="0" w:after="0"/>
              <w:rPr/>
            </w:pPr>
            <w:r>
              <w:rPr/>
              <w:t> </w:t>
            </w:r>
          </w:p>
          <w:p>
            <w:pPr>
              <w:pStyle w:val="TableContents"/>
              <w:spacing w:before="0" w:after="0"/>
              <w:rPr/>
            </w:pPr>
            <w:r>
              <w:rPr/>
              <w:t>●   </w:t>
            </w:r>
            <w:r>
              <w:rPr>
                <w:rFonts w:ascii="arial" w:hAnsi="arial"/>
                <w:sz w:val="16"/>
              </w:rPr>
              <w:t>The roles and responsibilities of the Chairman and the CEO are separate.</w:t>
            </w:r>
          </w:p>
          <w:p>
            <w:pPr>
              <w:pStyle w:val="TableContents"/>
              <w:spacing w:before="0" w:after="0"/>
              <w:rPr/>
            </w:pPr>
            <w:r>
              <w:rPr/>
              <w:t> </w:t>
            </w:r>
          </w:p>
          <w:p>
            <w:pPr>
              <w:pStyle w:val="TableContents"/>
              <w:spacing w:before="0" w:after="0"/>
              <w:rPr/>
            </w:pPr>
            <w:r>
              <w:rPr/>
              <w:t>●   </w:t>
            </w:r>
            <w:r>
              <w:rPr>
                <w:rFonts w:ascii="arial" w:hAnsi="arial"/>
                <w:sz w:val="16"/>
              </w:rPr>
              <w:t>36% of the director nominees are women and two have self-identified as visible minorities.</w:t>
            </w:r>
          </w:p>
          <w:p>
            <w:pPr>
              <w:pStyle w:val="TableContents"/>
              <w:spacing w:before="0" w:after="0"/>
              <w:rPr/>
            </w:pPr>
            <w:r>
              <w:rPr/>
              <w:t> </w:t>
            </w:r>
          </w:p>
          <w:p>
            <w:pPr>
              <w:pStyle w:val="TableContents"/>
              <w:spacing w:before="0" w:after="0"/>
              <w:rPr/>
            </w:pPr>
            <w:r>
              <w:rPr/>
              <w:t>●   </w:t>
            </w:r>
            <w:r>
              <w:rPr>
                <w:rFonts w:ascii="arial" w:hAnsi="arial"/>
                <w:sz w:val="16"/>
              </w:rPr>
              <w:t>Shareholders vote annually for individual directors.</w:t>
            </w:r>
          </w:p>
          <w:p>
            <w:pPr>
              <w:pStyle w:val="TableContents"/>
              <w:spacing w:before="0" w:after="0"/>
              <w:rPr/>
            </w:pPr>
            <w:r>
              <w:rPr/>
              <w:t> </w:t>
            </w:r>
          </w:p>
          <w:p>
            <w:pPr>
              <w:pStyle w:val="TableContents"/>
              <w:spacing w:before="0" w:after="20"/>
              <w:rPr>
                <w:rFonts w:ascii="arial" w:hAnsi="arial"/>
                <w:sz w:val="16"/>
              </w:rPr>
            </w:pPr>
            <w:r>
              <w:rPr>
                <w:rFonts w:ascii="arial" w:hAnsi="arial"/>
                <w:sz w:val="16"/>
              </w:rPr>
              <w:t>Additional information may be found in the About Our Directors section of our management proxy circular.</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FOR EACH DIRECTOR NOMINEE</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283"/>
              <w:jc w:val="center"/>
              <w:rPr/>
            </w:pPr>
            <w:r>
              <w:rPr/>
              <w:t>3   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283"/>
              <w:rPr/>
            </w:pPr>
            <w:r>
              <w:rPr/>
              <w:t>Appointment of Auditor</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We are proposing to re-appoint PricewaterhouseCoopers LLP as our independent auditor for another year until the 2024 annual meeting of shareholders.</w:t>
            </w:r>
          </w:p>
          <w:p>
            <w:pPr>
              <w:pStyle w:val="TableContents"/>
              <w:spacing w:before="0" w:after="0"/>
              <w:rPr/>
            </w:pPr>
            <w:r>
              <w:rPr/>
              <w:t> </w:t>
            </w:r>
          </w:p>
          <w:p>
            <w:pPr>
              <w:pStyle w:val="TableContents"/>
              <w:spacing w:before="0" w:after="20"/>
              <w:rPr>
                <w:rFonts w:ascii="arial" w:hAnsi="arial"/>
                <w:sz w:val="16"/>
              </w:rPr>
            </w:pPr>
            <w:r>
              <w:rPr>
                <w:rFonts w:ascii="arial" w:hAnsi="arial"/>
                <w:sz w:val="16"/>
              </w:rPr>
              <w:t>Additional information may be found in the About Our Independent Auditor section of our management proxy circular.</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FOR</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283"/>
              <w:jc w:val="center"/>
              <w:rPr/>
            </w:pPr>
            <w:r>
              <w:rPr/>
              <w:t>4   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Advisory resolution on executive compensation</w:t>
            </w:r>
          </w:p>
          <w:p>
            <w:pPr>
              <w:pStyle w:val="TableContents"/>
              <w:spacing w:before="0" w:after="20"/>
              <w:rPr/>
            </w:pPr>
            <w:r>
              <w:rPr/>
              <w:t>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We will have a non-binding advisory resolution on executive compensation, which is sometimes called say on pay.</w:t>
            </w:r>
          </w:p>
          <w:p>
            <w:pPr>
              <w:pStyle w:val="TableContents"/>
              <w:spacing w:before="0" w:after="0"/>
              <w:rPr/>
            </w:pPr>
            <w:r>
              <w:rPr/>
              <w:t> </w:t>
            </w:r>
          </w:p>
          <w:p>
            <w:pPr>
              <w:pStyle w:val="TableContents"/>
              <w:spacing w:before="0" w:after="20"/>
              <w:rPr>
                <w:rFonts w:ascii="arial" w:hAnsi="arial"/>
                <w:sz w:val="16"/>
              </w:rPr>
            </w:pPr>
            <w:r>
              <w:rPr>
                <w:rFonts w:ascii="arial" w:hAnsi="arial"/>
                <w:sz w:val="16"/>
              </w:rPr>
              <w:t>Additional information may be found in the Advisory Resolution on Executive Compensation (Say on Pay) section of our management proxy circular.</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FOR</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283"/>
              <w:jc w:val="center"/>
              <w:rPr/>
            </w:pPr>
            <w:r>
              <w:rPr/>
              <w:t>5   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283"/>
              <w:rPr/>
            </w:pPr>
            <w:r>
              <w:rPr/>
              <w:t>Plan of Arrangement</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0"/>
              <w:rPr>
                <w:rFonts w:ascii="arial" w:hAnsi="arial"/>
                <w:sz w:val="16"/>
              </w:rPr>
            </w:pPr>
            <w:r>
              <w:rPr>
                <w:rFonts w:ascii="arial" w:hAnsi="arial"/>
                <w:sz w:val="16"/>
              </w:rPr>
              <w:t xml:space="preserve">To consider, pursuant to an interim order of the Court dated April 21, 2023, and, if deemed advisable, to approve, with or without amendment, a special resolution approving the plan of arrangement described in our management proxy circular, pursuant to section 182 of the </w:t>
            </w:r>
            <w:r>
              <w:rPr>
                <w:rFonts w:ascii="arial" w:hAnsi="arial"/>
                <w:i/>
                <w:sz w:val="16"/>
              </w:rPr>
              <w:t>Business Corporations Act</w:t>
            </w:r>
            <w:r>
              <w:rPr>
                <w:rFonts w:ascii="arial" w:hAnsi="arial"/>
                <w:sz w:val="16"/>
              </w:rPr>
              <w:t xml:space="preserve"> (Ontario) under which Thomson Reuters Corporation will (i) make a cash distribution of US$4.67 per common share, or approximately US$2.2 billion in the aggregate and (ii) consolidate its outstanding common shares (or reverse stock split) on a basis that is proportional to the cash distribution.</w:t>
            </w:r>
          </w:p>
          <w:p>
            <w:pPr>
              <w:pStyle w:val="TableContents"/>
              <w:spacing w:before="0" w:after="0"/>
              <w:rPr/>
            </w:pPr>
            <w:r>
              <w:rPr/>
              <w:t> </w:t>
            </w:r>
          </w:p>
          <w:p>
            <w:pPr>
              <w:pStyle w:val="TableContents"/>
              <w:spacing w:before="0" w:after="20"/>
              <w:rPr>
                <w:rFonts w:ascii="arial" w:hAnsi="arial"/>
                <w:sz w:val="16"/>
              </w:rPr>
            </w:pPr>
            <w:r>
              <w:rPr>
                <w:rFonts w:ascii="arial" w:hAnsi="arial"/>
                <w:sz w:val="16"/>
              </w:rPr>
              <w:t>Additional information may be found in the Information Regarding the Return of Capital Transaction section of our management proxy circular.</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FOR</w:t>
            </w:r>
          </w:p>
        </w:tc>
      </w:tr>
      <w:tr>
        <w:trPr>
          <w:trHeight w:val="75" w:hRule="atLeast"/>
        </w:trPr>
        <w:tc>
          <w:tcPr>
            <w:tcW w:w="388" w:type="dxa"/>
            <w:tcBorders>
              <w:left w:val="single" w:sz="2" w:space="0" w:color="595959"/>
            </w:tcBorders>
            <w:shd w:fill="auto" w:val="clear"/>
            <w:tcMar>
              <w:left w:w="160" w:type="dxa"/>
            </w:tcMar>
            <w:vAlign w:val="center"/>
          </w:tcPr>
          <w:p>
            <w:pPr>
              <w:pStyle w:val="TableContents"/>
              <w:spacing w:before="0" w:after="283"/>
              <w:rPr/>
            </w:pPr>
            <w:r>
              <w:rPr/>
              <w:t> </w:t>
            </w:r>
          </w:p>
        </w:tc>
        <w:tc>
          <w:tcPr>
            <w:tcW w:w="1586"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5483" w:type="dxa"/>
            <w:gridSpan w:val="2"/>
            <w:tcBorders>
              <w:left w:val="single" w:sz="2" w:space="0" w:color="595959"/>
            </w:tcBorders>
            <w:shd w:fill="auto" w:val="clear"/>
            <w:tcMar>
              <w:left w:w="28" w:type="dxa"/>
            </w:tcMar>
            <w:vAlign w:val="center"/>
          </w:tcPr>
          <w:p>
            <w:pPr>
              <w:pStyle w:val="TableContents"/>
              <w:spacing w:before="0" w:after="283"/>
              <w:rPr/>
            </w:pPr>
            <w:r>
              <w:rPr/>
              <w:t> </w:t>
            </w:r>
          </w:p>
        </w:tc>
        <w:tc>
          <w:tcPr>
            <w:tcW w:w="2645" w:type="dxa"/>
            <w:gridSpan w:val="2"/>
            <w:tcBorders>
              <w:left w:val="single" w:sz="2" w:space="0" w:color="595959"/>
              <w:right w:val="single" w:sz="2" w:space="0" w:color="595959"/>
            </w:tcBorders>
            <w:shd w:fill="auto" w:val="clear"/>
            <w:tcMar>
              <w:left w:w="28" w:type="dxa"/>
              <w:right w:w="28" w:type="dxa"/>
            </w:tcMar>
            <w:vAlign w:val="center"/>
          </w:tcPr>
          <w:p>
            <w:pPr>
              <w:pStyle w:val="TableContents"/>
              <w:spacing w:before="0" w:after="283"/>
              <w:rPr/>
            </w:pPr>
            <w:r>
              <w:rPr/>
              <w:t> </w:t>
            </w:r>
          </w:p>
        </w:tc>
      </w:tr>
      <w:tr>
        <w:trPr/>
        <w:tc>
          <w:tcPr>
            <w:tcW w:w="388" w:type="dxa"/>
            <w:tcBorders>
              <w:left w:val="single" w:sz="2" w:space="0" w:color="595959"/>
              <w:bottom w:val="single" w:sz="2" w:space="0" w:color="000000"/>
            </w:tcBorders>
            <w:shd w:fill="auto" w:val="clear"/>
            <w:tcMar>
              <w:left w:w="160" w:type="dxa"/>
              <w:bottom w:w="28" w:type="dxa"/>
            </w:tcMar>
          </w:tcPr>
          <w:p>
            <w:pPr>
              <w:pStyle w:val="TableContents"/>
              <w:spacing w:before="0" w:after="283"/>
              <w:jc w:val="center"/>
              <w:rPr/>
            </w:pPr>
            <w:r>
              <w:rPr/>
              <w:t>6   </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1487" w:type="dxa"/>
            <w:tcBorders>
              <w:bottom w:val="single" w:sz="2" w:space="0" w:color="000000"/>
            </w:tcBorders>
            <w:shd w:fill="auto" w:val="clear"/>
            <w:tcMar>
              <w:bottom w:w="28" w:type="dxa"/>
            </w:tcMar>
          </w:tcPr>
          <w:p>
            <w:pPr>
              <w:pStyle w:val="TableContents"/>
              <w:spacing w:before="0" w:after="283"/>
              <w:rPr/>
            </w:pPr>
            <w:r>
              <w:rPr/>
              <w:t>Other business</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5384" w:type="dxa"/>
            <w:tcBorders>
              <w:bottom w:val="single" w:sz="2" w:space="0" w:color="000000"/>
            </w:tcBorders>
            <w:shd w:fill="auto" w:val="clear"/>
            <w:tcMar>
              <w:bottom w:w="28" w:type="dxa"/>
            </w:tcMar>
          </w:tcPr>
          <w:p>
            <w:pPr>
              <w:pStyle w:val="TableContents"/>
              <w:spacing w:before="0" w:after="283"/>
              <w:rPr/>
            </w:pPr>
            <w:r>
              <w:rPr/>
              <w:t>If any other items of business are properly brought before the meeting (or any adjourned or postponed meeting), shareholders will be asked to vote. We are not aware of any other items of business at this time.</w:t>
            </w:r>
          </w:p>
        </w:tc>
        <w:tc>
          <w:tcPr>
            <w:tcW w:w="99" w:type="dxa"/>
            <w:tcBorders>
              <w:left w:val="single" w:sz="2" w:space="0" w:color="595959"/>
              <w:bottom w:val="single" w:sz="2" w:space="0" w:color="000000"/>
            </w:tcBorders>
            <w:shd w:fill="auto" w:val="clear"/>
            <w:tcMar>
              <w:left w:w="28" w:type="dxa"/>
              <w:bottom w:w="28" w:type="dxa"/>
            </w:tcMar>
            <w:vAlign w:val="bottom"/>
          </w:tcPr>
          <w:p>
            <w:pPr>
              <w:pStyle w:val="TableContents"/>
              <w:spacing w:before="0" w:after="283"/>
              <w:rPr/>
            </w:pPr>
            <w:r>
              <w:rPr/>
              <w:t> </w:t>
            </w:r>
          </w:p>
        </w:tc>
        <w:tc>
          <w:tcPr>
            <w:tcW w:w="2546" w:type="dxa"/>
            <w:tcBorders>
              <w:bottom w:val="single" w:sz="2" w:space="0" w:color="000000"/>
              <w:right w:val="single" w:sz="2" w:space="0" w:color="595959"/>
            </w:tcBorders>
            <w:shd w:fill="auto" w:val="clear"/>
            <w:tcMar>
              <w:bottom w:w="28" w:type="dxa"/>
              <w:right w:w="40" w:type="dxa"/>
            </w:tcMar>
          </w:tcPr>
          <w:p>
            <w:pPr>
              <w:pStyle w:val="TableContents"/>
              <w:spacing w:before="0" w:after="283"/>
              <w:jc w:val="center"/>
              <w:rPr/>
            </w:pPr>
            <w:r>
              <w:rPr/>
              <w:t>N/A</w:t>
            </w:r>
          </w:p>
        </w:tc>
      </w:tr>
    </w:tbl>
    <w:p>
      <w:pPr>
        <w:pStyle w:val="TextBody"/>
        <w:spacing w:before="0" w:after="0"/>
        <w:jc w:val="left"/>
        <w:rPr/>
      </w:pPr>
      <w:r>
        <w:rPr/>
        <w:t> </w:t>
      </w:r>
    </w:p>
    <w:p>
      <w:pPr>
        <w:pStyle w:val="TextBody"/>
        <w:pBdr>
          <w:bottom w:val="single" w:sz="2" w:space="1" w:color="7F7F7F"/>
        </w:pBdr>
        <w:spacing w:lineRule="atLeast" w:line="141" w:before="0" w:after="40"/>
        <w:jc w:val="left"/>
        <w:rPr/>
      </w:pPr>
      <w:r>
        <w:rPr/>
        <w:t> </w:t>
      </w:r>
    </w:p>
    <w:p>
      <w:pPr>
        <w:pStyle w:val="TextBody"/>
        <w:spacing w:before="0" w:after="0"/>
        <w:jc w:val="left"/>
        <w:rPr/>
      </w:pPr>
      <w:r>
        <w:rPr/>
        <w:t> </w:t>
      </w:r>
    </w:p>
    <w:p>
      <w:pPr>
        <w:pStyle w:val="TextBody"/>
        <w:spacing w:before="40" w:after="0"/>
        <w:jc w:val="right"/>
        <w:rPr>
          <w:rFonts w:ascii="arial" w:hAnsi="arial"/>
          <w:sz w:val="15"/>
        </w:rPr>
      </w:pPr>
      <w:r>
        <w:rPr>
          <w:rFonts w:ascii="arial" w:hAnsi="arial"/>
          <w:sz w:val="15"/>
        </w:rPr>
        <w:t xml:space="preserve">Page 1 </w:t>
      </w:r>
      <w:r>
        <w:br w:type="page"/>
      </w:r>
    </w:p>
    <w:p>
      <w:pPr>
        <w:pStyle w:val="HorizontalLine"/>
        <w:pBdr>
          <w:bottom w:val="double" w:sz="6" w:space="0" w:color="808080"/>
        </w:pBdr>
        <w:rPr/>
      </w:pPr>
      <w:r>
        <w:rPr/>
      </w:r>
    </w:p>
    <w:p>
      <w:pPr>
        <w:pStyle w:val="TextBody"/>
        <w:spacing w:before="0" w:after="0"/>
        <w:jc w:val="left"/>
        <w:rPr>
          <w:rFonts w:ascii="Arial" w:hAnsi="Arial"/>
          <w:b/>
          <w:color w:val="B94831"/>
          <w:sz w:val="18"/>
        </w:rPr>
      </w:pPr>
      <w:r>
        <w:rPr>
          <w:rFonts w:ascii="Arial" w:hAnsi="Arial"/>
          <w:b/>
          <w:color w:val="B94831"/>
          <w:sz w:val="18"/>
        </w:rPr>
        <w:t xml:space="preserve">SHAREHOLDERS ARE REMINDED TO VIEW OUR PROXY MATERIALS PRIOR TO VOTING. </w:t>
      </w:r>
    </w:p>
    <w:p>
      <w:pPr>
        <w:pStyle w:val="TextBody"/>
        <w:spacing w:before="240" w:after="0"/>
        <w:jc w:val="left"/>
        <w:rPr>
          <w:rFonts w:ascii="Arial" w:hAnsi="Arial"/>
          <w:b/>
          <w:color w:val="B94831"/>
          <w:sz w:val="18"/>
        </w:rPr>
      </w:pPr>
      <w:r>
        <w:rPr>
          <w:rFonts w:ascii="Arial" w:hAnsi="Arial"/>
          <w:b/>
          <w:color w:val="B94831"/>
          <w:sz w:val="18"/>
        </w:rPr>
        <w:t xml:space="preserve">WEBSITES WHERE PROXY MATERIALS ARE POSTED </w:t>
      </w:r>
    </w:p>
    <w:p>
      <w:pPr>
        <w:pStyle w:val="TextBody"/>
        <w:spacing w:before="120" w:after="0"/>
        <w:jc w:val="left"/>
        <w:rPr>
          <w:rFonts w:ascii="arial" w:hAnsi="arial"/>
          <w:sz w:val="18"/>
        </w:rPr>
      </w:pPr>
      <w:r>
        <w:rPr>
          <w:rFonts w:ascii="arial" w:hAnsi="arial"/>
          <w:sz w:val="18"/>
        </w:rPr>
        <w:t xml:space="preserve">You can find the management proxy circular and other proxy materials at the following websites: </w:t>
      </w:r>
    </w:p>
    <w:p>
      <w:pPr>
        <w:pStyle w:val="TextBody"/>
        <w:spacing w:before="120" w:after="0"/>
        <w:jc w:val="left"/>
        <w:rPr>
          <w:rFonts w:ascii="arial" w:hAnsi="arial"/>
          <w:sz w:val="20"/>
        </w:rPr>
      </w:pPr>
      <w:r>
        <w:rPr>
          <w:rFonts w:ascii="arial" w:hAnsi="arial"/>
          <w:color w:val="B94831"/>
          <w:sz w:val="20"/>
        </w:rPr>
        <w:t>www.thomsonreuters.com/AGM/</w:t>
      </w:r>
      <w:r>
        <w:rPr>
          <w:rFonts w:ascii="arial" w:hAnsi="arial"/>
          <w:sz w:val="20"/>
        </w:rPr>
        <w:t>                </w:t>
      </w:r>
      <w:r>
        <w:rPr>
          <w:rFonts w:ascii="arial" w:hAnsi="arial"/>
          <w:color w:val="B94831"/>
          <w:sz w:val="20"/>
        </w:rPr>
        <w:t>www.sedar.com</w:t>
      </w:r>
      <w:r>
        <w:rPr>
          <w:rFonts w:ascii="arial" w:hAnsi="arial"/>
          <w:sz w:val="20"/>
        </w:rPr>
        <w:t>                         </w:t>
      </w:r>
      <w:r>
        <w:rPr>
          <w:rFonts w:ascii="arial" w:hAnsi="arial"/>
          <w:color w:val="B94831"/>
          <w:sz w:val="20"/>
        </w:rPr>
        <w:t>www.sec.gov</w:t>
      </w:r>
      <w:r>
        <w:rPr>
          <w:rFonts w:ascii="arial" w:hAnsi="arial"/>
          <w:sz w:val="20"/>
        </w:rPr>
        <w:t xml:space="preserve"> </w:t>
      </w:r>
    </w:p>
    <w:p>
      <w:pPr>
        <w:pStyle w:val="TextBody"/>
        <w:spacing w:before="240" w:after="0"/>
        <w:jc w:val="left"/>
        <w:rPr>
          <w:rFonts w:ascii="Arial" w:hAnsi="Arial"/>
          <w:b/>
          <w:color w:val="B94831"/>
          <w:sz w:val="18"/>
        </w:rPr>
      </w:pPr>
      <w:r>
        <w:rPr>
          <w:rFonts w:ascii="Arial" w:hAnsi="Arial"/>
          <w:b/>
          <w:color w:val="B94831"/>
          <w:sz w:val="18"/>
        </w:rPr>
        <w:t xml:space="preserve">REGISTERED AND NON-REGISTERED/BENEFICIAL HOLDERS </w:t>
      </w:r>
    </w:p>
    <w:p>
      <w:pPr>
        <w:pStyle w:val="TextBody"/>
        <w:spacing w:before="120" w:after="0"/>
        <w:jc w:val="left"/>
        <w:rPr>
          <w:rFonts w:ascii="arial" w:hAnsi="arial"/>
          <w:sz w:val="18"/>
        </w:rPr>
      </w:pPr>
      <w:r>
        <w:rPr>
          <w:rFonts w:ascii="arial" w:hAnsi="arial"/>
          <w:sz w:val="18"/>
        </w:rPr>
        <w:t xml:space="preserve">If youd like to obtain paper copies of the proxy materials, you should first determine whether you are a registered or non-registered/beneficial holder of our common shares. Most of our shareholders are non-registered/beneficial 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8"/>
        <w:gridCol w:w="243"/>
        <w:gridCol w:w="110"/>
        <w:gridCol w:w="9544"/>
      </w:tblGrid>
      <w:tr>
        <w:trPr/>
        <w:tc>
          <w:tcPr>
            <w:tcW w:w="30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 </w:t>
            </w:r>
          </w:p>
        </w:tc>
        <w:tc>
          <w:tcPr>
            <w:tcW w:w="110" w:type="dxa"/>
            <w:tcBorders/>
            <w:shd w:fill="auto" w:val="clear"/>
          </w:tcPr>
          <w:p>
            <w:pPr>
              <w:pStyle w:val="TableContents"/>
              <w:spacing w:before="0" w:after="283"/>
              <w:rPr/>
            </w:pPr>
            <w:r>
              <w:rPr/>
              <w:t> </w:t>
            </w:r>
          </w:p>
        </w:tc>
        <w:tc>
          <w:tcPr>
            <w:tcW w:w="9544" w:type="dxa"/>
            <w:tcBorders/>
            <w:shd w:fill="auto" w:val="clear"/>
          </w:tcPr>
          <w:p>
            <w:pPr>
              <w:pStyle w:val="TableContents"/>
              <w:spacing w:before="0" w:after="0"/>
              <w:jc w:val="left"/>
              <w:rPr>
                <w:rFonts w:ascii="arial" w:hAnsi="arial"/>
                <w:sz w:val="18"/>
              </w:rPr>
            </w:pPr>
            <w:r>
              <w:rPr>
                <w:rFonts w:ascii="arial" w:hAnsi="arial"/>
                <w:sz w:val="18"/>
              </w:rPr>
              <w:t xml:space="preserve">You are a registered shareholder if your name appears directly on your share certificates, or if you hold your common shares in book-entry form through the direct registration system (DRS) on the records of our transfer agent, Computershare Trust Company of Canada.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7"/>
        <w:gridCol w:w="239"/>
        <w:gridCol w:w="109"/>
        <w:gridCol w:w="9550"/>
      </w:tblGrid>
      <w:tr>
        <w:trPr/>
        <w:tc>
          <w:tcPr>
            <w:tcW w:w="307"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 </w:t>
            </w:r>
          </w:p>
        </w:tc>
        <w:tc>
          <w:tcPr>
            <w:tcW w:w="109" w:type="dxa"/>
            <w:tcBorders/>
            <w:shd w:fill="auto" w:val="clear"/>
          </w:tcPr>
          <w:p>
            <w:pPr>
              <w:pStyle w:val="TableContents"/>
              <w:spacing w:before="0" w:after="283"/>
              <w:rPr/>
            </w:pPr>
            <w:r>
              <w:rPr/>
              <w:t> </w:t>
            </w:r>
          </w:p>
        </w:tc>
        <w:tc>
          <w:tcPr>
            <w:tcW w:w="9550" w:type="dxa"/>
            <w:tcBorders/>
            <w:shd w:fill="auto" w:val="clear"/>
          </w:tcPr>
          <w:p>
            <w:pPr>
              <w:pStyle w:val="TableContents"/>
              <w:spacing w:before="0" w:after="0"/>
              <w:jc w:val="left"/>
              <w:rPr>
                <w:rFonts w:ascii="arial" w:hAnsi="arial"/>
                <w:sz w:val="18"/>
              </w:rPr>
            </w:pPr>
            <w:r>
              <w:rPr>
                <w:rFonts w:ascii="arial" w:hAnsi="arial"/>
                <w:sz w:val="18"/>
              </w:rPr>
              <w:t xml:space="preserve">You are a non-registered shareholder if you own shares indirectly and the shares are registered in the name of an intermediary. For example, you are a non-registered shareholder if: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203"/>
        <w:gridCol w:w="102"/>
        <w:gridCol w:w="8982"/>
      </w:tblGrid>
      <w:tr>
        <w:trPr/>
        <w:tc>
          <w:tcPr>
            <w:tcW w:w="91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ARIAL" w:hAnsi="ARIAL"/>
              </w:rPr>
            </w:pPr>
            <w:r>
              <w:rPr>
                <w:rFonts w:ascii="WINGDINGS" w:hAnsi="WINGDINGS"/>
              </w:rPr>
              <w:t>¡</w:t>
            </w:r>
            <w:r>
              <w:rPr>
                <w:rFonts w:ascii="ARIAL" w:hAnsi="ARIAL"/>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left"/>
              <w:rPr>
                <w:rFonts w:ascii="arial" w:hAnsi="arial"/>
                <w:sz w:val="18"/>
              </w:rPr>
            </w:pPr>
            <w:r>
              <w:rPr>
                <w:rFonts w:ascii="arial" w:hAnsi="arial"/>
                <w:sz w:val="18"/>
              </w:rPr>
              <w:t xml:space="preserve">your common shares are held in the name of a bank, trust company, securities broker, trustee or custodian;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204"/>
        <w:gridCol w:w="102"/>
        <w:gridCol w:w="8982"/>
      </w:tblGrid>
      <w:tr>
        <w:trPr/>
        <w:tc>
          <w:tcPr>
            <w:tcW w:w="91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ARIAL" w:hAnsi="ARIAL"/>
              </w:rPr>
            </w:pPr>
            <w:r>
              <w:rPr>
                <w:rFonts w:ascii="WINGDINGS" w:hAnsi="WINGDINGS"/>
              </w:rPr>
              <w:t>¡</w:t>
            </w:r>
            <w:r>
              <w:rPr>
                <w:rFonts w:ascii="ARIAL" w:hAnsi="ARIAL"/>
              </w:rPr>
              <w:t> </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left"/>
              <w:rPr>
                <w:rFonts w:ascii="arial" w:hAnsi="arial"/>
                <w:sz w:val="18"/>
              </w:rPr>
            </w:pPr>
            <w:r>
              <w:rPr>
                <w:rFonts w:ascii="arial" w:hAnsi="arial"/>
                <w:sz w:val="18"/>
              </w:rPr>
              <w:t xml:space="preserve">you hold Depositary Interests representing our common shares which are held in the name of Computershare Company Nominees Limited as nominee and custodian. </w:t>
            </w:r>
          </w:p>
        </w:tc>
      </w:tr>
    </w:tbl>
    <w:p>
      <w:pPr>
        <w:pStyle w:val="TextBody"/>
        <w:spacing w:before="240" w:after="0"/>
        <w:jc w:val="left"/>
        <w:rPr>
          <w:rFonts w:ascii="Arial" w:hAnsi="Arial"/>
          <w:b/>
          <w:color w:val="B94831"/>
          <w:sz w:val="18"/>
        </w:rPr>
      </w:pPr>
      <w:r>
        <w:rPr>
          <w:rFonts w:ascii="Arial" w:hAnsi="Arial"/>
          <w:b/>
          <w:color w:val="B94831"/>
          <w:sz w:val="18"/>
        </w:rPr>
        <w:t xml:space="preserve">HOW TO OBTAIN PAPER COPIES OF THE PROXY MATERIALS </w:t>
      </w:r>
    </w:p>
    <w:p>
      <w:pPr>
        <w:pStyle w:val="TextBody"/>
        <w:spacing w:before="120" w:after="0"/>
        <w:jc w:val="left"/>
        <w:rPr>
          <w:rFonts w:ascii="arial" w:hAnsi="arial"/>
          <w:sz w:val="18"/>
        </w:rPr>
      </w:pPr>
      <w:r>
        <w:rPr>
          <w:rFonts w:ascii="arial" w:hAnsi="arial"/>
          <w:sz w:val="18"/>
          <w:u w:val="single"/>
        </w:rPr>
        <w:t xml:space="preserve">Non-registered/beneficial shareholders </w:t>
      </w:r>
      <w:r>
        <w:rPr>
          <w:rFonts w:ascii="arial" w:hAnsi="arial"/>
          <w:sz w:val="18"/>
        </w:rPr>
        <w:t xml:space="preserve">may request that paper copies of the proxy materials be sent to them by mail at no cost. Requests may be made up to one year from the date that our management proxy circular was filed on SEDAR by going to </w:t>
      </w:r>
      <w:r>
        <w:rPr>
          <w:rFonts w:ascii="arial" w:hAnsi="arial"/>
          <w:color w:val="B94831"/>
          <w:sz w:val="18"/>
        </w:rPr>
        <w:t>www.proxyvote.com</w:t>
      </w:r>
      <w:r>
        <w:rPr>
          <w:rFonts w:ascii="arial" w:hAnsi="arial"/>
          <w:sz w:val="18"/>
        </w:rPr>
        <w:t xml:space="preserve"> and entering the Control Number located on your voting instruction form and following the instructions provided. Alternatively, at any time prior to the meeting, you may submit a request by phone by calling 1.877.907.7643 and then entering your Control Number. Requests should be received at least five business days in advance of the date and time set out in your voting instruction form as a voting deadline if youd like to receive the proxy materials in advance of the proxy voting deadline and the meeting date. </w:t>
      </w:r>
    </w:p>
    <w:p>
      <w:pPr>
        <w:pStyle w:val="TextBody"/>
        <w:spacing w:before="120" w:after="0"/>
        <w:jc w:val="left"/>
        <w:rPr>
          <w:rFonts w:ascii="arial" w:hAnsi="arial"/>
          <w:sz w:val="18"/>
        </w:rPr>
      </w:pPr>
      <w:r>
        <w:rPr>
          <w:rFonts w:ascii="arial" w:hAnsi="arial"/>
          <w:sz w:val="18"/>
          <w:u w:val="single"/>
        </w:rPr>
        <w:t xml:space="preserve">Registered shareholders </w:t>
      </w:r>
      <w:r>
        <w:rPr>
          <w:rFonts w:ascii="arial" w:hAnsi="arial"/>
          <w:sz w:val="18"/>
        </w:rPr>
        <w:t xml:space="preserve">may request that paper copies of the proxy materials be sent to them by mail at no cost. At any time prior to the meeting, you may submit a request by phone by calling 1.866.962.0498 or 1.514.982.8716 (Depositary Interest holders can call +44 (0) 370.707.1804) and entering the Control Number reflected on your proxy form. Requests should be received at least five business days in advance of the date and time set out in your proxy form as a voting deadline if youd like to receive the proxy materials in advance of the proxy voting deadline and the meeting date. Following the meeting, requests may also be made up to one year from the date that our management proxy circular was filed on SEDAR by contacting our Investor Relations department by e-mail at </w:t>
      </w:r>
      <w:r>
        <w:rPr>
          <w:rFonts w:ascii="arial" w:hAnsi="arial"/>
          <w:color w:val="B94831"/>
          <w:sz w:val="18"/>
        </w:rPr>
        <w:t>investor.relations@tr.com</w:t>
      </w:r>
      <w:r>
        <w:rPr>
          <w:rFonts w:ascii="arial" w:hAnsi="arial"/>
          <w:sz w:val="18"/>
        </w:rPr>
        <w:t xml:space="preserve"> or by phone at 1.332.219.1046. </w:t>
      </w:r>
    </w:p>
    <w:p>
      <w:pPr>
        <w:pStyle w:val="TextBody"/>
        <w:spacing w:before="240" w:after="0"/>
        <w:jc w:val="left"/>
        <w:rPr>
          <w:rFonts w:ascii="Arial" w:hAnsi="Arial"/>
          <w:b/>
          <w:color w:val="B94831"/>
          <w:sz w:val="18"/>
        </w:rPr>
      </w:pPr>
      <w:r>
        <w:rPr>
          <w:rFonts w:ascii="Arial" w:hAnsi="Arial"/>
          <w:b/>
          <w:color w:val="B94831"/>
          <w:sz w:val="18"/>
        </w:rPr>
        <w:t xml:space="preserve">VOTING </w:t>
      </w:r>
    </w:p>
    <w:p>
      <w:pPr>
        <w:pStyle w:val="TextBody"/>
        <w:spacing w:before="120" w:after="0"/>
        <w:jc w:val="left"/>
        <w:rPr>
          <w:rFonts w:ascii="arial" w:hAnsi="arial"/>
          <w:sz w:val="18"/>
        </w:rPr>
      </w:pPr>
      <w:r>
        <w:rPr>
          <w:rFonts w:ascii="arial" w:hAnsi="arial"/>
          <w:sz w:val="18"/>
          <w:u w:val="single"/>
        </w:rPr>
        <w:t xml:space="preserve">Non-registered/beneficial shareholders </w:t>
      </w:r>
      <w:r>
        <w:rPr>
          <w:rFonts w:ascii="arial" w:hAnsi="arial"/>
          <w:sz w:val="18"/>
        </w:rPr>
        <w:t xml:space="preserve">should vote using the methods reflected on your voting instruction form. Your proxy or vote must be received by the proxy deadline noted on your voting instruction form. </w:t>
      </w:r>
    </w:p>
    <w:p>
      <w:pPr>
        <w:pStyle w:val="TextBody"/>
        <w:spacing w:before="120" w:after="0"/>
        <w:jc w:val="left"/>
        <w:rPr>
          <w:rFonts w:ascii="arial" w:hAnsi="arial"/>
          <w:sz w:val="18"/>
        </w:rPr>
      </w:pPr>
      <w:r>
        <w:rPr>
          <w:rFonts w:ascii="arial" w:hAnsi="arial"/>
          <w:sz w:val="18"/>
          <w:u w:val="single"/>
        </w:rPr>
        <w:t xml:space="preserve">Registered shareholders </w:t>
      </w:r>
      <w:r>
        <w:rPr>
          <w:rFonts w:ascii="arial" w:hAnsi="arial"/>
          <w:sz w:val="18"/>
        </w:rPr>
        <w:t xml:space="preserve">should vote using the methods reflected on your proxy form. Our transfer agent, Computershare Trust Company of Canada, must receive your proxy or voting instructions by 5:00 p.m. (Eastern Daylight Time) on June 12, 2023. </w:t>
      </w:r>
    </w:p>
    <w:p>
      <w:pPr>
        <w:pStyle w:val="TextBody"/>
        <w:spacing w:before="120" w:after="0"/>
        <w:jc w:val="left"/>
        <w:rPr>
          <w:rFonts w:ascii="arial" w:hAnsi="arial"/>
          <w:sz w:val="18"/>
        </w:rPr>
      </w:pPr>
      <w:r>
        <w:rPr>
          <w:rFonts w:ascii="arial" w:hAnsi="arial"/>
          <w:sz w:val="18"/>
        </w:rPr>
        <w:t xml:space="preserve">We are holding the meeting as a virtual only meeting, which will be conducted through a live webcast. Shareholders will not be able to attend the meeting in person. Only registered shareholders and duly appointed proxyholders will be able to attend the virtual meeting, submit or ask questions and vote in real time, provided they are connected to the Internet and follow instructions in the management proxy circular. Non-registered shareholders who have not duly appointed themselves as proxyholder can still attend the virtual meeting as a guest but wont be able to submit or ask questions or vote at the meeting. </w:t>
      </w:r>
    </w:p>
    <w:p>
      <w:pPr>
        <w:pStyle w:val="TextBody"/>
        <w:spacing w:before="120" w:after="0"/>
        <w:jc w:val="left"/>
        <w:rPr>
          <w:rFonts w:ascii="arial" w:hAnsi="arial"/>
          <w:sz w:val="18"/>
        </w:rPr>
      </w:pPr>
      <w:r>
        <w:rPr>
          <w:rFonts w:ascii="arial" w:hAnsi="arial"/>
          <w:sz w:val="18"/>
        </w:rPr>
        <w:t xml:space="preserve">For more information on how to attend, participate or vote at the meeting, how to deposit a proxy, how to appoint and register a proxyholder and how to vote, please refer to the Voting Information and How to Attend section of the management proxy circular. </w:t>
      </w:r>
    </w:p>
    <w:p>
      <w:pPr>
        <w:pStyle w:val="TextBody"/>
        <w:spacing w:before="120" w:after="0"/>
        <w:jc w:val="left"/>
        <w:rPr>
          <w:rFonts w:ascii="arial" w:hAnsi="arial"/>
          <w:sz w:val="18"/>
        </w:rPr>
      </w:pPr>
      <w:r>
        <w:rPr>
          <w:rFonts w:ascii="arial" w:hAnsi="arial"/>
          <w:sz w:val="18"/>
        </w:rPr>
        <w:t xml:space="preserve">Shareholders with questions about notice-and-access may call Computershare Trust Company of Canada at 1.866.964.0492 (toll free in Canada and the United States) or 1.514.982.8714. </w:t>
      </w:r>
    </w:p>
    <w:p>
      <w:pPr>
        <w:pStyle w:val="TextBody"/>
        <w:spacing w:before="0" w:after="0"/>
        <w:jc w:val="left"/>
        <w:rPr/>
      </w:pPr>
      <w:r>
        <w:rPr/>
        <w:t> </w:t>
      </w:r>
    </w:p>
    <w:p>
      <w:pPr>
        <w:pStyle w:val="TextBody"/>
        <w:pBdr>
          <w:bottom w:val="single" w:sz="2" w:space="1" w:color="7F7F7F"/>
        </w:pBdr>
        <w:spacing w:lineRule="atLeast" w:line="141" w:before="0" w:after="40"/>
        <w:jc w:val="left"/>
        <w:rPr/>
      </w:pPr>
      <w:r>
        <w:rPr/>
        <w:t> </w:t>
      </w:r>
    </w:p>
    <w:p>
      <w:pPr>
        <w:pStyle w:val="TextBody"/>
        <w:spacing w:before="0" w:after="0"/>
        <w:jc w:val="left"/>
        <w:rPr/>
      </w:pPr>
      <w:r>
        <w:rPr/>
        <w:t> </w:t>
      </w:r>
    </w:p>
    <w:p>
      <w:pPr>
        <w:pStyle w:val="TextBody"/>
        <w:spacing w:before="40" w:after="0"/>
        <w:jc w:val="left"/>
        <w:rPr>
          <w:rFonts w:ascii="arial" w:hAnsi="arial"/>
          <w:sz w:val="15"/>
        </w:rPr>
      </w:pPr>
      <w:r>
        <w:rPr>
          <w:rFonts w:ascii="arial" w:hAnsi="arial"/>
          <w:sz w:val="15"/>
        </w:rPr>
        <w:t xml:space="preserve">Page 2 </w:t>
      </w:r>
      <w:r>
        <w:br w:type="page"/>
      </w:r>
    </w:p>
    <w:p>
      <w:pPr>
        <w:pStyle w:val="TextBody"/>
        <w:spacing w:before="0" w:after="0"/>
        <w:jc w:val="right"/>
        <w:rPr>
          <w:rFonts w:ascii="Times New Roman" w:hAnsi="Times New Roman"/>
          <w:b/>
          <w:sz w:val="20"/>
        </w:rPr>
      </w:pPr>
      <w:bookmarkStart w:id="114" w:name="d490645dex994.htm"/>
      <w:bookmarkStart w:id="115" w:name="ksd490645dex994"/>
      <w:bookmarkEnd w:id="114"/>
      <w:bookmarkEnd w:id="115"/>
      <w:r>
        <w:rPr>
          <w:rFonts w:ascii="Times New Roman" w:hAnsi="Times New Roman"/>
          <w:b/>
          <w:sz w:val="20"/>
        </w:rPr>
        <w:t xml:space="preserve">Exhibit 99.4 </w:t>
      </w:r>
    </w:p>
    <w:p>
      <w:pPr>
        <w:pStyle w:val="TextBody"/>
        <w:spacing w:before="240" w:after="0"/>
        <w:jc w:val="left"/>
        <w:rPr>
          <w:rFonts w:ascii="Times New Roman" w:hAnsi="Times New Roman"/>
          <w:i/>
          <w:sz w:val="20"/>
        </w:rPr>
      </w:pPr>
      <w:r>
        <w:rPr>
          <w:rFonts w:ascii="Times New Roman" w:hAnsi="Times New Roman"/>
          <w:i/>
          <w:sz w:val="20"/>
        </w:rPr>
        <w:t xml:space="preserve">The Instructions accompanying this Letter of Transmittal should be read carefully before it is completed. Please contact Computershare Investor Services Inc. (the Depositary) or your investment dealer, stock broker, bank, trust company or other financial advisor if you have any questions or require assistance in completing this Letter of Transmittal. </w:t>
      </w:r>
    </w:p>
    <w:p>
      <w:pPr>
        <w:pStyle w:val="TextBody"/>
        <w:spacing w:before="0" w:after="0"/>
        <w:jc w:val="left"/>
        <w:rPr/>
      </w:pPr>
      <w:r>
        <w:rPr/>
        <w:t> </w:t>
      </w:r>
    </w:p>
    <w:p>
      <w:pPr>
        <w:pStyle w:val="TextBody"/>
        <w:spacing w:before="0" w:after="0"/>
        <w:jc w:val="center"/>
        <w:rPr/>
      </w:pPr>
      <w:r>
        <w:rPr/>
        <w:drawing>
          <wp:inline distT="0" distB="0" distL="0" distR="0">
            <wp:extent cx="2609850" cy="6858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2609850" cy="6858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LETTER OF TRANSMITTAL </w:t>
      </w:r>
    </w:p>
    <w:p>
      <w:pPr>
        <w:pStyle w:val="TextBody"/>
        <w:spacing w:before="0" w:after="0"/>
        <w:jc w:val="center"/>
        <w:rPr>
          <w:rFonts w:ascii="Times New Roman" w:hAnsi="Times New Roman"/>
          <w:b/>
          <w:sz w:val="20"/>
        </w:rPr>
      </w:pPr>
      <w:r>
        <w:rPr>
          <w:rFonts w:ascii="Times New Roman" w:hAnsi="Times New Roman"/>
          <w:b/>
          <w:sz w:val="20"/>
        </w:rPr>
        <w:t xml:space="preserve">to accompany certificates for </w:t>
      </w:r>
    </w:p>
    <w:p>
      <w:pPr>
        <w:pStyle w:val="TextBody"/>
        <w:spacing w:before="0" w:after="0"/>
        <w:jc w:val="center"/>
        <w:rPr>
          <w:rFonts w:ascii="Times New Roman" w:hAnsi="Times New Roman"/>
          <w:b/>
          <w:sz w:val="20"/>
        </w:rPr>
      </w:pPr>
      <w:r>
        <w:rPr>
          <w:rFonts w:ascii="Times New Roman" w:hAnsi="Times New Roman"/>
          <w:b/>
          <w:sz w:val="20"/>
        </w:rPr>
        <w:t xml:space="preserve">common shares of </w:t>
      </w:r>
    </w:p>
    <w:p>
      <w:pPr>
        <w:pStyle w:val="TextBody"/>
        <w:spacing w:before="240" w:after="0"/>
        <w:jc w:val="center"/>
        <w:rPr>
          <w:rFonts w:ascii="Times New Roman" w:hAnsi="Times New Roman"/>
          <w:b/>
          <w:sz w:val="20"/>
        </w:rPr>
      </w:pPr>
      <w:r>
        <w:rPr>
          <w:rFonts w:ascii="Times New Roman" w:hAnsi="Times New Roman"/>
          <w:b/>
          <w:sz w:val="20"/>
        </w:rPr>
        <w:t xml:space="preserve">THOMSON REUTERS CORPORATION </w:t>
      </w:r>
    </w:p>
    <w:p>
      <w:pPr>
        <w:pStyle w:val="TextBody"/>
        <w:spacing w:before="0" w:after="0"/>
        <w:jc w:val="center"/>
        <w:rPr>
          <w:rFonts w:ascii="Times New Roman" w:hAnsi="Times New Roman"/>
          <w:b/>
          <w:sz w:val="20"/>
        </w:rPr>
      </w:pPr>
      <w:r>
        <w:rPr>
          <w:rFonts w:ascii="Times New Roman" w:hAnsi="Times New Roman"/>
          <w:b/>
          <w:sz w:val="20"/>
        </w:rPr>
        <w:t xml:space="preserve">to be exchanged pursuant to the Return of Capital Transaction </w:t>
      </w:r>
    </w:p>
    <w:p>
      <w:pPr>
        <w:pStyle w:val="TextBody"/>
        <w:spacing w:before="240" w:after="0"/>
        <w:jc w:val="center"/>
        <w:rPr>
          <w:rFonts w:ascii="Times New Roman" w:hAnsi="Times New Roman"/>
          <w:i/>
          <w:sz w:val="20"/>
        </w:rPr>
      </w:pPr>
      <w:r>
        <w:rPr>
          <w:rFonts w:ascii="Times New Roman" w:hAnsi="Times New Roman"/>
          <w:i/>
          <w:sz w:val="20"/>
        </w:rPr>
        <w:t xml:space="preserve">Offices of the Depositary, Computershare Investor Services Inc., </w:t>
      </w:r>
    </w:p>
    <w:p>
      <w:pPr>
        <w:pStyle w:val="TextBody"/>
        <w:spacing w:before="0" w:after="0"/>
        <w:jc w:val="center"/>
        <w:rPr>
          <w:rFonts w:ascii="Times New Roman" w:hAnsi="Times New Roman"/>
          <w:i/>
          <w:sz w:val="20"/>
        </w:rPr>
      </w:pPr>
      <w:r>
        <w:rPr>
          <w:rFonts w:ascii="Times New Roman" w:hAnsi="Times New Roman"/>
          <w:i/>
          <w:sz w:val="20"/>
        </w:rPr>
        <w:t xml:space="preserve">for the Return of Capital Transaction: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84"/>
        <w:gridCol w:w="120"/>
        <w:gridCol w:w="4901"/>
      </w:tblGrid>
      <w:tr>
        <w:trPr/>
        <w:tc>
          <w:tcPr>
            <w:tcW w:w="51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01" w:type="dxa"/>
            <w:tcBorders/>
            <w:shd w:fill="auto" w:val="clear"/>
            <w:vAlign w:val="center"/>
          </w:tcPr>
          <w:p>
            <w:pPr>
              <w:pStyle w:val="TableContents"/>
              <w:spacing w:before="0" w:after="283"/>
              <w:rPr>
                <w:sz w:val="4"/>
                <w:szCs w:val="4"/>
              </w:rPr>
            </w:pPr>
            <w:r>
              <w:rPr>
                <w:sz w:val="4"/>
                <w:szCs w:val="4"/>
              </w:rPr>
            </w:r>
          </w:p>
        </w:tc>
      </w:tr>
      <w:tr>
        <w:trPr/>
        <w:tc>
          <w:tcPr>
            <w:tcW w:w="5184" w:type="dxa"/>
            <w:tcBorders/>
            <w:shd w:fill="auto" w:val="clear"/>
            <w:vAlign w:val="bottom"/>
          </w:tcPr>
          <w:p>
            <w:pPr>
              <w:pStyle w:val="TableContents"/>
              <w:spacing w:before="0" w:after="283"/>
              <w:jc w:val="center"/>
              <w:rPr>
                <w:i/>
              </w:rPr>
            </w:pPr>
            <w:r>
              <w:rPr>
                <w:i/>
              </w:rPr>
              <w:t>By Mail</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i/>
              </w:rPr>
            </w:pPr>
            <w:r>
              <w:rPr>
                <w:i/>
              </w:rPr>
              <w:t>By Hand, Courier or Registered Mail</w:t>
            </w:r>
          </w:p>
        </w:tc>
      </w:tr>
      <w:tr>
        <w:trPr/>
        <w:tc>
          <w:tcPr>
            <w:tcW w:w="5184" w:type="dxa"/>
            <w:tcBorders/>
            <w:shd w:fill="auto" w:val="clear"/>
            <w:vAlign w:val="bottom"/>
          </w:tcPr>
          <w:p>
            <w:pPr>
              <w:pStyle w:val="TableContents"/>
              <w:spacing w:before="0" w:after="283"/>
              <w:jc w:val="center"/>
              <w:rPr/>
            </w:pPr>
            <w:r>
              <w:rPr/>
              <w:t>Computershare Investor Services Inc.</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Computershare Investor Services Inc.</w:t>
            </w:r>
          </w:p>
        </w:tc>
      </w:tr>
      <w:tr>
        <w:trPr/>
        <w:tc>
          <w:tcPr>
            <w:tcW w:w="5184" w:type="dxa"/>
            <w:tcBorders/>
            <w:shd w:fill="auto" w:val="clear"/>
            <w:vAlign w:val="bottom"/>
          </w:tcPr>
          <w:p>
            <w:pPr>
              <w:pStyle w:val="TableContents"/>
              <w:spacing w:before="0" w:after="283"/>
              <w:jc w:val="center"/>
              <w:rPr/>
            </w:pPr>
            <w:r>
              <w:rPr/>
              <w:t>P.O. Box 7021</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100 University Avenue, 8th Floor</w:t>
            </w:r>
          </w:p>
        </w:tc>
      </w:tr>
      <w:tr>
        <w:trPr/>
        <w:tc>
          <w:tcPr>
            <w:tcW w:w="5184" w:type="dxa"/>
            <w:tcBorders/>
            <w:shd w:fill="auto" w:val="clear"/>
            <w:vAlign w:val="bottom"/>
          </w:tcPr>
          <w:p>
            <w:pPr>
              <w:pStyle w:val="TableContents"/>
              <w:spacing w:before="0" w:after="283"/>
              <w:jc w:val="center"/>
              <w:rPr/>
            </w:pPr>
            <w:r>
              <w:rPr/>
              <w:t>31 Adelaide Street East</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Toronto, Ontario</w:t>
            </w:r>
          </w:p>
        </w:tc>
      </w:tr>
      <w:tr>
        <w:trPr/>
        <w:tc>
          <w:tcPr>
            <w:tcW w:w="5184" w:type="dxa"/>
            <w:tcBorders/>
            <w:shd w:fill="auto" w:val="clear"/>
            <w:vAlign w:val="bottom"/>
          </w:tcPr>
          <w:p>
            <w:pPr>
              <w:pStyle w:val="TableContents"/>
              <w:spacing w:before="0" w:after="283"/>
              <w:jc w:val="center"/>
              <w:rPr/>
            </w:pPr>
            <w:r>
              <w:rPr/>
              <w:t>Toronto, Ontario</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M5J 2Y1</w:t>
            </w:r>
          </w:p>
        </w:tc>
      </w:tr>
      <w:tr>
        <w:trPr/>
        <w:tc>
          <w:tcPr>
            <w:tcW w:w="5184" w:type="dxa"/>
            <w:tcBorders/>
            <w:shd w:fill="auto" w:val="clear"/>
            <w:vAlign w:val="bottom"/>
          </w:tcPr>
          <w:p>
            <w:pPr>
              <w:pStyle w:val="TableContents"/>
              <w:spacing w:before="0" w:after="283"/>
              <w:jc w:val="center"/>
              <w:rPr/>
            </w:pPr>
            <w:r>
              <w:rPr/>
              <w:t>M5C 3H2</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Canada</w:t>
            </w:r>
          </w:p>
        </w:tc>
      </w:tr>
      <w:tr>
        <w:trPr/>
        <w:tc>
          <w:tcPr>
            <w:tcW w:w="5184" w:type="dxa"/>
            <w:tcBorders/>
            <w:shd w:fill="auto" w:val="clear"/>
            <w:vAlign w:val="bottom"/>
          </w:tcPr>
          <w:p>
            <w:pPr>
              <w:pStyle w:val="TableContents"/>
              <w:spacing w:before="0" w:after="283"/>
              <w:jc w:val="center"/>
              <w:rPr/>
            </w:pPr>
            <w:r>
              <w:rPr/>
              <w:t>Canada</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jc w:val="center"/>
              <w:rPr/>
            </w:pPr>
            <w:r>
              <w:rPr/>
              <w:t>Attention: Corporate Actions</w:t>
            </w:r>
          </w:p>
        </w:tc>
      </w:tr>
      <w:tr>
        <w:trPr/>
        <w:tc>
          <w:tcPr>
            <w:tcW w:w="5184" w:type="dxa"/>
            <w:tcBorders/>
            <w:shd w:fill="auto" w:val="clear"/>
          </w:tcPr>
          <w:p>
            <w:pPr>
              <w:pStyle w:val="TableContents"/>
              <w:spacing w:before="0" w:after="283"/>
              <w:jc w:val="center"/>
              <w:rPr/>
            </w:pPr>
            <w:r>
              <w:rPr/>
              <w:t>Attention: Corporate Actions</w:t>
            </w:r>
          </w:p>
        </w:tc>
        <w:tc>
          <w:tcPr>
            <w:tcW w:w="120"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center"/>
              <w:rPr/>
            </w:pPr>
            <w:r>
              <w:rPr/>
              <w:t>E-mail Address: corporateactions@computershare.com</w:t>
            </w:r>
          </w:p>
        </w:tc>
      </w:tr>
      <w:tr>
        <w:trPr/>
        <w:tc>
          <w:tcPr>
            <w:tcW w:w="10205" w:type="dxa"/>
            <w:tcBorders/>
            <w:shd w:fill="auto" w:val="clear"/>
          </w:tcPr>
          <w:p>
            <w:pPr>
              <w:pStyle w:val="TableContents"/>
              <w:spacing w:before="0" w:after="283"/>
              <w:jc w:val="center"/>
              <w:rPr/>
            </w:pPr>
            <w:r>
              <w:rPr/>
              <w:t>Toll Free in Canada and the U.S.: 1-800-564-6253</w:t>
            </w:r>
          </w:p>
        </w:tc>
      </w:tr>
      <w:tr>
        <w:trPr/>
        <w:tc>
          <w:tcPr>
            <w:tcW w:w="10205" w:type="dxa"/>
            <w:tcBorders/>
            <w:shd w:fill="auto" w:val="clear"/>
          </w:tcPr>
          <w:p>
            <w:pPr>
              <w:pStyle w:val="TableContents"/>
              <w:spacing w:before="0" w:after="283"/>
              <w:jc w:val="center"/>
              <w:rPr/>
            </w:pPr>
            <w:r>
              <w:rPr/>
              <w:t>Outside North America: 1-514-982-7555</w:t>
            </w:r>
          </w:p>
        </w:tc>
      </w:tr>
    </w:tbl>
    <w:p>
      <w:pPr>
        <w:pStyle w:val="TextBody"/>
        <w:spacing w:before="360" w:after="0"/>
        <w:jc w:val="left"/>
        <w:rPr>
          <w:rFonts w:ascii="Times New Roman" w:hAnsi="Times New Roman"/>
          <w:b/>
          <w:i/>
          <w:sz w:val="20"/>
        </w:rPr>
      </w:pPr>
      <w:r>
        <w:rPr>
          <w:rFonts w:ascii="Times New Roman" w:hAnsi="Times New Roman"/>
          <w:b/>
          <w:i/>
          <w:sz w:val="20"/>
        </w:rPr>
        <w:t xml:space="preserve">Who should complete this Letter of Transmittal? </w:t>
      </w:r>
    </w:p>
    <w:p>
      <w:pPr>
        <w:pStyle w:val="TextBody"/>
        <w:spacing w:before="120" w:after="0"/>
        <w:jc w:val="left"/>
        <w:rPr>
          <w:rFonts w:ascii="Times New Roman" w:hAnsi="Times New Roman"/>
          <w:sz w:val="20"/>
        </w:rPr>
      </w:pPr>
      <w:r>
        <w:rPr>
          <w:rFonts w:ascii="Times New Roman" w:hAnsi="Times New Roman"/>
          <w:sz w:val="20"/>
        </w:rPr>
        <w:t xml:space="preserve">This Letter of Transmittal is to be used only if certificates for common shares (referred to as shares) of Thomson Reuters Corporation (Thomson Reuters or the Company) are to be forwarded with it, in order to receive the post-consolidation shares under the Plan of Arrangement, as further described below. This Letter of Transmittal should be completed by holders of share certificates whether you participate in the Return of Capital Transaction (as defined below) or exercise your right to opt out of it (if eligible to do so), as further described in this Letter of Transmittal. </w:t>
      </w:r>
    </w:p>
    <w:p>
      <w:pPr>
        <w:pStyle w:val="TextBody"/>
        <w:spacing w:before="240" w:after="0"/>
        <w:jc w:val="left"/>
        <w:rPr>
          <w:rFonts w:ascii="Times New Roman" w:hAnsi="Times New Roman"/>
          <w:sz w:val="20"/>
        </w:rPr>
      </w:pPr>
      <w:r>
        <w:rPr>
          <w:rFonts w:ascii="Times New Roman" w:hAnsi="Times New Roman"/>
          <w:sz w:val="20"/>
        </w:rPr>
        <w:t xml:space="preserve">If you hold shares (uncertificated) through a direct registration system (DRS) statement, you are not required to submit a Letter of Transmittal. The transfer agent, Computershare Trust Company of Canada, will update your DRS position to reflect the number of post-consolidation shares that you are entitled to receive under the Return of Capital Transaction. </w:t>
      </w:r>
    </w:p>
    <w:p>
      <w:pPr>
        <w:pStyle w:val="TextBody"/>
        <w:spacing w:before="240" w:after="0"/>
        <w:jc w:val="left"/>
        <w:rPr>
          <w:rFonts w:ascii="Times New Roman" w:hAnsi="Times New Roman"/>
          <w:sz w:val="20"/>
        </w:rPr>
      </w:pPr>
      <w:r>
        <w:rPr>
          <w:rFonts w:ascii="Times New Roman" w:hAnsi="Times New Roman"/>
          <w:sz w:val="20"/>
        </w:rPr>
        <w:t xml:space="preserve">If you are a non-registered shareholder who is beneficially holding shares through an intermediary, which include, among others, banks, trust companies, securities dealers or brokers and trustees or administrators of self-administered RRSPs, RRIFs, RESPs and similar plans, or if you participate in Thomson Reuters employee stock purchase plan or hold Depositary Interests, you should not use this form. The effects of the Return of Capital Transaction will be recorded in your account with your intermediary. You should contact your intermediary if you have any questions regarding this process.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Where can I find additional information? </w:t>
      </w:r>
    </w:p>
    <w:p>
      <w:pPr>
        <w:pStyle w:val="TextBody"/>
        <w:spacing w:before="120" w:after="0"/>
        <w:jc w:val="left"/>
        <w:rPr>
          <w:rFonts w:ascii="Times New Roman" w:hAnsi="Times New Roman"/>
          <w:sz w:val="20"/>
        </w:rPr>
      </w:pPr>
      <w:r>
        <w:rPr>
          <w:rFonts w:ascii="Times New Roman" w:hAnsi="Times New Roman"/>
          <w:sz w:val="20"/>
        </w:rPr>
        <w:t xml:space="preserve">A plan of arrangement (the Plan of Arrangement) implementing the Return of Capital Transaction is being submitted for approval at the annual and special meeting of shareholders of the Company to be held on June 14, 2023 (the Meeting) as described in a management proxy circular dated April 26, 2023 (the Circular). Shareholders are encouraged to review in their entirety the Circular prepared in connection with the Meeting, which is available under the Companys profile on SEDAR at </w:t>
      </w:r>
      <w:r>
        <w:rPr>
          <w:rFonts w:ascii="Times New Roman" w:hAnsi="Times New Roman"/>
          <w:sz w:val="20"/>
          <w:u w:val="single"/>
        </w:rPr>
        <w:t>www.sedar.com</w:t>
      </w:r>
      <w:r>
        <w:rPr>
          <w:rFonts w:ascii="Times New Roman" w:hAnsi="Times New Roman"/>
          <w:sz w:val="20"/>
        </w:rPr>
        <w:t xml:space="preserve"> and on EDGAR at </w:t>
      </w:r>
      <w:r>
        <w:rPr>
          <w:rFonts w:ascii="Times New Roman" w:hAnsi="Times New Roman"/>
          <w:sz w:val="20"/>
          <w:u w:val="single"/>
        </w:rPr>
        <w:t>www.sec.gov</w:t>
      </w:r>
      <w:r>
        <w:rPr>
          <w:rFonts w:ascii="Times New Roman" w:hAnsi="Times New Roman"/>
          <w:sz w:val="20"/>
        </w:rPr>
        <w:t xml:space="preserve">. The terms and conditions of the Return of Capital Transaction are incorporated by reference in this Letter of Transmittal. Capitalized terms used but not defined in this Letter of Transmittal have the meanings ascribed to them in the Plan of Arrangement and Circular that accompanies this Letter of Transmittal. In the case of any inconsistency between the terms of this Letter of Transmittal and the Plan of Arrangement and Circular, the terms of the Plan of Arrangement and Circular shall prevail. </w:t>
      </w:r>
    </w:p>
    <w:p>
      <w:pPr>
        <w:pStyle w:val="TextBody"/>
        <w:spacing w:before="360" w:after="0"/>
        <w:jc w:val="left"/>
        <w:rPr>
          <w:rFonts w:ascii="Times New Roman" w:hAnsi="Times New Roman"/>
          <w:b/>
          <w:i/>
          <w:sz w:val="20"/>
        </w:rPr>
      </w:pPr>
      <w:r>
        <w:rPr>
          <w:rFonts w:ascii="Times New Roman" w:hAnsi="Times New Roman"/>
          <w:b/>
          <w:i/>
          <w:sz w:val="20"/>
        </w:rPr>
        <w:t xml:space="preserve">What happens under the Return of Capital Transaction? </w:t>
      </w:r>
    </w:p>
    <w:p>
      <w:pPr>
        <w:pStyle w:val="TextBody"/>
        <w:spacing w:before="120" w:after="0"/>
        <w:jc w:val="left"/>
        <w:rPr>
          <w:rFonts w:ascii="Times New Roman" w:hAnsi="Times New Roman"/>
          <w:sz w:val="20"/>
        </w:rPr>
      </w:pPr>
      <w:r>
        <w:rPr>
          <w:rFonts w:ascii="Times New Roman" w:hAnsi="Times New Roman"/>
          <w:sz w:val="20"/>
        </w:rPr>
        <w:t xml:space="preserve">Each shareholder that does not opt out will receive, for each share, a cash distribution of US$4.67 and the shares held by such shareholder will be consolidated on a basis that is proportional to the cash distribution (through a reverse stock split) (such transaction, including the opt-out right, the Return of Capital Transaction). The share consolidation ratio will be fixed based on the volume weighed average trading price of the shares on the New York Stock Exchange for the five trading days immediately prior to the Effective Time. The formula to calculate the share consolidation ratio is set forth in the Information Regarding the Return of Capital Transaction  Terms of the Arrangement  Share Consolidation Ratio section of the Circular. </w:t>
      </w:r>
    </w:p>
    <w:p>
      <w:pPr>
        <w:pStyle w:val="TextBody"/>
        <w:spacing w:before="360" w:after="0"/>
        <w:jc w:val="left"/>
        <w:rPr>
          <w:rFonts w:ascii="Times New Roman" w:hAnsi="Times New Roman"/>
          <w:b/>
          <w:i/>
          <w:sz w:val="20"/>
        </w:rPr>
      </w:pPr>
      <w:r>
        <w:rPr>
          <w:rFonts w:ascii="Times New Roman" w:hAnsi="Times New Roman"/>
          <w:b/>
          <w:i/>
          <w:sz w:val="20"/>
        </w:rPr>
        <w:t xml:space="preserve">Who can opt out? </w:t>
      </w:r>
    </w:p>
    <w:p>
      <w:pPr>
        <w:pStyle w:val="TextBody"/>
        <w:spacing w:before="120" w:after="0"/>
        <w:jc w:val="left"/>
        <w:rPr>
          <w:rFonts w:ascii="Times New Roman" w:hAnsi="Times New Roman"/>
          <w:sz w:val="20"/>
        </w:rPr>
      </w:pPr>
      <w:r>
        <w:rPr>
          <w:rFonts w:ascii="Times New Roman" w:hAnsi="Times New Roman"/>
          <w:sz w:val="20"/>
        </w:rPr>
        <w:t xml:space="preserve">A shareholder who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other jurisdiction) (an Eligible Opt-Out Shareholder) may elect to opt out of the Return of Capital Transaction (the opt-out right). </w:t>
      </w:r>
    </w:p>
    <w:p>
      <w:pPr>
        <w:pStyle w:val="TextBody"/>
        <w:spacing w:before="360" w:after="0"/>
        <w:jc w:val="left"/>
        <w:rPr>
          <w:rFonts w:ascii="Times New Roman" w:hAnsi="Times New Roman"/>
          <w:b/>
          <w:i/>
          <w:sz w:val="20"/>
        </w:rPr>
      </w:pPr>
      <w:r>
        <w:rPr>
          <w:rFonts w:ascii="Times New Roman" w:hAnsi="Times New Roman"/>
          <w:b/>
          <w:i/>
          <w:sz w:val="20"/>
        </w:rPr>
        <w:t xml:space="preserve">What happens if I exercise my right to opt out? </w:t>
      </w:r>
    </w:p>
    <w:p>
      <w:pPr>
        <w:pStyle w:val="TextBody"/>
        <w:spacing w:before="120" w:after="0"/>
        <w:jc w:val="left"/>
        <w:rPr>
          <w:rFonts w:ascii="Times New Roman" w:hAnsi="Times New Roman"/>
          <w:sz w:val="20"/>
        </w:rPr>
      </w:pPr>
      <w:r>
        <w:rPr>
          <w:rFonts w:ascii="Times New Roman" w:hAnsi="Times New Roman"/>
          <w:sz w:val="20"/>
        </w:rPr>
        <w:t xml:space="preserve">Eligible Opt-Out Shareholders that duly exercise the opt-out right (referred to as opting-out shareholders) will not receive a cash distribution of US$4.67 per share and will not have their shares consolidated; they will continue to hold the same number of shares that they currently hold. Opting-out shareholders will realize a proportionate increase in their equity and voting interests in the Company by virtue of the consolidation of shares held by the participating shareholders. </w:t>
      </w:r>
    </w:p>
    <w:p>
      <w:pPr>
        <w:pStyle w:val="TextBody"/>
        <w:spacing w:before="240" w:after="0"/>
        <w:jc w:val="left"/>
        <w:rPr>
          <w:rFonts w:ascii="Times New Roman" w:hAnsi="Times New Roman"/>
          <w:sz w:val="20"/>
        </w:rPr>
      </w:pPr>
      <w:r>
        <w:rPr>
          <w:rFonts w:ascii="Times New Roman" w:hAnsi="Times New Roman"/>
          <w:sz w:val="20"/>
        </w:rPr>
        <w:t xml:space="preserve">Registered Eligible Opt-Out Shareholders wishing to opt out of the Return of Capital Transaction are required to deliver to the Depositary: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duly executed Opt-Out Election and Certification Form enclosed separately (on blue paper);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4"/>
        <w:gridCol w:w="101"/>
        <w:gridCol w:w="8882"/>
      </w:tblGrid>
      <w:tr>
        <w:trPr/>
        <w:tc>
          <w:tcPr>
            <w:tcW w:w="101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shares are held in certificated form, a duly executed version of this Letter of Transmittal, together with the accompanying certificate(s) for their shares. </w:t>
            </w:r>
          </w:p>
        </w:tc>
      </w:tr>
    </w:tbl>
    <w:p>
      <w:pPr>
        <w:pStyle w:val="TextBody"/>
        <w:spacing w:before="240" w:after="0"/>
        <w:jc w:val="left"/>
        <w:rPr>
          <w:rFonts w:ascii="Times New Roman" w:hAnsi="Times New Roman"/>
          <w:sz w:val="20"/>
        </w:rPr>
      </w:pPr>
      <w:r>
        <w:rPr>
          <w:rFonts w:ascii="Times New Roman" w:hAnsi="Times New Roman"/>
          <w:sz w:val="20"/>
        </w:rPr>
        <w:t xml:space="preserve">The deadline for delivery of these documents to the Depositary is June 13, 2023 at 5:00 p.m. (Toronto time) in order to exercise the opt-out right and to receive new DRS statement(s) (or share certificate(s)) reflecting the new CUSIP number for the shares after the Return of Capital Transaction is completed. The Opt-Out Election and Certification Form may be submitted to the Depositary by mail, hand delivery, courier, registered mail or e-mail (at the addresses set forth on the cover of the Opt-Out Election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Certification Form) but this Letter of Transmittal and accompanying share certificate(s) must be submitted to the Depositary by mail, hand delivery, courier or registered mail to the addresses set forth on the cover of this Letter of Transmittal. Shareholders wishing to exercise their opt-out right are strongly urged to carefully consider the income tax consequences of exercising the opt-out right and to consult with their own tax advisors with respect to their particular circumstances and tax considerations applicable to them. </w:t>
      </w:r>
    </w:p>
    <w:p>
      <w:pPr>
        <w:pStyle w:val="TextBody"/>
        <w:spacing w:before="240" w:after="0"/>
        <w:jc w:val="left"/>
        <w:rPr>
          <w:rFonts w:ascii="Times New Roman" w:hAnsi="Times New Roman"/>
          <w:sz w:val="20"/>
        </w:rPr>
      </w:pPr>
      <w:r>
        <w:rPr>
          <w:rFonts w:ascii="Times New Roman" w:hAnsi="Times New Roman"/>
          <w:sz w:val="20"/>
        </w:rPr>
        <w:t xml:space="preserve">None of Thomson Reuters, its board of directors, the Information Agent or the Depositary makes any recommendation to any Eligible Opt-Out Shareholder as to whether to opt out of the Return of Capital Transaction. Shareholders are urged to evaluate carefully all information in the Circular, the accompanying Opt-Out Election and Certification Form and other material related to the Return of Capital Transaction, consult their own financial, legal, investment and tax advisors and make their own decisions as to whether to exercise the opt-out right. See the Information Regarding the Return of Capital Transaction  Terms of the Arrangement  Opt-Out Right and Income Tax Considerations sections of the Circular. </w:t>
      </w:r>
    </w:p>
    <w:p>
      <w:pPr>
        <w:pStyle w:val="TextBody"/>
        <w:spacing w:before="360" w:after="0"/>
        <w:jc w:val="left"/>
        <w:rPr>
          <w:rFonts w:ascii="Times New Roman" w:hAnsi="Times New Roman"/>
          <w:b/>
          <w:i/>
          <w:sz w:val="20"/>
        </w:rPr>
      </w:pPr>
      <w:r>
        <w:rPr>
          <w:rFonts w:ascii="Times New Roman" w:hAnsi="Times New Roman"/>
          <w:b/>
          <w:i/>
          <w:sz w:val="20"/>
        </w:rPr>
        <w:t xml:space="preserve">Will any fractional shares be issued? </w:t>
      </w:r>
    </w:p>
    <w:p>
      <w:pPr>
        <w:pStyle w:val="TextBody"/>
        <w:spacing w:before="120" w:after="0"/>
        <w:jc w:val="left"/>
        <w:rPr>
          <w:rFonts w:ascii="Times New Roman" w:hAnsi="Times New Roman"/>
          <w:sz w:val="20"/>
        </w:rPr>
      </w:pPr>
      <w:r>
        <w:rPr>
          <w:rFonts w:ascii="Times New Roman" w:hAnsi="Times New Roman"/>
          <w:sz w:val="20"/>
        </w:rPr>
        <w:t xml:space="preserve">No fractional shares will be distributed to participating shareholders under the Plan of Arrangement (except for such shares held in Thomson Reuters dividend reinvestment plan or Thomson Reuters employee stock purchase plans). Where the aggregate number of shares to be issued to a participating shareholder would result in a fraction of a share being issuable, the number of shares will be rounded down to the nearest whole number and the fractional share that would otherwise be issued to that participating shareholder will be issued to the Depositary on behalf of that participating shareholder. All shares so issued to the Depositary will be aggregated and sold in the market by a broker appointed by the Depositary as soon as practicable after the Effective Date, on such dates and at such prices as the broker determines in its sole discretion, and the Depositary will distribute the net cash proceeds, after commission expenses, to registered shareholders pro rata based on their fractional entitlements. </w:t>
      </w:r>
    </w:p>
    <w:p>
      <w:pPr>
        <w:pStyle w:val="TextBody"/>
        <w:spacing w:before="360" w:after="0"/>
        <w:jc w:val="left"/>
        <w:rPr>
          <w:rFonts w:ascii="Times New Roman" w:hAnsi="Times New Roman"/>
          <w:b/>
          <w:i/>
          <w:sz w:val="20"/>
        </w:rPr>
      </w:pPr>
      <w:r>
        <w:rPr>
          <w:rFonts w:ascii="Times New Roman" w:hAnsi="Times New Roman"/>
          <w:b/>
          <w:i/>
          <w:sz w:val="20"/>
        </w:rPr>
        <w:t xml:space="preserve">How will my share certificates be updated? </w:t>
      </w:r>
    </w:p>
    <w:p>
      <w:pPr>
        <w:pStyle w:val="TextBody"/>
        <w:spacing w:before="120" w:after="0"/>
        <w:jc w:val="left"/>
        <w:rPr>
          <w:rFonts w:ascii="Times New Roman" w:hAnsi="Times New Roman"/>
          <w:sz w:val="20"/>
        </w:rPr>
      </w:pPr>
      <w:r>
        <w:rPr>
          <w:rFonts w:ascii="Times New Roman" w:hAnsi="Times New Roman"/>
          <w:sz w:val="20"/>
        </w:rPr>
        <w:t xml:space="preserve">Registered shareholders holding certificated shares, including shareholders that have opted out of the Return of Capital Transaction, must complete and submit this Letter of Transmittal and surrender their share certificates to receive a DRS or new share certificates reflecting the share consolidation. Unless indicated in Box A  Request for New Share Certificates, you will receive a new DRS statement instead of a new physical share certificate reflecting the share consolidation. DRS is a system that allows registered shareholders to hold their shares in book-entry form without having physical share certificates issued as evidence of ownership. Instead, shares will be held in the name of registered shareholders and registered electronically in our companys share register, which will be maintained by our transfer agent. See the Information Regarding the Return of Capital Transaction  Terms of the Arrangement  Exchange Procedure  DRS Statements section of the Circular for more information. </w:t>
      </w:r>
    </w:p>
    <w:p>
      <w:pPr>
        <w:pStyle w:val="TextBody"/>
        <w:spacing w:before="240" w:after="0"/>
        <w:jc w:val="left"/>
        <w:rPr>
          <w:rFonts w:ascii="Times New Roman" w:hAnsi="Times New Roman"/>
          <w:sz w:val="20"/>
        </w:rPr>
      </w:pPr>
      <w:r>
        <w:rPr>
          <w:rFonts w:ascii="Times New Roman" w:hAnsi="Times New Roman"/>
          <w:sz w:val="20"/>
        </w:rPr>
        <w:t xml:space="preserve">Participating shareholders will receive (a) new DRS statements (or share certificates), reflecting the new CUSIP number for the shares, representing the post-consolidated number of shares held and (b) the net cash proceeds for any fractional shares. Opting-out shareholders will continue to hold the same number of shares they currently hold. Until surrendered, each share certificate existing prior to the completion of the Plan of Arrangement will be deemed for all purposes to represent the number of whole shares and any net cash proceeds for fractional shares to which such registered shareholder is entitled to hold as a result of the implementation of the Return of Capital Transaction. </w:t>
      </w:r>
    </w:p>
    <w:p>
      <w:pPr>
        <w:pStyle w:val="TextBody"/>
        <w:spacing w:before="240" w:after="0"/>
        <w:jc w:val="left"/>
        <w:rPr>
          <w:rFonts w:ascii="Times New Roman" w:hAnsi="Times New Roman"/>
          <w:sz w:val="20"/>
        </w:rPr>
      </w:pPr>
      <w:r>
        <w:rPr>
          <w:rFonts w:ascii="Times New Roman" w:hAnsi="Times New Roman"/>
          <w:sz w:val="20"/>
        </w:rPr>
        <w:t xml:space="preserve">This Letter of Transmittal, properly completed and duly executed, together with all other required documents, must accompany certificate(s) for shares delivered in connection with the Return of Capital Transaction. </w:t>
      </w:r>
    </w:p>
    <w:p>
      <w:pPr>
        <w:pStyle w:val="TextBody"/>
        <w:spacing w:before="240" w:after="0"/>
        <w:jc w:val="left"/>
        <w:rPr>
          <w:rFonts w:ascii="Times New Roman" w:hAnsi="Times New Roman"/>
          <w:b/>
          <w:sz w:val="20"/>
        </w:rPr>
      </w:pPr>
      <w:r>
        <w:rPr>
          <w:rFonts w:ascii="Times New Roman" w:hAnsi="Times New Roman"/>
          <w:b/>
          <w:sz w:val="20"/>
        </w:rPr>
        <w:t xml:space="preserve">Delivery of this instrument to an address other than shown above does not constitute a valid delivery.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88"/>
        <w:gridCol w:w="123"/>
        <w:gridCol w:w="9094"/>
      </w:tblGrid>
      <w:tr>
        <w:trPr/>
        <w:tc>
          <w:tcPr>
            <w:tcW w:w="98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9094" w:type="dxa"/>
            <w:tcBorders/>
            <w:shd w:fill="auto" w:val="clear"/>
            <w:vAlign w:val="center"/>
          </w:tcPr>
          <w:p>
            <w:pPr>
              <w:pStyle w:val="TableContents"/>
              <w:spacing w:before="0" w:after="283"/>
              <w:rPr>
                <w:sz w:val="4"/>
                <w:szCs w:val="4"/>
              </w:rPr>
            </w:pPr>
            <w:r>
              <w:rPr>
                <w:sz w:val="4"/>
                <w:szCs w:val="4"/>
              </w:rPr>
            </w:r>
          </w:p>
        </w:tc>
      </w:tr>
      <w:tr>
        <w:trPr/>
        <w:tc>
          <w:tcPr>
            <w:tcW w:w="988" w:type="dxa"/>
            <w:tcBorders/>
            <w:shd w:fill="auto" w:val="clear"/>
          </w:tcPr>
          <w:p>
            <w:pPr>
              <w:pStyle w:val="TableContents"/>
              <w:spacing w:before="0" w:after="283"/>
              <w:rPr>
                <w:b/>
              </w:rPr>
            </w:pPr>
            <w:r>
              <w:rPr>
                <w:b/>
              </w:rPr>
              <w:t>TO:</w:t>
            </w:r>
          </w:p>
        </w:tc>
        <w:tc>
          <w:tcPr>
            <w:tcW w:w="123" w:type="dxa"/>
            <w:tcBorders/>
            <w:shd w:fill="auto" w:val="clear"/>
            <w:vAlign w:val="bottom"/>
          </w:tcPr>
          <w:p>
            <w:pPr>
              <w:pStyle w:val="TableContents"/>
              <w:spacing w:before="0" w:after="283"/>
              <w:rPr/>
            </w:pPr>
            <w:r>
              <w:rPr/>
              <w:t>  </w:t>
            </w:r>
          </w:p>
        </w:tc>
        <w:tc>
          <w:tcPr>
            <w:tcW w:w="9094" w:type="dxa"/>
            <w:tcBorders/>
            <w:shd w:fill="auto" w:val="clear"/>
          </w:tcPr>
          <w:p>
            <w:pPr>
              <w:pStyle w:val="TableContents"/>
              <w:spacing w:before="0" w:after="283"/>
              <w:rPr>
                <w:b/>
              </w:rPr>
            </w:pPr>
            <w:r>
              <w:rPr>
                <w:b/>
              </w:rPr>
              <w:t>THOMSON REUTERS CORPORATION</w:t>
            </w:r>
          </w:p>
        </w:tc>
      </w:tr>
      <w:tr>
        <w:trPr/>
        <w:tc>
          <w:tcPr>
            <w:tcW w:w="988" w:type="dxa"/>
            <w:tcBorders/>
            <w:shd w:fill="auto" w:val="clear"/>
          </w:tcPr>
          <w:p>
            <w:pPr>
              <w:pStyle w:val="TableContents"/>
              <w:spacing w:before="0" w:after="283"/>
              <w:rPr>
                <w:b/>
              </w:rPr>
            </w:pPr>
            <w:r>
              <w:rPr>
                <w:b/>
              </w:rPr>
              <w:t>AND TO:</w:t>
            </w:r>
          </w:p>
        </w:tc>
        <w:tc>
          <w:tcPr>
            <w:tcW w:w="123" w:type="dxa"/>
            <w:tcBorders/>
            <w:shd w:fill="auto" w:val="clear"/>
            <w:vAlign w:val="bottom"/>
          </w:tcPr>
          <w:p>
            <w:pPr>
              <w:pStyle w:val="TableContents"/>
              <w:spacing w:before="0" w:after="283"/>
              <w:rPr/>
            </w:pPr>
            <w:r>
              <w:rPr/>
              <w:t>  </w:t>
            </w:r>
          </w:p>
        </w:tc>
        <w:tc>
          <w:tcPr>
            <w:tcW w:w="9094" w:type="dxa"/>
            <w:tcBorders/>
            <w:shd w:fill="auto" w:val="clear"/>
          </w:tcPr>
          <w:p>
            <w:pPr>
              <w:pStyle w:val="TableContents"/>
              <w:spacing w:before="0" w:after="283"/>
              <w:rPr>
                <w:b/>
              </w:rPr>
            </w:pPr>
            <w:r>
              <w:rPr>
                <w:b/>
              </w:rPr>
              <w:t>COMPUTERSHARE INVESTOR SERVICES INC.</w:t>
            </w:r>
          </w:p>
        </w:tc>
      </w:tr>
    </w:tbl>
    <w:p>
      <w:pPr>
        <w:pStyle w:val="TextBody"/>
        <w:spacing w:before="240" w:after="0"/>
        <w:jc w:val="left"/>
        <w:rPr>
          <w:rFonts w:ascii="Times New Roman" w:hAnsi="Times New Roman"/>
          <w:sz w:val="20"/>
        </w:rPr>
      </w:pPr>
      <w:r>
        <w:rPr>
          <w:rFonts w:ascii="Times New Roman" w:hAnsi="Times New Roman"/>
          <w:sz w:val="20"/>
        </w:rPr>
        <w:t xml:space="preserve">The undersigned delivers to the Company the enclosed certificate(s) for shares and agrees to surrender such certificate(s) in exchange for new DRS statement(s) (or, if requested in Box A, share certificate(s)) reflecting the number of shares the undersigned is entitled to receive under the Return of Capital Transaction and upon the terms and subject to the conditions contained in the Plan of Arrangement and the Circular.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c>
          <w:tcPr>
            <w:tcW w:w="10102"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40" w:type="dxa"/>
            </w:tcMar>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The Instructions set forth in this Letter of Transmittal, the Circular and other materials related to the Return of Capital Transaction should be read carefully before this Letter of Transmittal is completed.</w:t>
            </w:r>
          </w:p>
          <w:p>
            <w:pPr>
              <w:pStyle w:val="TableContents"/>
              <w:spacing w:before="0" w:after="0"/>
              <w:rPr/>
            </w:pPr>
            <w:r>
              <w:rPr/>
              <w:t> </w:t>
            </w:r>
          </w:p>
          <w:p>
            <w:pPr>
              <w:pStyle w:val="TableContents"/>
              <w:spacing w:before="0" w:after="20"/>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TO:     COMPUTERSHARE INVESTOR SERVICES INC. </w:t>
      </w:r>
    </w:p>
    <w:p>
      <w:pPr>
        <w:pStyle w:val="TextBody"/>
        <w:spacing w:before="240" w:after="0"/>
        <w:jc w:val="left"/>
        <w:rPr>
          <w:rFonts w:ascii="Times New Roman" w:hAnsi="Times New Roman"/>
          <w:sz w:val="20"/>
        </w:rPr>
      </w:pPr>
      <w:r>
        <w:rPr>
          <w:rFonts w:ascii="Times New Roman" w:hAnsi="Times New Roman"/>
          <w:sz w:val="20"/>
        </w:rPr>
        <w:t xml:space="preserve">The undersigned delivers to you the following share certificate(s) and irrevocably surrenders such share certificate(s) upon the terms and conditions contained in this Letter of Transmittal, the Plan of Arrangement and the Circular. The following are the details of the enclosed certificate(s): </w:t>
      </w:r>
    </w:p>
    <w:p>
      <w:pPr>
        <w:pStyle w:val="TextBody"/>
        <w:spacing w:before="240" w:after="0"/>
        <w:jc w:val="left"/>
        <w:rPr>
          <w:rFonts w:ascii="Times New Roman" w:hAnsi="Times New Roman"/>
          <w:sz w:val="20"/>
        </w:rPr>
      </w:pPr>
      <w:r>
        <w:rPr>
          <w:rFonts w:ascii="Times New Roman" w:hAnsi="Times New Roman"/>
          <w:sz w:val="20"/>
        </w:rPr>
        <w:t xml:space="preserve">Please list all details of the share certificates that you hold. See Instructions 2 and 3.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3511"/>
        <w:gridCol w:w="120"/>
        <w:gridCol w:w="3229"/>
        <w:gridCol w:w="120"/>
        <w:gridCol w:w="3122"/>
      </w:tblGrid>
      <w:tr>
        <w:trPr/>
        <w:tc>
          <w:tcPr>
            <w:tcW w:w="35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22" w:type="dxa"/>
            <w:tcBorders/>
            <w:shd w:fill="auto" w:val="clear"/>
            <w:vAlign w:val="center"/>
          </w:tcPr>
          <w:p>
            <w:pPr>
              <w:pStyle w:val="TableContents"/>
              <w:spacing w:before="0" w:after="283"/>
              <w:rPr>
                <w:sz w:val="4"/>
                <w:szCs w:val="4"/>
              </w:rPr>
            </w:pPr>
            <w:r>
              <w:rPr>
                <w:sz w:val="4"/>
                <w:szCs w:val="4"/>
              </w:rPr>
            </w:r>
          </w:p>
        </w:tc>
      </w:tr>
      <w:tr>
        <w:trPr/>
        <w:tc>
          <w:tcPr>
            <w:tcW w:w="3511"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Certificate Number(s)</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229"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Name in Which Registered</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12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Number of Shares Delivered</w:t>
            </w:r>
          </w:p>
        </w:tc>
      </w:tr>
      <w:tr>
        <w:trPr/>
        <w:tc>
          <w:tcPr>
            <w:tcW w:w="3511"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229"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22"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c>
          <w:tcPr>
            <w:tcW w:w="3511"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229"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22"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c>
          <w:tcPr>
            <w:tcW w:w="3511"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229"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22"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c>
          <w:tcPr>
            <w:tcW w:w="3511"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229"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22"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above-listed share certificate(s) is/are hereby submitted in order that the new CUSIP number assigned to the shares of the Company and the amount of shares the registered shareholder is entitled to receive may be applied to such share certificate(s) and returned to the undersigned following completion of the Plan of Arrangement. </w:t>
      </w:r>
    </w:p>
    <w:p>
      <w:pPr>
        <w:pStyle w:val="TextBody"/>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is the owner of the number shares described above and the undersigned has good title to the shares represented by the said certificate(s), free and clear of all liens, charges and encumbrances, and has full power and authority to herewith deposit such shares. The undersigned hereby represents and warrants that all information provided by the undersigned herein is complete, true and accurate. The undersigned covenants and agrees to execute and deliver all such documents, transfers and other assurances as may be necessary or desirable to exchange the transmitted share certificates pursuant to the Plan of Arrangement. These representations, warranties, covenants, acknowledgements and agreements shall survive the completion of the Return of Capital Transaction. </w:t>
      </w:r>
    </w:p>
    <w:p>
      <w:pPr>
        <w:pStyle w:val="TextBody"/>
        <w:spacing w:before="240" w:after="0"/>
        <w:jc w:val="left"/>
        <w:rPr>
          <w:rFonts w:ascii="Times New Roman" w:hAnsi="Times New Roman"/>
          <w:sz w:val="20"/>
        </w:rPr>
      </w:pPr>
      <w:r>
        <w:rPr>
          <w:rFonts w:ascii="Times New Roman" w:hAnsi="Times New Roman"/>
          <w:sz w:val="20"/>
        </w:rPr>
        <w:t xml:space="preserve">The undersigned instructs the Company and the Depositary, upon the Effective Date of the Plan of Arrangement, to, as soon as practicable after receipt of a properly completed and signed Letter of Transmittal, the applicable share certificate(s) and all other required documentation, if any, issue or cause to be issued new DRS statement(s) (or share certificate(s)), reflecting the new CUSIP number, representing the number of shares the undersigned is entitled to receive under the Return of Capital Transaction and mail such DRS statement(s) (or share certificate(s)) by first-class insured mail, postage prepaid, in accordance with the instructions set out below. If a transmitted share certificate has any restrictive legends on the back thereof, the new DRS statement (or share certificate) will be issued with the same restrictive legends, if any. Should the Plan of Arrangement not proceed for any reason, the deposited certificate(s) and other relevant documents shall be returned to the address indicated below or, if no instructions are given, in the name and to the address if any, of the undersigned as appears on the share register maintained by the transfer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undersigned irrevocably constitutes and appoints each of Chad MacLean and Jennifer Ruddick, each of whom is an officer of the Company, and any other person designated by the Company in writing, the true and lawful agent, attorney and attorney-in-fact of the undersigned with respect to the transmitted share certificates exchanged pursuant to the Return of Capital Transaction with full power of substitution (such power of attorney, being coupled with an interest, being irrevocable) to, in the name of and on behalf of the undersigned, (a) register or record the exchange of such transmitted share certificate(s) for new DRS statement(s) or share certificate(s); and (b) execute and negotiate any cheques or other instruments representing any distribution payable to or to the order of the undersigned. </w:t>
      </w:r>
    </w:p>
    <w:p>
      <w:pPr>
        <w:pStyle w:val="TextBody"/>
        <w:spacing w:before="240" w:after="0"/>
        <w:jc w:val="left"/>
        <w:rPr>
          <w:rFonts w:ascii="Times New Roman" w:hAnsi="Times New Roman"/>
          <w:sz w:val="20"/>
        </w:rPr>
      </w:pPr>
      <w:r>
        <w:rPr>
          <w:rFonts w:ascii="Times New Roman" w:hAnsi="Times New Roman"/>
          <w:sz w:val="20"/>
        </w:rPr>
        <w:t xml:space="preserve">If share certificate(s) have been lost, stolen or destroyed, this Letter of Transmittal should be completed as fully as possible and forwarded together with a letter describing the loss to the Depositary. The Depositary will respond with the replacement requirements. Alternatively, shareholders whose certificate(s) have been lost, stolen or destroyed may participate in Computershares blanket bond program with Aviva Insurance Company of Canada by completing Box E, and submitting the applicable certified cheque or money order made payable to Computershare. </w:t>
      </w:r>
    </w:p>
    <w:p>
      <w:pPr>
        <w:pStyle w:val="TextBody"/>
        <w:spacing w:before="240" w:after="0"/>
        <w:jc w:val="left"/>
        <w:rPr>
          <w:rFonts w:ascii="Times New Roman" w:hAnsi="Times New Roman"/>
          <w:sz w:val="20"/>
        </w:rPr>
      </w:pPr>
      <w:r>
        <w:rPr>
          <w:rFonts w:ascii="Times New Roman" w:hAnsi="Times New Roman"/>
          <w:sz w:val="20"/>
        </w:rPr>
        <w:t xml:space="preserve">Please see further information regarding share certificates that have been lost, stolen or destroyed in the Information Regarding the Return of Capital Transaction  Terms of the Arrangement  Lost, Stolen or Destroyed Certificates section of the Circular. </w:t>
      </w:r>
    </w:p>
    <w:p>
      <w:pPr>
        <w:pStyle w:val="TextBody"/>
        <w:spacing w:before="240" w:after="0"/>
        <w:jc w:val="left"/>
        <w:rPr>
          <w:rFonts w:ascii="Times New Roman" w:hAnsi="Times New Roman"/>
          <w:sz w:val="20"/>
        </w:rPr>
      </w:pPr>
      <w:r>
        <w:rPr>
          <w:rFonts w:ascii="Times New Roman" w:hAnsi="Times New Roman"/>
          <w:sz w:val="20"/>
        </w:rPr>
        <w:t xml:space="preserve">All authority conferred or agreed to be conferred by the undersigned in this Letter of Transmittal may be exercised upon death or during any subsequent legal incapacity of the undersigned and all obligations of the undersigned in this Letter of Transmittal shall be binding upon the heirs, personal representatives, successors and assigns of the undersigned. </w:t>
      </w:r>
    </w:p>
    <w:p>
      <w:pPr>
        <w:pStyle w:val="TextBody"/>
        <w:spacing w:before="240" w:after="0"/>
        <w:jc w:val="left"/>
        <w:rPr>
          <w:rFonts w:ascii="Times New Roman" w:hAnsi="Times New Roman"/>
          <w:sz w:val="20"/>
        </w:rPr>
      </w:pPr>
      <w:r>
        <w:rPr>
          <w:rFonts w:ascii="Times New Roman" w:hAnsi="Times New Roman"/>
          <w:sz w:val="20"/>
        </w:rPr>
        <w:t xml:space="preserve">The undersigned recognizes that under certain circumstances set forth in the Plan of Arrangement and the Circular, the Company may terminate or amend the Plan of Arrangement. </w:t>
      </w:r>
    </w:p>
    <w:p>
      <w:pPr>
        <w:pStyle w:val="TextBody"/>
        <w:spacing w:before="240" w:after="0"/>
        <w:jc w:val="left"/>
        <w:rPr>
          <w:rFonts w:ascii="Times New Roman" w:hAnsi="Times New Roman"/>
          <w:sz w:val="20"/>
        </w:rPr>
      </w:pPr>
      <w:r>
        <w:rPr>
          <w:rFonts w:ascii="Times New Roman" w:hAnsi="Times New Roman"/>
          <w:sz w:val="20"/>
        </w:rPr>
        <w:t xml:space="preserve">By reason of the use by the undersigned of an English language form of Letter of Transmittal, the undersigned shall be deemed to have required that any contract evidenced by the Plan of Arrangement as accepted through this Letter of Transmittal, as well as all documents related thereto, be drawn exclusively in the English language. En raison de lusage dune lettre denvoi en langue anglaise par le soussigné, le soussigné est réputé avoir requis que tout contrat attesté par le plan darrangement et son acceptation par cette lettre denvoi, de même que tous les documents qui sy rapportent, soient rédigés exclusivement en langue anglaise.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tbl>
      <w:tblPr>
        <w:tblW w:w="4950" w:type="pct"/>
        <w:jc w:val="left"/>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c>
          <w:tcPr>
            <w:tcW w:w="10102"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40" w:type="dxa"/>
            </w:tcMar>
          </w:tcPr>
          <w:p>
            <w:pPr>
              <w:pStyle w:val="TableContents"/>
              <w:spacing w:before="0" w:after="0"/>
              <w:jc w:val="center"/>
              <w:rPr>
                <w:rFonts w:ascii="Times New Roman" w:hAnsi="Times New Roman"/>
                <w:b/>
                <w:sz w:val="20"/>
              </w:rPr>
            </w:pPr>
            <w:r>
              <w:rPr>
                <w:rFonts w:ascii="Times New Roman" w:hAnsi="Times New Roman"/>
                <w:b/>
                <w:sz w:val="20"/>
              </w:rPr>
              <w:t>BOX A</w:t>
            </w:r>
          </w:p>
          <w:p>
            <w:pPr>
              <w:pStyle w:val="TableContents"/>
              <w:spacing w:before="0" w:after="0"/>
              <w:jc w:val="left"/>
              <w:rPr/>
            </w:pPr>
            <w:r>
              <w:rPr/>
              <w:t> </w:t>
            </w:r>
          </w:p>
          <w:p>
            <w:pPr>
              <w:pStyle w:val="TableContents"/>
              <w:spacing w:before="0" w:after="0"/>
              <w:jc w:val="center"/>
              <w:rPr>
                <w:rFonts w:ascii="Times New Roman" w:hAnsi="Times New Roman"/>
                <w:i/>
                <w:sz w:val="20"/>
              </w:rPr>
            </w:pPr>
            <w:r>
              <w:rPr>
                <w:rFonts w:ascii="Times New Roman" w:hAnsi="Times New Roman"/>
                <w:i/>
                <w:sz w:val="20"/>
              </w:rPr>
              <w:t>REQUEST FOR NEW SHARE CERTIFICATE(S) INSTEAD OF A DRS STATEMENT</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 xml:space="preserve">A shareholder will receive a new DRS statement instead of a new physical share certificate reflecting the share consolidation. DRS is a system that allows registered shareholders to hold their shares in book-entry form without having physical share certificates issued as evidence of ownership. See the Information Regarding the Return of Capital Transaction  Terms of the Arrangement  Exchange Procedure  DRS Statements in the Circular for more information. </w:t>
            </w:r>
            <w:r>
              <w:rPr>
                <w:rFonts w:ascii="Times New Roman" w:hAnsi="Times New Roman"/>
                <w:b/>
                <w:sz w:val="20"/>
              </w:rPr>
              <w:t xml:space="preserve">If you would like to receive a new physical share certificate evidencing your ownership of the shares instead of a DRS statement, place an X in the box below. </w:t>
            </w:r>
          </w:p>
          <w:p>
            <w:pPr>
              <w:pStyle w:val="TableContents"/>
              <w:spacing w:before="0" w:after="0"/>
              <w:rPr/>
            </w:pPr>
            <w:r>
              <w:rPr/>
              <w:t> </w:t>
            </w:r>
          </w:p>
          <w:p>
            <w:pPr>
              <w:pStyle w:val="TableContents"/>
              <w:spacing w:before="0" w:after="0"/>
              <w:rPr/>
            </w:pPr>
            <w:r>
              <w:rPr/>
              <w:t>☐   </w:t>
            </w:r>
            <w:r>
              <w:rPr>
                <w:rFonts w:ascii="Times New Roman" w:hAnsi="Times New Roman"/>
                <w:sz w:val="20"/>
              </w:rPr>
              <w:t>The undersigned wishes to receive a new share certificate reflecting the new CUSIP for the shares that it will own after the share consolidation.</w:t>
            </w:r>
          </w:p>
          <w:p>
            <w:pPr>
              <w:pStyle w:val="TableContents"/>
              <w:spacing w:before="0" w:after="20"/>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6149340"/>
                <wp:effectExtent l="0" t="0" r="0" b="0"/>
                <wp:wrapSquare wrapText="largest"/>
                <wp:docPr id="91" name="Frame1"/>
                <a:graphic xmlns:a="http://schemas.openxmlformats.org/drawingml/2006/main">
                  <a:graphicData uri="http://schemas.microsoft.com/office/word/2010/wordprocessingShape">
                    <wps:wsp>
                      <wps:cNvSpPr txBox="1"/>
                      <wps:spPr>
                        <a:xfrm>
                          <a:off x="0" y="0"/>
                          <a:ext cx="3110230" cy="6149340"/>
                        </a:xfrm>
                        <a:prstGeom prst="rect"/>
                      </wps:spPr>
                      <wps:txbx>
                        <w:txbxContent>
                          <w:tbl>
                            <w:tblPr>
                              <w:tblW w:w="5000" w:type="pct"/>
                              <w:jc w:val="center"/>
                              <w:tblInd w:w="0" w:type="dxa"/>
                              <w:tblCellMar>
                                <w:top w:w="0" w:type="dxa"/>
                                <w:left w:w="0" w:type="dxa"/>
                                <w:bottom w:w="0" w:type="dxa"/>
                                <w:right w:w="0" w:type="dxa"/>
                              </w:tblCellMar>
                            </w:tblPr>
                            <w:tblGrid>
                              <w:gridCol w:w="195"/>
                              <w:gridCol w:w="196"/>
                              <w:gridCol w:w="4507"/>
                            </w:tblGrid>
                            <w:tr>
                              <w:trPr/>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4507" w:type="dxa"/>
                                  <w:tcBorders/>
                                  <w:shd w:fill="auto" w:val="clear"/>
                                  <w:vAlign w:val="center"/>
                                </w:tcPr>
                                <w:p>
                                  <w:pPr>
                                    <w:pStyle w:val="TableContents"/>
                                    <w:spacing w:before="0" w:after="283"/>
                                    <w:rPr>
                                      <w:sz w:val="4"/>
                                      <w:szCs w:val="4"/>
                                    </w:rPr>
                                  </w:pPr>
                                  <w:r>
                                    <w:rPr>
                                      <w:sz w:val="4"/>
                                      <w:szCs w:val="4"/>
                                    </w:rPr>
                                  </w:r>
                                </w:p>
                              </w:tc>
                            </w:tr>
                            <w:tr>
                              <w:trPr/>
                              <w:tc>
                                <w:tcPr>
                                  <w:tcW w:w="4898" w:type="dxa"/>
                                  <w:gridSpan w:val="3"/>
                                  <w:tcBorders>
                                    <w:top w:val="single" w:sz="2" w:space="0" w:color="000000"/>
                                    <w:left w:val="single" w:sz="2" w:space="0" w:color="000000"/>
                                    <w:right w:val="single" w:sz="2" w:space="0" w:color="000000"/>
                                  </w:tcBorders>
                                  <w:shd w:fill="auto" w:val="clear"/>
                                  <w:tcMar>
                                    <w:top w:w="28" w:type="dxa"/>
                                    <w:left w:w="160" w:type="dxa"/>
                                    <w:right w:w="40" w:type="dxa"/>
                                  </w:tcMar>
                                  <w:vAlign w:val="bottom"/>
                                </w:tcPr>
                                <w:p>
                                  <w:pPr>
                                    <w:pStyle w:val="TableContents"/>
                                    <w:spacing w:before="0" w:after="0"/>
                                    <w:rPr/>
                                  </w:pPr>
                                  <w:r>
                                    <w:rPr/>
                                    <w:t> </w:t>
                                  </w:r>
                                </w:p>
                                <w:p>
                                  <w:pPr>
                                    <w:pStyle w:val="TableContents"/>
                                    <w:spacing w:before="0" w:after="20"/>
                                    <w:jc w:val="center"/>
                                    <w:rPr>
                                      <w:rFonts w:ascii="Times New Roman" w:hAnsi="Times New Roman"/>
                                      <w:b/>
                                      <w:sz w:val="20"/>
                                    </w:rPr>
                                  </w:pPr>
                                  <w:r>
                                    <w:rPr>
                                      <w:rFonts w:ascii="Times New Roman" w:hAnsi="Times New Roman"/>
                                      <w:b/>
                                      <w:sz w:val="20"/>
                                    </w:rPr>
                                    <w:t>BOX B</w:t>
                                  </w:r>
                                </w:p>
                              </w:tc>
                            </w:tr>
                            <w:tr>
                              <w:trPr/>
                              <w:tc>
                                <w:tcPr>
                                  <w:tcW w:w="4898" w:type="dxa"/>
                                  <w:gridSpan w:val="3"/>
                                  <w:tcBorders>
                                    <w:left w:val="single" w:sz="2" w:space="0" w:color="000000"/>
                                    <w:right w:val="single" w:sz="2" w:space="0" w:color="000000"/>
                                  </w:tcBorders>
                                  <w:shd w:fill="auto" w:val="clear"/>
                                  <w:tcMar>
                                    <w:left w:w="160" w:type="dxa"/>
                                    <w:right w:w="40" w:type="dxa"/>
                                  </w:tcMar>
                                  <w:vAlign w:val="bottom"/>
                                </w:tcPr>
                                <w:p>
                                  <w:pPr>
                                    <w:pStyle w:val="TableContents"/>
                                    <w:spacing w:before="0" w:after="0"/>
                                    <w:jc w:val="center"/>
                                    <w:rPr>
                                      <w:rFonts w:ascii="Times New Roman" w:hAnsi="Times New Roman"/>
                                      <w:i/>
                                      <w:sz w:val="20"/>
                                    </w:rPr>
                                  </w:pPr>
                                  <w:r>
                                    <w:rPr>
                                      <w:rFonts w:ascii="Times New Roman" w:hAnsi="Times New Roman"/>
                                      <w:i/>
                                      <w:sz w:val="20"/>
                                    </w:rPr>
                                    <w:t>SHARE ENTITLEMENT DELIVERY</w:t>
                                  </w:r>
                                </w:p>
                                <w:p>
                                  <w:pPr>
                                    <w:pStyle w:val="TableContents"/>
                                    <w:spacing w:before="0" w:after="20"/>
                                    <w:jc w:val="left"/>
                                    <w:rPr/>
                                  </w:pPr>
                                  <w:r>
                                    <w:rPr/>
                                    <w:t> </w:t>
                                  </w:r>
                                </w:p>
                              </w:tc>
                            </w:tr>
                            <w:tr>
                              <w:trPr/>
                              <w:tc>
                                <w:tcPr>
                                  <w:tcW w:w="4898" w:type="dxa"/>
                                  <w:gridSpan w:val="3"/>
                                  <w:tcBorders>
                                    <w:left w:val="single" w:sz="2" w:space="0" w:color="000000"/>
                                    <w:right w:val="single" w:sz="2" w:space="0" w:color="000000"/>
                                  </w:tcBorders>
                                  <w:shd w:fill="auto" w:val="clear"/>
                                  <w:tcMar>
                                    <w:left w:w="160" w:type="dxa"/>
                                    <w:right w:w="40" w:type="dxa"/>
                                  </w:tcMar>
                                  <w:vAlign w:val="bottom"/>
                                </w:tcPr>
                                <w:p>
                                  <w:pPr>
                                    <w:pStyle w:val="TableContents"/>
                                    <w:spacing w:before="0" w:after="283"/>
                                    <w:rPr/>
                                  </w:pPr>
                                  <w:r>
                                    <w:rPr/>
                                    <w:t>New DRS statement(s) (or share certificate(s)) representing shares and any net cash proceeds for fractional shares will be issued and mailed to your existing registration unless otherwise stated. If you would like these shares issued to a different name or address, please complete Box C and refer to Instructions 3, 4 &amp; 5</w:t>
                                  </w:r>
                                </w:p>
                              </w:tc>
                            </w:tr>
                            <w:tr>
                              <w:trPr/>
                              <w:tc>
                                <w:tcPr>
                                  <w:tcW w:w="195" w:type="dxa"/>
                                  <w:tcBorders>
                                    <w:left w:val="single" w:sz="2" w:space="0" w:color="000000"/>
                                  </w:tcBorders>
                                  <w:shd w:fill="auto" w:val="clear"/>
                                  <w:tcMar>
                                    <w:left w:w="160" w:type="dxa"/>
                                  </w:tcMar>
                                </w:tcPr>
                                <w:p>
                                  <w:pPr>
                                    <w:pStyle w:val="TableContents"/>
                                    <w:spacing w:before="0" w:after="0"/>
                                    <w:rPr/>
                                  </w:pPr>
                                  <w:r>
                                    <w:rPr/>
                                    <w:t> </w:t>
                                  </w:r>
                                </w:p>
                                <w:p>
                                  <w:pPr>
                                    <w:pStyle w:val="TableContents"/>
                                    <w:spacing w:before="0" w:after="20"/>
                                    <w:rPr/>
                                  </w:pPr>
                                  <w:r>
                                    <w:rPr/>
                                    <w:t>☐</w:t>
                                  </w:r>
                                </w:p>
                              </w:tc>
                              <w:tc>
                                <w:tcPr>
                                  <w:tcW w:w="196" w:type="dxa"/>
                                  <w:tcBorders/>
                                  <w:shd w:fill="auto" w:val="clear"/>
                                  <w:vAlign w:val="bottom"/>
                                </w:tcPr>
                                <w:p>
                                  <w:pPr>
                                    <w:pStyle w:val="TableContents"/>
                                    <w:spacing w:before="0" w:after="283"/>
                                    <w:rPr/>
                                  </w:pPr>
                                  <w:r>
                                    <w:rPr/>
                                    <w:t>  </w:t>
                                  </w:r>
                                </w:p>
                              </w:tc>
                              <w:tc>
                                <w:tcPr>
                                  <w:tcW w:w="4507" w:type="dxa"/>
                                  <w:tcBorders>
                                    <w:right w:val="single" w:sz="2" w:space="0" w:color="000000"/>
                                  </w:tcBorders>
                                  <w:shd w:fill="auto" w:val="clear"/>
                                  <w:tcMar>
                                    <w:right w:w="40" w:type="dxa"/>
                                  </w:tcM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MAIL DRS STATEMENT(S) (OR SHARE CERTIFICATE(S)) REPRESENTING SHARES AND ANY CHEQUES TO ADDRESS ON RECORD (</w:t>
                                  </w:r>
                                  <w:r>
                                    <w:rPr>
                                      <w:rFonts w:ascii="Times New Roman" w:hAnsi="Times New Roman"/>
                                      <w:sz w:val="20"/>
                                      <w:u w:val="single"/>
                                    </w:rPr>
                                    <w:t>DEFAULT</w:t>
                                  </w:r>
                                  <w:r>
                                    <w:rPr>
                                      <w:rFonts w:ascii="Times New Roman" w:hAnsi="Times New Roman"/>
                                      <w:sz w:val="20"/>
                                    </w:rPr>
                                    <w:t>)</w:t>
                                  </w:r>
                                </w:p>
                              </w:tc>
                            </w:tr>
                            <w:tr>
                              <w:trPr/>
                              <w:tc>
                                <w:tcPr>
                                  <w:tcW w:w="195" w:type="dxa"/>
                                  <w:tcBorders>
                                    <w:left w:val="single" w:sz="2" w:space="0" w:color="000000"/>
                                    <w:bottom w:val="single" w:sz="2" w:space="0" w:color="000000"/>
                                  </w:tcBorders>
                                  <w:shd w:fill="auto" w:val="clear"/>
                                  <w:tcMar>
                                    <w:left w:w="160" w:type="dxa"/>
                                    <w:bottom w:w="28" w:type="dxa"/>
                                  </w:tcMar>
                                </w:tcPr>
                                <w:p>
                                  <w:pPr>
                                    <w:pStyle w:val="TableContents"/>
                                    <w:spacing w:before="0" w:after="0"/>
                                    <w:rPr/>
                                  </w:pPr>
                                  <w:r>
                                    <w:rPr/>
                                    <w:t> </w:t>
                                  </w:r>
                                </w:p>
                                <w:p>
                                  <w:pPr>
                                    <w:pStyle w:val="TableContents"/>
                                    <w:spacing w:before="0" w:after="20"/>
                                    <w:rPr/>
                                  </w:pPr>
                                  <w:r>
                                    <w:rPr/>
                                    <w:t>☐</w:t>
                                  </w:r>
                                </w:p>
                              </w:tc>
                              <w:tc>
                                <w:tcPr>
                                  <w:tcW w:w="196" w:type="dxa"/>
                                  <w:tcBorders>
                                    <w:bottom w:val="single" w:sz="2" w:space="0" w:color="000000"/>
                                  </w:tcBorders>
                                  <w:shd w:fill="auto" w:val="clear"/>
                                  <w:tcMar>
                                    <w:bottom w:w="28" w:type="dxa"/>
                                  </w:tcMar>
                                  <w:vAlign w:val="bottom"/>
                                </w:tcPr>
                                <w:p>
                                  <w:pPr>
                                    <w:pStyle w:val="TableContents"/>
                                    <w:spacing w:before="0" w:after="283"/>
                                    <w:rPr/>
                                  </w:pPr>
                                  <w:r>
                                    <w:rPr/>
                                    <w:t>  </w:t>
                                  </w:r>
                                </w:p>
                              </w:tc>
                              <w:tc>
                                <w:tcPr>
                                  <w:tcW w:w="4507"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MAIL DRS STATEMENT(S) (OR SHARE CERTIFICATE(S)) REPRESENTING SHARES AND ANY CHEQUES TO A DIFFERENT ADDRESS (MUST COMPLETE BOX C)</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4.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195"/>
                        <w:gridCol w:w="196"/>
                        <w:gridCol w:w="4507"/>
                      </w:tblGrid>
                      <w:tr>
                        <w:trPr/>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4507" w:type="dxa"/>
                            <w:tcBorders/>
                            <w:shd w:fill="auto" w:val="clear"/>
                            <w:vAlign w:val="center"/>
                          </w:tcPr>
                          <w:p>
                            <w:pPr>
                              <w:pStyle w:val="TableContents"/>
                              <w:spacing w:before="0" w:after="283"/>
                              <w:rPr>
                                <w:sz w:val="4"/>
                                <w:szCs w:val="4"/>
                              </w:rPr>
                            </w:pPr>
                            <w:r>
                              <w:rPr>
                                <w:sz w:val="4"/>
                                <w:szCs w:val="4"/>
                              </w:rPr>
                            </w:r>
                          </w:p>
                        </w:tc>
                      </w:tr>
                      <w:tr>
                        <w:trPr/>
                        <w:tc>
                          <w:tcPr>
                            <w:tcW w:w="4898" w:type="dxa"/>
                            <w:gridSpan w:val="3"/>
                            <w:tcBorders>
                              <w:top w:val="single" w:sz="2" w:space="0" w:color="000000"/>
                              <w:left w:val="single" w:sz="2" w:space="0" w:color="000000"/>
                              <w:right w:val="single" w:sz="2" w:space="0" w:color="000000"/>
                            </w:tcBorders>
                            <w:shd w:fill="auto" w:val="clear"/>
                            <w:tcMar>
                              <w:top w:w="28" w:type="dxa"/>
                              <w:left w:w="160" w:type="dxa"/>
                              <w:right w:w="40" w:type="dxa"/>
                            </w:tcMar>
                            <w:vAlign w:val="bottom"/>
                          </w:tcPr>
                          <w:p>
                            <w:pPr>
                              <w:pStyle w:val="TableContents"/>
                              <w:spacing w:before="0" w:after="0"/>
                              <w:rPr/>
                            </w:pPr>
                            <w:r>
                              <w:rPr/>
                              <w:t> </w:t>
                            </w:r>
                          </w:p>
                          <w:p>
                            <w:pPr>
                              <w:pStyle w:val="TableContents"/>
                              <w:spacing w:before="0" w:after="20"/>
                              <w:jc w:val="center"/>
                              <w:rPr>
                                <w:rFonts w:ascii="Times New Roman" w:hAnsi="Times New Roman"/>
                                <w:b/>
                                <w:sz w:val="20"/>
                              </w:rPr>
                            </w:pPr>
                            <w:r>
                              <w:rPr>
                                <w:rFonts w:ascii="Times New Roman" w:hAnsi="Times New Roman"/>
                                <w:b/>
                                <w:sz w:val="20"/>
                              </w:rPr>
                              <w:t>BOX B</w:t>
                            </w:r>
                          </w:p>
                        </w:tc>
                      </w:tr>
                      <w:tr>
                        <w:trPr/>
                        <w:tc>
                          <w:tcPr>
                            <w:tcW w:w="4898" w:type="dxa"/>
                            <w:gridSpan w:val="3"/>
                            <w:tcBorders>
                              <w:left w:val="single" w:sz="2" w:space="0" w:color="000000"/>
                              <w:right w:val="single" w:sz="2" w:space="0" w:color="000000"/>
                            </w:tcBorders>
                            <w:shd w:fill="auto" w:val="clear"/>
                            <w:tcMar>
                              <w:left w:w="160" w:type="dxa"/>
                              <w:right w:w="40" w:type="dxa"/>
                            </w:tcMar>
                            <w:vAlign w:val="bottom"/>
                          </w:tcPr>
                          <w:p>
                            <w:pPr>
                              <w:pStyle w:val="TableContents"/>
                              <w:spacing w:before="0" w:after="0"/>
                              <w:jc w:val="center"/>
                              <w:rPr>
                                <w:rFonts w:ascii="Times New Roman" w:hAnsi="Times New Roman"/>
                                <w:i/>
                                <w:sz w:val="20"/>
                              </w:rPr>
                            </w:pPr>
                            <w:r>
                              <w:rPr>
                                <w:rFonts w:ascii="Times New Roman" w:hAnsi="Times New Roman"/>
                                <w:i/>
                                <w:sz w:val="20"/>
                              </w:rPr>
                              <w:t>SHARE ENTITLEMENT DELIVERY</w:t>
                            </w:r>
                          </w:p>
                          <w:p>
                            <w:pPr>
                              <w:pStyle w:val="TableContents"/>
                              <w:spacing w:before="0" w:after="20"/>
                              <w:jc w:val="left"/>
                              <w:rPr/>
                            </w:pPr>
                            <w:r>
                              <w:rPr/>
                              <w:t> </w:t>
                            </w:r>
                          </w:p>
                        </w:tc>
                      </w:tr>
                      <w:tr>
                        <w:trPr/>
                        <w:tc>
                          <w:tcPr>
                            <w:tcW w:w="4898" w:type="dxa"/>
                            <w:gridSpan w:val="3"/>
                            <w:tcBorders>
                              <w:left w:val="single" w:sz="2" w:space="0" w:color="000000"/>
                              <w:right w:val="single" w:sz="2" w:space="0" w:color="000000"/>
                            </w:tcBorders>
                            <w:shd w:fill="auto" w:val="clear"/>
                            <w:tcMar>
                              <w:left w:w="160" w:type="dxa"/>
                              <w:right w:w="40" w:type="dxa"/>
                            </w:tcMar>
                            <w:vAlign w:val="bottom"/>
                          </w:tcPr>
                          <w:p>
                            <w:pPr>
                              <w:pStyle w:val="TableContents"/>
                              <w:spacing w:before="0" w:after="283"/>
                              <w:rPr/>
                            </w:pPr>
                            <w:r>
                              <w:rPr/>
                              <w:t>New DRS statement(s) (or share certificate(s)) representing shares and any net cash proceeds for fractional shares will be issued and mailed to your existing registration unless otherwise stated. If you would like these shares issued to a different name or address, please complete Box C and refer to Instructions 3, 4 &amp; 5</w:t>
                            </w:r>
                          </w:p>
                        </w:tc>
                      </w:tr>
                      <w:tr>
                        <w:trPr/>
                        <w:tc>
                          <w:tcPr>
                            <w:tcW w:w="195" w:type="dxa"/>
                            <w:tcBorders>
                              <w:left w:val="single" w:sz="2" w:space="0" w:color="000000"/>
                            </w:tcBorders>
                            <w:shd w:fill="auto" w:val="clear"/>
                            <w:tcMar>
                              <w:left w:w="160" w:type="dxa"/>
                            </w:tcMar>
                          </w:tcPr>
                          <w:p>
                            <w:pPr>
                              <w:pStyle w:val="TableContents"/>
                              <w:spacing w:before="0" w:after="0"/>
                              <w:rPr/>
                            </w:pPr>
                            <w:r>
                              <w:rPr/>
                              <w:t> </w:t>
                            </w:r>
                          </w:p>
                          <w:p>
                            <w:pPr>
                              <w:pStyle w:val="TableContents"/>
                              <w:spacing w:before="0" w:after="20"/>
                              <w:rPr/>
                            </w:pPr>
                            <w:r>
                              <w:rPr/>
                              <w:t>☐</w:t>
                            </w:r>
                          </w:p>
                        </w:tc>
                        <w:tc>
                          <w:tcPr>
                            <w:tcW w:w="196" w:type="dxa"/>
                            <w:tcBorders/>
                            <w:shd w:fill="auto" w:val="clear"/>
                            <w:vAlign w:val="bottom"/>
                          </w:tcPr>
                          <w:p>
                            <w:pPr>
                              <w:pStyle w:val="TableContents"/>
                              <w:spacing w:before="0" w:after="283"/>
                              <w:rPr/>
                            </w:pPr>
                            <w:r>
                              <w:rPr/>
                              <w:t>  </w:t>
                            </w:r>
                          </w:p>
                        </w:tc>
                        <w:tc>
                          <w:tcPr>
                            <w:tcW w:w="4507" w:type="dxa"/>
                            <w:tcBorders>
                              <w:right w:val="single" w:sz="2" w:space="0" w:color="000000"/>
                            </w:tcBorders>
                            <w:shd w:fill="auto" w:val="clear"/>
                            <w:tcMar>
                              <w:right w:w="40" w:type="dxa"/>
                            </w:tcMar>
                            <w:vAlign w:val="bottom"/>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MAIL DRS STATEMENT(S) (OR SHARE CERTIFICATE(S)) REPRESENTING SHARES AND ANY CHEQUES TO ADDRESS ON RECORD (</w:t>
                            </w:r>
                            <w:r>
                              <w:rPr>
                                <w:rFonts w:ascii="Times New Roman" w:hAnsi="Times New Roman"/>
                                <w:sz w:val="20"/>
                                <w:u w:val="single"/>
                              </w:rPr>
                              <w:t>DEFAULT</w:t>
                            </w:r>
                            <w:r>
                              <w:rPr>
                                <w:rFonts w:ascii="Times New Roman" w:hAnsi="Times New Roman"/>
                                <w:sz w:val="20"/>
                              </w:rPr>
                              <w:t>)</w:t>
                            </w:r>
                          </w:p>
                        </w:tc>
                      </w:tr>
                      <w:tr>
                        <w:trPr/>
                        <w:tc>
                          <w:tcPr>
                            <w:tcW w:w="195" w:type="dxa"/>
                            <w:tcBorders>
                              <w:left w:val="single" w:sz="2" w:space="0" w:color="000000"/>
                              <w:bottom w:val="single" w:sz="2" w:space="0" w:color="000000"/>
                            </w:tcBorders>
                            <w:shd w:fill="auto" w:val="clear"/>
                            <w:tcMar>
                              <w:left w:w="160" w:type="dxa"/>
                              <w:bottom w:w="28" w:type="dxa"/>
                            </w:tcMar>
                          </w:tcPr>
                          <w:p>
                            <w:pPr>
                              <w:pStyle w:val="TableContents"/>
                              <w:spacing w:before="0" w:after="0"/>
                              <w:rPr/>
                            </w:pPr>
                            <w:r>
                              <w:rPr/>
                              <w:t> </w:t>
                            </w:r>
                          </w:p>
                          <w:p>
                            <w:pPr>
                              <w:pStyle w:val="TableContents"/>
                              <w:spacing w:before="0" w:after="20"/>
                              <w:rPr/>
                            </w:pPr>
                            <w:r>
                              <w:rPr/>
                              <w:t>☐</w:t>
                            </w:r>
                          </w:p>
                        </w:tc>
                        <w:tc>
                          <w:tcPr>
                            <w:tcW w:w="196" w:type="dxa"/>
                            <w:tcBorders>
                              <w:bottom w:val="single" w:sz="2" w:space="0" w:color="000000"/>
                            </w:tcBorders>
                            <w:shd w:fill="auto" w:val="clear"/>
                            <w:tcMar>
                              <w:bottom w:w="28" w:type="dxa"/>
                            </w:tcMar>
                            <w:vAlign w:val="bottom"/>
                          </w:tcPr>
                          <w:p>
                            <w:pPr>
                              <w:pStyle w:val="TableContents"/>
                              <w:spacing w:before="0" w:after="283"/>
                              <w:rPr/>
                            </w:pPr>
                            <w:r>
                              <w:rPr/>
                              <w:t>  </w:t>
                            </w:r>
                          </w:p>
                        </w:tc>
                        <w:tc>
                          <w:tcPr>
                            <w:tcW w:w="4507"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MAIL DRS STATEMENT(S) (OR SHARE CERTIFICATE(S)) REPRESENTING SHARES AND ANY CHEQUES TO A DIFFERENT ADDRESS (MUST COMPLETE BOX C)</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8361680"/>
                <wp:effectExtent l="0" t="0" r="0" b="0"/>
                <wp:wrapSquare wrapText="largest"/>
                <wp:docPr id="92" name="Frame2"/>
                <a:graphic xmlns:a="http://schemas.openxmlformats.org/drawingml/2006/main">
                  <a:graphicData uri="http://schemas.microsoft.com/office/word/2010/wordprocessingShape">
                    <wps:wsp>
                      <wps:cNvSpPr txBox="1"/>
                      <wps:spPr>
                        <a:xfrm>
                          <a:off x="0" y="0"/>
                          <a:ext cx="3175000" cy="8361680"/>
                        </a:xfrm>
                        <a:prstGeom prst="rect"/>
                      </wps:spPr>
                      <wps:txbx>
                        <w:txbxContent>
                          <w:tbl>
                            <w:tblPr>
                              <w:tblW w:w="4950" w:type="pct"/>
                              <w:jc w:val="left"/>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top w:val="single" w:sz="2" w:space="0" w:color="000000"/>
                                    <w:left w:val="single" w:sz="2" w:space="0" w:color="000000"/>
                                    <w:right w:val="single" w:sz="2" w:space="0" w:color="000000"/>
                                  </w:tcBorders>
                                  <w:shd w:fill="auto" w:val="clear"/>
                                  <w:tcMar>
                                    <w:top w:w="28" w:type="dxa"/>
                                    <w:left w:w="160" w:type="dxa"/>
                                    <w:right w:w="40" w:type="dxa"/>
                                  </w:tcMar>
                                  <w:vAlign w:val="bottom"/>
                                </w:tcPr>
                                <w:p>
                                  <w:pPr>
                                    <w:pStyle w:val="TableContents"/>
                                    <w:spacing w:before="0" w:after="0"/>
                                    <w:rPr/>
                                  </w:pPr>
                                  <w:r>
                                    <w:rPr/>
                                    <w:t> </w:t>
                                  </w:r>
                                </w:p>
                                <w:p>
                                  <w:pPr>
                                    <w:pStyle w:val="TableContents"/>
                                    <w:spacing w:before="0" w:after="20"/>
                                    <w:jc w:val="center"/>
                                    <w:rPr>
                                      <w:rFonts w:ascii="Times New Roman" w:hAnsi="Times New Roman"/>
                                      <w:b/>
                                      <w:sz w:val="20"/>
                                    </w:rPr>
                                  </w:pPr>
                                  <w:r>
                                    <w:rPr>
                                      <w:rFonts w:ascii="Times New Roman" w:hAnsi="Times New Roman"/>
                                      <w:b/>
                                      <w:sz w:val="20"/>
                                    </w:rPr>
                                    <w:t>BOX C</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0"/>
                                    <w:jc w:val="center"/>
                                    <w:rPr>
                                      <w:rFonts w:ascii="Times New Roman" w:hAnsi="Times New Roman"/>
                                      <w:i/>
                                      <w:sz w:val="20"/>
                                    </w:rPr>
                                  </w:pPr>
                                  <w:r>
                                    <w:rPr>
                                      <w:rFonts w:ascii="Times New Roman" w:hAnsi="Times New Roman"/>
                                      <w:i/>
                                      <w:sz w:val="20"/>
                                    </w:rPr>
                                    <w:t>ISSUE SHARES AND CHEQUES</w:t>
                                  </w:r>
                                </w:p>
                                <w:p>
                                  <w:pPr>
                                    <w:pStyle w:val="TableContents"/>
                                    <w:spacing w:before="0" w:after="20"/>
                                    <w:jc w:val="center"/>
                                    <w:rPr>
                                      <w:rFonts w:ascii="Times New Roman" w:hAnsi="Times New Roman"/>
                                      <w:i/>
                                      <w:sz w:val="20"/>
                                    </w:rPr>
                                  </w:pPr>
                                  <w:r>
                                    <w:rPr>
                                      <w:rFonts w:ascii="Times New Roman" w:hAnsi="Times New Roman"/>
                                      <w:i/>
                                      <w:sz w:val="20"/>
                                    </w:rPr>
                                    <w:t>IN THE NAME OF*:</w:t>
                                  </w:r>
                                </w:p>
                              </w:tc>
                            </w:tr>
                            <w:tr>
                              <w:trPr>
                                <w:trHeight w:val="12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0"/>
                                    <w:rPr/>
                                  </w:pPr>
                                  <w:r>
                                    <w:rPr/>
                                    <w:t>☐   </w:t>
                                  </w:r>
                                  <w:r>
                                    <w:rPr>
                                      <w:rFonts w:ascii="Times New Roman" w:hAnsi="Times New Roman"/>
                                      <w:b/>
                                      <w:sz w:val="20"/>
                                    </w:rPr>
                                    <w:t>CHECK BOX IF SAME AS EXISTING REGISTRATION (</w:t>
                                  </w:r>
                                  <w:r>
                                    <w:rPr>
                                      <w:rFonts w:ascii="Times New Roman" w:hAnsi="Times New Roman"/>
                                      <w:b/>
                                      <w:sz w:val="20"/>
                                      <w:u w:val="single"/>
                                    </w:rPr>
                                    <w:t>DEFAULT</w:t>
                                  </w:r>
                                  <w:r>
                                    <w:rPr>
                                      <w:rFonts w:ascii="Times New Roman" w:hAnsi="Times New Roman"/>
                                      <w:b/>
                                      <w:sz w:val="20"/>
                                    </w:rPr>
                                    <w:t xml:space="preserve">) </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(NAME)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(STREET NUMBER &amp; NAME)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(CITY AND PROVINCE/STATE)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(COUNTRY AND POSTAL/ZIP CODE)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(TELEPHONE NUMBER (BUSINESS HOURS))</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(SOCIAL INSURANCE/TIN)</w:t>
                                  </w:r>
                                </w:p>
                              </w:tc>
                            </w:tr>
                            <w:tr>
                              <w:trPr/>
                              <w:tc>
                                <w:tcPr>
                                  <w:tcW w:w="4950" w:type="dxa"/>
                                  <w:tcBorders>
                                    <w:left w:val="single" w:sz="2" w:space="0" w:color="000000"/>
                                    <w:bottom w:val="single" w:sz="2" w:space="0" w:color="000000"/>
                                    <w:right w:val="single" w:sz="2" w:space="0" w:color="000000"/>
                                  </w:tcBorders>
                                  <w:shd w:fill="auto" w:val="clear"/>
                                  <w:tcMar>
                                    <w:left w:w="160" w:type="dxa"/>
                                    <w:bottom w:w="28" w:type="dxa"/>
                                    <w:right w:w="40" w:type="dxa"/>
                                  </w:tcMar>
                                  <w:vAlign w:val="bottom"/>
                                </w:tcPr>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 IF THIS NAME OR ADDRESS IS DIFFERENT FROM YOUR REGISTRATION, PLEASE PROVIDE SUPPORTING TRASFER REQUIREMENTS (SEE INSTRUCTION SECTION 3, 4 or 5)</w:t>
                                  </w:r>
                                </w:p>
                                <w:p>
                                  <w:pPr>
                                    <w:pStyle w:val="TableContents"/>
                                    <w:spacing w:before="0" w:after="20"/>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8.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50" w:type="pct"/>
                        <w:jc w:val="left"/>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top w:val="single" w:sz="2" w:space="0" w:color="000000"/>
                              <w:left w:val="single" w:sz="2" w:space="0" w:color="000000"/>
                              <w:right w:val="single" w:sz="2" w:space="0" w:color="000000"/>
                            </w:tcBorders>
                            <w:shd w:fill="auto" w:val="clear"/>
                            <w:tcMar>
                              <w:top w:w="28" w:type="dxa"/>
                              <w:left w:w="160" w:type="dxa"/>
                              <w:right w:w="40" w:type="dxa"/>
                            </w:tcMar>
                            <w:vAlign w:val="bottom"/>
                          </w:tcPr>
                          <w:p>
                            <w:pPr>
                              <w:pStyle w:val="TableContents"/>
                              <w:spacing w:before="0" w:after="0"/>
                              <w:rPr/>
                            </w:pPr>
                            <w:r>
                              <w:rPr/>
                              <w:t> </w:t>
                            </w:r>
                          </w:p>
                          <w:p>
                            <w:pPr>
                              <w:pStyle w:val="TableContents"/>
                              <w:spacing w:before="0" w:after="20"/>
                              <w:jc w:val="center"/>
                              <w:rPr>
                                <w:rFonts w:ascii="Times New Roman" w:hAnsi="Times New Roman"/>
                                <w:b/>
                                <w:sz w:val="20"/>
                              </w:rPr>
                            </w:pPr>
                            <w:r>
                              <w:rPr>
                                <w:rFonts w:ascii="Times New Roman" w:hAnsi="Times New Roman"/>
                                <w:b/>
                                <w:sz w:val="20"/>
                              </w:rPr>
                              <w:t>BOX C</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0"/>
                              <w:jc w:val="center"/>
                              <w:rPr>
                                <w:rFonts w:ascii="Times New Roman" w:hAnsi="Times New Roman"/>
                                <w:i/>
                                <w:sz w:val="20"/>
                              </w:rPr>
                            </w:pPr>
                            <w:r>
                              <w:rPr>
                                <w:rFonts w:ascii="Times New Roman" w:hAnsi="Times New Roman"/>
                                <w:i/>
                                <w:sz w:val="20"/>
                              </w:rPr>
                              <w:t>ISSUE SHARES AND CHEQUES</w:t>
                            </w:r>
                          </w:p>
                          <w:p>
                            <w:pPr>
                              <w:pStyle w:val="TableContents"/>
                              <w:spacing w:before="0" w:after="20"/>
                              <w:jc w:val="center"/>
                              <w:rPr>
                                <w:rFonts w:ascii="Times New Roman" w:hAnsi="Times New Roman"/>
                                <w:i/>
                                <w:sz w:val="20"/>
                              </w:rPr>
                            </w:pPr>
                            <w:r>
                              <w:rPr>
                                <w:rFonts w:ascii="Times New Roman" w:hAnsi="Times New Roman"/>
                                <w:i/>
                                <w:sz w:val="20"/>
                              </w:rPr>
                              <w:t>IN THE NAME OF*:</w:t>
                            </w:r>
                          </w:p>
                        </w:tc>
                      </w:tr>
                      <w:tr>
                        <w:trPr>
                          <w:trHeight w:val="12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0"/>
                              <w:rPr/>
                            </w:pPr>
                            <w:r>
                              <w:rPr/>
                              <w:t>☐   </w:t>
                            </w:r>
                            <w:r>
                              <w:rPr>
                                <w:rFonts w:ascii="Times New Roman" w:hAnsi="Times New Roman"/>
                                <w:b/>
                                <w:sz w:val="20"/>
                              </w:rPr>
                              <w:t>CHECK BOX IF SAME AS EXISTING REGISTRATION (</w:t>
                            </w:r>
                            <w:r>
                              <w:rPr>
                                <w:rFonts w:ascii="Times New Roman" w:hAnsi="Times New Roman"/>
                                <w:b/>
                                <w:sz w:val="20"/>
                                <w:u w:val="single"/>
                              </w:rPr>
                              <w:t>DEFAULT</w:t>
                            </w:r>
                            <w:r>
                              <w:rPr>
                                <w:rFonts w:ascii="Times New Roman" w:hAnsi="Times New Roman"/>
                                <w:b/>
                                <w:sz w:val="20"/>
                              </w:rPr>
                              <w:t xml:space="preserve">) </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(NAME)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(STREET NUMBER &amp; NAME)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(CITY AND PROVINCE/STATE)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(COUNTRY AND POSTAL/ZIP CODE)</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(TELEPHONE NUMBER (BUSINESS HOURS))</w:t>
                            </w:r>
                          </w:p>
                        </w:tc>
                      </w:tr>
                      <w:tr>
                        <w:trPr>
                          <w:trHeight w:val="240" w:hRule="atLeast"/>
                        </w:trPr>
                        <w:tc>
                          <w:tcPr>
                            <w:tcW w:w="4950" w:type="dxa"/>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4950" w:type="dxa"/>
                            <w:tcBorders>
                              <w:left w:val="single" w:sz="2" w:space="0" w:color="000000"/>
                              <w:right w:val="single" w:sz="2" w:space="0" w:color="000000"/>
                            </w:tcBorders>
                            <w:shd w:fill="auto" w:val="clear"/>
                            <w:tcMar>
                              <w:left w:w="160" w:type="dxa"/>
                              <w:right w:w="40" w:type="dxa"/>
                            </w:tcMar>
                          </w:tcPr>
                          <w:p>
                            <w:pPr>
                              <w:pStyle w:val="TableContents"/>
                              <w:pBdr>
                                <w:bottom w:val="single" w:sz="2" w:space="1" w:color="000000"/>
                              </w:pBdr>
                              <w:spacing w:before="0" w:after="20"/>
                              <w:rPr/>
                            </w:pPr>
                            <w:r>
                              <w:rPr/>
                              <w:t> </w:t>
                            </w:r>
                          </w:p>
                        </w:tc>
                      </w:tr>
                      <w:tr>
                        <w:trPr/>
                        <w:tc>
                          <w:tcPr>
                            <w:tcW w:w="4950" w:type="dxa"/>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(SOCIAL INSURANCE/TIN)</w:t>
                            </w:r>
                          </w:p>
                        </w:tc>
                      </w:tr>
                      <w:tr>
                        <w:trPr/>
                        <w:tc>
                          <w:tcPr>
                            <w:tcW w:w="4950" w:type="dxa"/>
                            <w:tcBorders>
                              <w:left w:val="single" w:sz="2" w:space="0" w:color="000000"/>
                              <w:bottom w:val="single" w:sz="2" w:space="0" w:color="000000"/>
                              <w:right w:val="single" w:sz="2" w:space="0" w:color="000000"/>
                            </w:tcBorders>
                            <w:shd w:fill="auto" w:val="clear"/>
                            <w:tcMar>
                              <w:left w:w="160" w:type="dxa"/>
                              <w:bottom w:w="28" w:type="dxa"/>
                              <w:right w:w="40" w:type="dxa"/>
                            </w:tcMar>
                            <w:vAlign w:val="bottom"/>
                          </w:tcPr>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 IF THIS NAME OR ADDRESS IS DIFFERENT FROM YOUR REGISTRATION, PLEASE PROVIDE SUPPORTING TRASFER REQUIREMENTS (SEE INSTRUCTION SECTION 3, 4 or 5)</w:t>
                            </w:r>
                          </w:p>
                          <w:p>
                            <w:pPr>
                              <w:pStyle w:val="TableContents"/>
                              <w:spacing w:before="0" w:after="20"/>
                              <w:jc w:val="left"/>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BOX D </w:t>
      </w:r>
    </w:p>
    <w:p>
      <w:pPr>
        <w:pStyle w:val="TextBody"/>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STATUS AS U.S. SHAREHOLDER </w:t>
      </w:r>
    </w:p>
    <w:p>
      <w:pPr>
        <w:pStyle w:val="TextBody"/>
        <w:spacing w:before="0" w:after="0"/>
        <w:jc w:val="center"/>
        <w:rPr>
          <w:rFonts w:ascii="Times New Roman" w:hAnsi="Times New Roman"/>
          <w:sz w:val="20"/>
          <w:bdr w:val="single" w:sz="2" w:space="2" w:color="000000"/>
        </w:rPr>
      </w:pPr>
      <w:r>
        <w:rPr>
          <w:rFonts w:ascii="Times New Roman" w:hAnsi="Times New Roman"/>
          <w:b/>
          <w:sz w:val="20"/>
          <w:bdr w:val="single" w:sz="2" w:space="2" w:color="000000"/>
        </w:rPr>
        <w:t>(</w:t>
      </w:r>
      <w:r>
        <w:rPr>
          <w:rFonts w:ascii="Times New Roman" w:hAnsi="Times New Roman"/>
          <w:b/>
          <w:i/>
          <w:sz w:val="20"/>
          <w:bdr w:val="single" w:sz="2" w:space="2" w:color="000000"/>
        </w:rPr>
        <w:t>All registered shareholders must complete Box D</w:t>
      </w:r>
      <w:r>
        <w:rPr>
          <w:rFonts w:ascii="Times New Roman" w:hAnsi="Times New Roman"/>
          <w:b/>
          <w:sz w:val="20"/>
          <w:bdr w:val="single" w:sz="2" w:space="2" w:color="000000"/>
        </w:rPr>
        <w:t xml:space="preserve">) </w:t>
      </w:r>
    </w:p>
    <w:p>
      <w:pPr>
        <w:pStyle w:val="TextBody"/>
        <w:spacing w:before="240" w:after="0"/>
        <w:jc w:val="left"/>
        <w:rPr>
          <w:rFonts w:ascii="Times New Roman" w:hAnsi="Times New Roman"/>
          <w:sz w:val="20"/>
          <w:bdr w:val="single" w:sz="2" w:space="2" w:color="000000"/>
        </w:rPr>
      </w:pPr>
      <w:r>
        <w:rPr>
          <w:rFonts w:ascii="Times New Roman" w:hAnsi="Times New Roman"/>
          <w:b/>
          <w:sz w:val="20"/>
          <w:bdr w:val="single" w:sz="2" w:space="2" w:color="000000"/>
        </w:rPr>
        <w:t>Indicate whether you are a U.S. shareholder or are acting on behalf of a U.S. shareholder by placing an X in the applicable box below.</w:t>
      </w:r>
      <w:r>
        <w:rPr>
          <w:rFonts w:ascii="Times New Roman" w:hAnsi="Times New Roman"/>
          <w:sz w:val="20"/>
          <w:bdr w:val="single" w:sz="2" w:space="2" w:color="000000"/>
        </w:rPr>
        <w:t xml:space="preserve"> A U.S. shareholder is any holder of shares that is either (a) a person whose address (as it appears on the register of shareholders of the Company) is located within the United States or any territory or possession thereof or is providing an address in Box B or C that is located within the United States or any territory or possession thereof or (b) a U.S. person for U.S. federal income tax purposes, as defined below in Instruction 10. </w:t>
      </w:r>
    </w:p>
    <w:p>
      <w:pPr>
        <w:pStyle w:val="TextBody"/>
        <w:spacing w:before="240" w:after="0"/>
        <w:jc w:val="left"/>
        <w:rPr>
          <w:bdr w:val="single" w:sz="2" w:space="2" w:color="000000"/>
        </w:rPr>
      </w:pPr>
      <w:r>
        <w:rPr>
          <w:bdr w:val="single" w:sz="2" w:space="2" w:color="000000"/>
        </w:rPr>
        <w:t xml:space="preserve">☐   </w:t>
      </w:r>
      <w:r>
        <w:rPr>
          <w:rFonts w:ascii="Times New Roman" w:hAnsi="Times New Roman"/>
          <w:sz w:val="20"/>
          <w:bdr w:val="single" w:sz="2" w:space="2" w:color="000000"/>
        </w:rPr>
        <w:t xml:space="preserve">The person signing this Letter of Transmittal is not a U.S. shareholder and is not acting on behalf of a U.S. shareholder. </w:t>
      </w:r>
    </w:p>
    <w:p>
      <w:pPr>
        <w:pStyle w:val="TextBody"/>
        <w:spacing w:before="120" w:after="0"/>
        <w:jc w:val="left"/>
        <w:rPr>
          <w:bdr w:val="single" w:sz="2" w:space="2" w:color="000000"/>
        </w:rPr>
      </w:pPr>
      <w:r>
        <w:rPr>
          <w:bdr w:val="single" w:sz="2" w:space="2" w:color="000000"/>
        </w:rPr>
        <w:t xml:space="preserve">☐   </w:t>
      </w:r>
      <w:r>
        <w:rPr>
          <w:rFonts w:ascii="Times New Roman" w:hAnsi="Times New Roman"/>
          <w:sz w:val="20"/>
          <w:bdr w:val="single" w:sz="2" w:space="2" w:color="000000"/>
        </w:rPr>
        <w:t xml:space="preserve">The person signing this Letter of Transmittal is a U.S. shareholder or is acting on behalf of a U.S. shareholder. </w:t>
      </w:r>
    </w:p>
    <w:p>
      <w:pPr>
        <w:pStyle w:val="TextBody"/>
        <w:pBdr/>
        <w:spacing w:before="24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If you are a U.S. person or are acting on behalf of a U.S. person, then to avoid U.S. backup withholding, you must complete the enclosed IRS Form W-9 or otherwise certify exemption from backup withholding. If you are a U.S. shareholder but you are not a U.S. person for U.S. federal income tax purposes, then you must complete the appropriate IRS Form W-8 to avoid backup withholding. If you require an IRS Form W-8, please contact the Depositary or download the appropriate IRS Form W-8 at </w:t>
      </w:r>
      <w:r>
        <w:rPr>
          <w:rFonts w:ascii="Times New Roman" w:hAnsi="Times New Roman"/>
          <w:b/>
          <w:sz w:val="20"/>
          <w:u w:val="single"/>
          <w:bdr w:val="single" w:sz="2" w:space="2" w:color="000000"/>
        </w:rPr>
        <w:t>www.irs.gov</w:t>
      </w:r>
      <w:r>
        <w:rPr>
          <w:rFonts w:ascii="Times New Roman" w:hAnsi="Times New Roman"/>
          <w:b/>
          <w:sz w:val="20"/>
          <w:bdr w:val="single" w:sz="2" w:space="2" w:color="00000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tbl>
      <w:tblPr>
        <w:tblW w:w="4950" w:type="pct"/>
        <w:jc w:val="left"/>
        <w:tblInd w:w="0" w:type="dxa"/>
        <w:tblCellMar>
          <w:top w:w="0" w:type="dxa"/>
          <w:left w:w="0" w:type="dxa"/>
          <w:bottom w:w="0" w:type="dxa"/>
          <w:right w:w="0" w:type="dxa"/>
        </w:tblCellMar>
      </w:tblPr>
      <w:tblGrid>
        <w:gridCol w:w="10102"/>
      </w:tblGrid>
      <w:tr>
        <w:trPr/>
        <w:tc>
          <w:tcPr>
            <w:tcW w:w="10102" w:type="dxa"/>
            <w:tcBorders/>
            <w:shd w:fill="auto" w:val="clear"/>
            <w:vAlign w:val="center"/>
          </w:tcPr>
          <w:p>
            <w:pPr>
              <w:pStyle w:val="TableContents"/>
              <w:spacing w:before="0" w:after="283"/>
              <w:rPr>
                <w:sz w:val="4"/>
                <w:szCs w:val="4"/>
              </w:rPr>
            </w:pPr>
            <w:r>
              <w:rPr>
                <w:sz w:val="4"/>
                <w:szCs w:val="4"/>
              </w:rPr>
            </w:r>
          </w:p>
        </w:tc>
      </w:tr>
      <w:tr>
        <w:trPr/>
        <w:tc>
          <w:tcPr>
            <w:tcW w:w="10102"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40" w:type="dxa"/>
            </w:tcMar>
          </w:tcPr>
          <w:p>
            <w:pPr>
              <w:pStyle w:val="TableContents"/>
              <w:spacing w:before="0" w:after="0"/>
              <w:jc w:val="center"/>
              <w:rPr>
                <w:rFonts w:ascii="Times New Roman" w:hAnsi="Times New Roman"/>
                <w:b/>
                <w:sz w:val="20"/>
              </w:rPr>
            </w:pPr>
            <w:r>
              <w:rPr>
                <w:rFonts w:ascii="Times New Roman" w:hAnsi="Times New Roman"/>
                <w:b/>
                <w:sz w:val="20"/>
              </w:rPr>
              <w:t>BOX E</w:t>
            </w:r>
          </w:p>
          <w:p>
            <w:pPr>
              <w:pStyle w:val="TableContents"/>
              <w:spacing w:before="0" w:after="0"/>
              <w:jc w:val="center"/>
              <w:rPr>
                <w:rFonts w:ascii="Times New Roman" w:hAnsi="Times New Roman"/>
                <w:i/>
                <w:sz w:val="20"/>
              </w:rPr>
            </w:pPr>
            <w:r>
              <w:rPr>
                <w:rFonts w:ascii="Times New Roman" w:hAnsi="Times New Roman"/>
                <w:i/>
                <w:sz w:val="20"/>
              </w:rPr>
              <w:t>LOST CERTIFICATES</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If your lost share certificate(s) (an Original) forms part of an estate or trust, or are valued at more than C$200,000.00, please contact the Depositary for additional instructions. Any person who, knowingly and with intent to defraud any insurance company or other person, files a statement of claim containing any materially false information or conceals for the purpose of misleading, information concerning any fact material thereto, commits a fraudulent insurance act, which is a crime.</w:t>
            </w:r>
          </w:p>
          <w:p>
            <w:pPr>
              <w:pStyle w:val="TableContents"/>
              <w:spacing w:before="0" w:after="0"/>
              <w:rPr>
                <w:rFonts w:ascii="Times New Roman" w:hAnsi="Times New Roman"/>
                <w:sz w:val="20"/>
              </w:rPr>
            </w:pPr>
            <w:r>
              <w:rPr>
                <w:rFonts w:ascii="Times New Roman" w:hAnsi="Times New Roman"/>
                <w:sz w:val="20"/>
              </w:rPr>
              <w:t>Premium Calculation: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Number of lost shares </w:t>
            </w:r>
            <w:r>
              <w:rPr>
                <w:rFonts w:ascii="Times New Roman" w:hAnsi="Times New Roman"/>
                <w:sz w:val="20"/>
                <w:u w:val="single"/>
              </w:rPr>
              <w:t>                </w:t>
            </w:r>
            <w:r>
              <w:rPr>
                <w:rFonts w:ascii="Times New Roman" w:hAnsi="Times New Roman"/>
                <w:sz w:val="20"/>
              </w:rPr>
              <w:t xml:space="preserve"> X C$5.3859 = Premium Payable $</w:t>
            </w:r>
            <w:r>
              <w:rPr>
                <w:rFonts w:ascii="Times New Roman" w:hAnsi="Times New Roman"/>
                <w:sz w:val="20"/>
                <w:u w:val="single"/>
              </w:rPr>
              <w:t>                </w:t>
            </w:r>
            <w:r>
              <w:rPr>
                <w:rFonts w:ascii="Times New Roman" w:hAnsi="Times New Roman"/>
                <w:sz w:val="20"/>
              </w:rPr>
              <w:t xml:space="preserve"> NOTE: Payment </w:t>
            </w:r>
            <w:r>
              <w:rPr>
                <w:rFonts w:ascii="Times New Roman" w:hAnsi="Times New Roman"/>
                <w:sz w:val="20"/>
                <w:u w:val="single"/>
              </w:rPr>
              <w:t>NOT</w:t>
            </w:r>
            <w:r>
              <w:rPr>
                <w:rFonts w:ascii="Times New Roman" w:hAnsi="Times New Roman"/>
                <w:sz w:val="20"/>
              </w:rPr>
              <w:t xml:space="preserve"> required if premium is less than C$5.00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option to replace your certificate by completing this Box D will expire one year from the Effective Date of the Plan of Arrangement. After this date, shareholders must contact the Depositary for alternative replacement options. I enclose my certified cheque, bank draft or money order payable to Computershare Investor Services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STATEMENT OF LOST CERTIFICATES: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undersigned (solitarily, jointly and severally, if more than one) represents and agrees to the following: (i) the undersigned is (and, if applicable, the registered owner of the Original(s), at the time of their death, was) the lawful and unconditional owner of the Original(s) and is entitled to the full and exclusive possession thereof; (ii) the missing certificate(s) representing the Original(s) have been lost, stolen or destroyed, and have not been endorsed, cashed, negotiated, transferred, assigned, pledged, hypothecated, encumbered in any way, or otherwise disposed of; (iii) a diligent search for the certificate(s) has been made and they have not been found; and (iv) the undersigned makes this Statement for the purpose of transferring or exchanging the Original(s) (including, if applicable, without probate or letters of administration or certification of estate trustee(s) or similar documentation having been granted by any court), and hereby agrees to surrender the certificate(s) representing the Original(s) for cancellation should the undersigned, at any time, find the certificate(s).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undersigned hereby agrees, for myself and my heirs, assigns and personal representatives, in consideration of the transfer or exchange of the Original(s), to completely indemnify, protect and hold harmless Thomson Reuters Corporation, Computershare Investor Services Inc., Aviva Insurance Company of Canada, each of their lawful successors and assigns, and any other party to the transaction (the Obligees), from and against all losses, costs and damages, including court costs and attorneys fees that they may be subject to or liable for in respect of the cancellation and/or replacement of the Original(s) and/or the certificate(s) representing the Original(s) and/ or the transfer or exchange of the Original(s) represented thereby, upon the transfer, exchange or issue of the Original(s) and/or a cheque for any cash payment. The rights accruing to the Obligees under the preceding sentence shall not be limited by the negligence, inadvertence, accident, oversight or breach of any duty or obligations on the part of the Obligees or their respective officers, employees and agents or their failure to inquire into, contest, or litigate any claim, whenever such negligence, inadvertence, accident, oversight, breach or failure may occur or have occurred. I acknowledge that a fee of C$5.3859 per lost share is payable by the undersigned. Surety protection for the Obligees is provided under Blanket Lost Original Instruments/Waiver of Probate or Administration Bond No. 35900-16 issued by Aviva Insurance Company of Canada.</w:t>
            </w:r>
          </w:p>
          <w:p>
            <w:pPr>
              <w:pStyle w:val="TableContents"/>
              <w:spacing w:before="0" w:after="0"/>
              <w:rPr/>
            </w:pPr>
            <w:r>
              <w:rPr/>
              <w:t> </w:t>
            </w:r>
          </w:p>
          <w:p>
            <w:pPr>
              <w:pStyle w:val="TableContents"/>
              <w:spacing w:before="0" w:after="20"/>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SHAREHOLDER SIGNATURE(S)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95"/>
        <w:gridCol w:w="105"/>
        <w:gridCol w:w="374"/>
        <w:gridCol w:w="121"/>
        <w:gridCol w:w="4806"/>
        <w:gridCol w:w="105"/>
        <w:gridCol w:w="199"/>
      </w:tblGrid>
      <w:tr>
        <w:trPr/>
        <w:tc>
          <w:tcPr>
            <w:tcW w:w="449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80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tcPr>
          <w:p>
            <w:pPr>
              <w:pStyle w:val="TableContents"/>
              <w:spacing w:before="0" w:after="283"/>
              <w:rPr/>
            </w:pPr>
            <w:r>
              <w:rPr/>
              <w:t>Signature guaranteed by</w:t>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rPr/>
            </w:pPr>
            <w:r>
              <w:rPr/>
              <w:t xml:space="preserve">Dated: </w:t>
            </w:r>
            <w:r>
              <w:rPr>
                <w:u w:val="single"/>
              </w:rPr>
              <w:t>                                </w:t>
            </w:r>
            <w:r>
              <w:rPr/>
              <w:t>, 2023</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r>
      <w:tr>
        <w:trPr/>
        <w:tc>
          <w:tcPr>
            <w:tcW w:w="4495" w:type="dxa"/>
            <w:tcBorders/>
            <w:shd w:fill="auto" w:val="clear"/>
          </w:tcPr>
          <w:p>
            <w:pPr>
              <w:pStyle w:val="TableContents"/>
              <w:spacing w:before="0" w:after="283"/>
              <w:rPr/>
            </w:pPr>
            <w:r>
              <w:rPr/>
              <w:t>(if required under Instruction 4)</w:t>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0"/>
              <w:rPr/>
            </w:pPr>
            <w:r>
              <w:rPr/>
              <w:t> </w:t>
            </w:r>
          </w:p>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pBdr>
                <w:bottom w:val="single" w:sz="2" w:space="1" w:color="000000"/>
              </w:pBdr>
              <w:spacing w:before="0" w:after="0"/>
              <w:rPr/>
            </w:pPr>
            <w:r>
              <w:rPr/>
              <w:t> </w:t>
            </w:r>
          </w:p>
          <w:p>
            <w:pPr>
              <w:pStyle w:val="TableContents"/>
              <w:spacing w:before="0" w:after="20"/>
              <w:rPr>
                <w:rFonts w:ascii="Times New Roman" w:hAnsi="Times New Roman"/>
                <w:sz w:val="20"/>
              </w:rPr>
            </w:pPr>
            <w:r>
              <w:rPr>
                <w:rFonts w:ascii="Times New Roman" w:hAnsi="Times New Roman"/>
                <w:sz w:val="20"/>
              </w:rPr>
              <w:t>Authorized signature</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Signature of shareholder(s) or authorized</w:t>
            </w:r>
          </w:p>
          <w:p>
            <w:pPr>
              <w:pStyle w:val="TableContents"/>
              <w:spacing w:before="0" w:after="0"/>
              <w:rPr>
                <w:rFonts w:ascii="Times New Roman" w:hAnsi="Times New Roman"/>
                <w:sz w:val="20"/>
              </w:rPr>
            </w:pPr>
            <w:r>
              <w:rPr>
                <w:rFonts w:ascii="Times New Roman" w:hAnsi="Times New Roman"/>
                <w:sz w:val="20"/>
              </w:rPr>
              <w:t>representative(s)</w:t>
            </w:r>
          </w:p>
          <w:p>
            <w:pPr>
              <w:pStyle w:val="TableContents"/>
              <w:spacing w:before="0" w:after="20"/>
              <w:rPr>
                <w:rFonts w:ascii="Times New Roman" w:hAnsi="Times New Roman"/>
                <w:sz w:val="20"/>
              </w:rPr>
            </w:pPr>
            <w:r>
              <w:rPr>
                <w:rFonts w:ascii="Times New Roman" w:hAnsi="Times New Roman"/>
                <w:sz w:val="20"/>
              </w:rPr>
              <w:t>(See Instructions 3, 4 and 5)</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rHeight w:val="12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tcPr>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tcPr>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199" w:type="dxa"/>
            <w:tcBorders/>
            <w:shd w:fill="auto" w:val="clear"/>
          </w:tcPr>
          <w:p>
            <w:pPr>
              <w:pStyle w:val="TableContents"/>
              <w:spacing w:before="0" w:after="283"/>
              <w:rPr>
                <w:sz w:val="4"/>
                <w:szCs w:val="4"/>
              </w:rPr>
            </w:pPr>
            <w:r>
              <w:rPr>
                <w:sz w:val="4"/>
                <w:szCs w:val="4"/>
              </w:rPr>
            </w:r>
          </w:p>
        </w:tc>
      </w:tr>
      <w:tr>
        <w:trPr/>
        <w:tc>
          <w:tcPr>
            <w:tcW w:w="4495" w:type="dxa"/>
            <w:tcBorders/>
            <w:shd w:fill="auto" w:val="clear"/>
          </w:tcPr>
          <w:p>
            <w:pPr>
              <w:pStyle w:val="TableContents"/>
              <w:spacing w:before="0" w:after="283"/>
              <w:rPr/>
            </w:pPr>
            <w:r>
              <w:rPr/>
              <w:t>Name of guarantor (please print or type)</w:t>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rPr/>
            </w:pPr>
            <w:r>
              <w:rPr/>
              <w:t>Address</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tcPr>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199" w:type="dxa"/>
            <w:tcBorders/>
            <w:shd w:fill="auto" w:val="clear"/>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spacing w:before="0" w:after="283"/>
              <w:rPr/>
            </w:pPr>
            <w:r>
              <w:rPr/>
              <w:t>Address of guarantor (please print or type)</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rPr/>
            </w:pPr>
            <w:r>
              <w:rPr/>
              <w:t>Name of shareholder(s) (please print or type)</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rHeight w:val="12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rPr/>
            </w:pPr>
            <w:r>
              <w:rPr/>
              <w:t>Shareholder ID number(s) (10 digit number)</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rHeight w:val="24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jc w:val="center"/>
              <w:rPr/>
            </w:pPr>
            <w:r>
              <w:rPr/>
              <w:t>c - - - - - - - - - - .</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c>
          <w:tcPr>
            <w:tcW w:w="449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jc w:val="center"/>
              <w:rPr/>
            </w:pPr>
            <w:r>
              <w:rPr/>
              <w:t>c - - - - - - - - - - .</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rHeight w:val="12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tcPr>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199" w:type="dxa"/>
            <w:tcBorders/>
            <w:shd w:fill="auto" w:val="clear"/>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283"/>
              <w:rPr/>
            </w:pPr>
            <w:r>
              <w:rPr/>
              <w:t>Telephone number</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r>
        <w:trPr>
          <w:trHeight w:val="120" w:hRule="atLeast"/>
        </w:trPr>
        <w:tc>
          <w:tcPr>
            <w:tcW w:w="4495" w:type="dxa"/>
            <w:tcBorders/>
            <w:shd w:fill="auto" w:val="clear"/>
            <w:vAlign w:val="center"/>
          </w:tcPr>
          <w:p>
            <w:pPr>
              <w:pStyle w:val="TableContents"/>
              <w:spacing w:before="0" w:after="283"/>
              <w:rPr>
                <w:sz w:val="4"/>
                <w:szCs w:val="4"/>
              </w:rPr>
            </w:pPr>
            <w:r>
              <w:rPr>
                <w:sz w:val="4"/>
                <w:szCs w:val="4"/>
              </w:rPr>
            </w:r>
          </w:p>
        </w:tc>
        <w:tc>
          <w:tcPr>
            <w:tcW w:w="479" w:type="dxa"/>
            <w:gridSpan w:val="2"/>
            <w:tcBorders/>
            <w:shd w:fill="auto" w:val="clear"/>
            <w:vAlign w:val="center"/>
          </w:tcPr>
          <w:p>
            <w:pPr>
              <w:pStyle w:val="TableContents"/>
              <w:spacing w:before="0" w:after="283"/>
              <w:rPr>
                <w:sz w:val="4"/>
                <w:szCs w:val="4"/>
              </w:rPr>
            </w:pPr>
            <w:r>
              <w:rPr>
                <w:sz w:val="4"/>
                <w:szCs w:val="4"/>
              </w:rPr>
            </w:r>
          </w:p>
        </w:tc>
        <w:tc>
          <w:tcPr>
            <w:tcW w:w="4927" w:type="dxa"/>
            <w:gridSpan w:val="2"/>
            <w:tcBorders/>
            <w:shd w:fill="auto" w:val="clear"/>
            <w:vAlign w:val="center"/>
          </w:tcPr>
          <w:p>
            <w:pPr>
              <w:pStyle w:val="TableContents"/>
              <w:spacing w:before="0" w:after="283"/>
              <w:rPr>
                <w:sz w:val="4"/>
                <w:szCs w:val="4"/>
              </w:rPr>
            </w:pPr>
            <w:r>
              <w:rPr>
                <w:sz w:val="4"/>
                <w:szCs w:val="4"/>
              </w:rPr>
            </w:r>
          </w:p>
        </w:tc>
        <w:tc>
          <w:tcPr>
            <w:tcW w:w="304" w:type="dxa"/>
            <w:gridSpan w:val="2"/>
            <w:tcBorders/>
            <w:shd w:fill="auto" w:val="clear"/>
            <w:vAlign w:val="center"/>
          </w:tcPr>
          <w:p>
            <w:pPr>
              <w:pStyle w:val="TableContents"/>
              <w:spacing w:before="0" w:after="283"/>
              <w:rPr>
                <w:sz w:val="4"/>
                <w:szCs w:val="4"/>
              </w:rPr>
            </w:pPr>
            <w:r>
              <w:rPr>
                <w:sz w:val="4"/>
                <w:szCs w:val="4"/>
              </w:rPr>
            </w:r>
          </w:p>
        </w:tc>
      </w:tr>
      <w:tr>
        <w:trPr/>
        <w:tc>
          <w:tcPr>
            <w:tcW w:w="4495"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tcPr>
          <w:p>
            <w:pPr>
              <w:pStyle w:val="TableContents"/>
              <w:pBdr>
                <w:bottom w:val="single" w:sz="2" w:space="1" w:color="000000"/>
              </w:pBdr>
              <w:spacing w:before="0" w:after="20"/>
              <w:rPr/>
            </w:pPr>
            <w:r>
              <w:rPr/>
              <w:t> </w:t>
            </w:r>
          </w:p>
        </w:tc>
        <w:tc>
          <w:tcPr>
            <w:tcW w:w="105" w:type="dxa"/>
            <w:tcBorders/>
            <w:shd w:fill="auto" w:val="clear"/>
            <w:vAlign w:val="bottom"/>
          </w:tcPr>
          <w:p>
            <w:pPr>
              <w:pStyle w:val="TableContents"/>
              <w:spacing w:before="0" w:after="283"/>
              <w:rPr/>
            </w:pPr>
            <w:r>
              <w:rPr/>
              <w:t> </w:t>
            </w:r>
          </w:p>
        </w:tc>
        <w:tc>
          <w:tcPr>
            <w:tcW w:w="199" w:type="dxa"/>
            <w:tcBorders/>
            <w:shd w:fill="auto" w:val="clear"/>
          </w:tcPr>
          <w:p>
            <w:pPr>
              <w:pStyle w:val="TableContents"/>
              <w:spacing w:before="0" w:after="283"/>
              <w:rPr>
                <w:sz w:val="4"/>
                <w:szCs w:val="4"/>
              </w:rPr>
            </w:pPr>
            <w:r>
              <w:rPr>
                <w:sz w:val="4"/>
                <w:szCs w:val="4"/>
              </w:rPr>
            </w:r>
          </w:p>
        </w:tc>
      </w:tr>
      <w:tr>
        <w:trPr/>
        <w:tc>
          <w:tcPr>
            <w:tcW w:w="449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0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of authorized representative(s), if</w:t>
            </w:r>
          </w:p>
          <w:p>
            <w:pPr>
              <w:pStyle w:val="TableContents"/>
              <w:spacing w:before="0" w:after="20"/>
              <w:rPr>
                <w:rFonts w:ascii="Times New Roman" w:hAnsi="Times New Roman"/>
                <w:sz w:val="20"/>
              </w:rPr>
            </w:pPr>
            <w:r>
              <w:rPr>
                <w:rFonts w:ascii="Times New Roman" w:hAnsi="Times New Roman"/>
                <w:sz w:val="20"/>
              </w:rPr>
              <w:t>applicable (please print or type)</w:t>
            </w:r>
          </w:p>
        </w:tc>
        <w:tc>
          <w:tcPr>
            <w:tcW w:w="10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October 2018) Request for Taxpayer Identification Number and Certification Give Form to the requester. Do not Department of the Treasury send to the IRS. Internal Revenue Service Go to www.irs.gov/FormW9 for instructions and the latest information. 1 Name (as shown on your income tax return). Name is required on this line; do not leave this line blank. 2 Business name/disregarded entity name, if different from above single-member LLC 3 Check appropriate box for federal tax classification of the person whose name is entered on line 1. Check only one of the following seven boxes. Individual/sole proprietor or C Corporation S Corporation Partnership Tust/estate 4 Exemptions (codes apply only to certain entities, not individuals; see instructions on page 3): Exempt payee code (if any) Limited liability company. Enter tee tax classification (C=C corporation S=S corporation, P=Partnership) Note: Check the appropriate box in the line above for the tax classification of the single-member owner. Do not check LLC if the LLC is classified as a single-member LLC that is disregarded from the owner unless the owner of the LLC is another LLC that is not disregarded from the owner for U.S. federal tax purposes. Otherwise, a single-member LLC that is disregarded from the owner should check the appropriate box for the tax classification of its owner. Exemption from FATCA reporting code (if any) Other (see instructions) (Applies to accounts maintained outside the U.S.) 5 Address (number, street, and apt. or suite no.) See instructions. 6 City, state, and ZIP code 7 List account number(s) here (optional) Requesters name and address (optional) Part I Taxpayer Identification Number (TIN) 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How to get a TIN, later. Note: If the account is in more than one name, see the instructions for line 1. Also see What Name and Number To Give the Requester for guidelines on whose number to enter. Social security number or Employer identification number Part ll Certification Under penalties of perjury, I certify that: 1. The number shown on this form is my correct taxpayer identification number (or I am waiting for a number to be issued to me); and 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 3. I am a U.S. citizen or other U.S. person (defined below); and 4. The FATCA code(s) entered on this form (if any) indicating that I am exempt from FATCA reporting is correct. Certification instructions.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 Sign Here Signature of U.S. person Date General Instructions Section references are to the Internal Revenue Code unless otherwise noted. Future developments. For the latest information about developments related to Form W-9 and its instructions, such as legislation enacted after they were published, go to www.irs.gov/FormW9. Purpose of Form An individual or entity (Form W-9 requester)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 Form 1099-INT (interest earned or paid) Form 1099-DIV (dividends, including those from stocks or mutual funds) Form 1099-MISC (various types of income, prizes, awards, or gross proceeds) Form 1099-B (stock or mutual fund sales and certain other transactions by brokers) Form 1099-S (proceeds from real estate transactions) Form 1099-K (merchant card and third party network transactions) Form 1098 (home mortgage interest), 1098-E (student loan interest), 1098-T (tuition) Form 1099-C (canceled debt) Form 1099-A (acquisition or abandonment of secured property) Use Form W-9 only if you are a U.S. person (including a resident alien), to provide your correct TIN. If you do not return Form W-9 to the requester with a TIN, you might be subject to backup withholding. See What is backup withholding, later. Cat. No. 10231X Form W-9 (Rev. 10-2018) Print or type. See Specific Instructions on page 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10-2018) Page 2 By signing the filled-out form, you: 1. Certify that the TIN you are giving is correct (or you are waiting for a number to be issued), 2. Certify that you are not subject to backup withholding, or 3. Claim exemption from backup withholding if you are a U.S. exempt payee. If applicable, you are also certifying that as a U.S. person, your allocable share of any partnership income from a U.S. trade or business is not subject to the withholding tax on foreign partners share of effectively connected income, and 4. Certify that FATCA code(s) entered on this form (if any) indicating that you are exempt from the FATCA reporting, is correct. See What is FATCA reporting, later, for further information. Note: If you are a U.S. person and a requester gives you a form other than Form W-9 to request your TIN, you must use the requesters form if it is substantially similar to this Form W-9. Definition of a U.S. person. For federal tax purposes, you are considered a U.S. person if you are: An individual who is a U.S. citizen or U.S. resident alien; A partnership, corporation, company, or association created or organized in the United States or under the laws of the United States; An estate (other than a foreign estate); or A domestic trust (as defined in Regulations section 301.7701 -7). Special rules for partnerships. Partnerships that conduct a trade or business in the United States are generally required to pay a withholding tax under section 1446 on any foreign partners share of effectively connected taxable income from such business. Further, in certain cases where a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Form W-9 to the partnership to establish your U.S. status and avoid section 1446 withholding on your share of partnership income. In the cases below, the following person must give Form W-9 to the partnership for purposes of establishing its U.S. status and avoiding withholding on its allocable share of net income from the partnership conducting a trade or business in the United States. In the case of a disregarded entity with a U.S. owner, the U.S. owner of the disregarded entity and not the entity; In the case of a grantor trust with a U.S. grantor or other U.S. owner, generally, the U.S. grantor or other U.S. owner of the grantor trust and not the trust; and In the case of a U.S. trust (other than a grantor trust), the U.S. trust (other than a grantor trust) and not the beneficiaries of the trust. Foreign person. If you are a foreign person or the U.S. branch of a foreign bank that has elected to be treated as a U.S. person, do not use Form W-9. Instead, use the appropriate Form W-8 or Form 8233 (see Pub. 515, Withholding of Tax on Nonresident Aliens and Foreign Entities). Nonresident alien who becomes a resident alien. Generally, only a 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 If you are a U.S. resident alien who is relying on an exception contained in the saving clause of a tax treaty to claim an exemption from U.S. tax on certain types of income, you must attach a statement to Form W-9 that specifies the following five items. 1. The treaty country. Generally, this must be the same treaty under which you claimed exemption from tax as a nonresident alien. 2. The treaty article addressing the income. 3. The article number (or location) in the tax treaty that contains the saving clause and its exceptions. 4. The type and amount of income that qualifies for the exemption from tax. 5. Sufficient facts to justify the exemption from tax under the terms of the treaty article. Example. Article 20 of the U.S.-China income tax treaty allows an exemption from tax for scholarship income received by a Chinese 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Form W-9 a statement that includes the information described above to support that exemption. If you are a nonresident alien or a foreign entity, give the requester the appropriate completed Form W-8 or Form 8233. Backup Withholding What is backup withholding? Persons making certain payments to you must under certain conditions withhold and pay to the IRS 24% of such payments. This is called backup withholding. Payments that may be subject to backup withholding include interest, tax-exempt interest, dividends, broker and barter exchange transactions, rents, royalties, nonemployee pay, payments made in settlement of payment card and third party network transactions, and certain payments from fishing boat operators. Real estate transactions are not subject to backup withholding. You will not be subject to backup withholding on payments you receive if you give the requester your correct TIN, make the proper certifications, and report all your taxable interest and dividends on your tax return. Payments you receive will be subject to backup withholding if: 1. You do not furnish your TIN to the requester, 2. You do not certify your TIN when required (see the instructions for Part II for details), 3. The IRS tells the requester that you furnished an incorrect TIN, 4. The IRS tells you that you are subject to backup withholding because you did not report all your interest and dividends on your tax return (for reportable interest and dividends only), or 5. You do not certify to the requester that you are not subject to backup withholding under 4 above (for reportable interest and dividend accounts opened after 1983 only). Certain payees and payments are exempt from backup withholding. See Exempt payee code, later, and the separate Instructions for the Requester of Form W-9 for more information. Also see Special rules for partnerships, earlier. What is FATCA Reporting? The Foreign Account Tax Compliance Act (FATCA) requires a participating foreign financial institution to report all United States account holders that are specified United States persons. Certain payees are exempt from FATCA reporting. See Exemption from FATCA reporting code, later, and the Instructions for the Requester of Form W-9 for more information. Updating Your Information 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no longer are tax exempt. In addition, you must furnish a new Form W-9 if the name or TIN changes for the account; for example, if the grantor of a grantor trust dies. Penalties Failure to furnish TIN. If you fail to furnish your correct TIN to a requester, you are subject to a penalty of $50 for each such failure unless your failure is due to reasonable cause and not to willful neglect. Civil penalty for false information with respect to withholding. If you make a false statement with no reasonable basis that results in no backup withholding, you are subject to a $500 penalty.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10-2018) Page 3 Criminal penalty for falsifying information. Willfully falsifying certifications or affirmations may subject you to criminal penalties including fines and/or imprisonment. Misuse of TINs. If the requester discloses or uses TINs in violation of federal law, the requester may be subject to civil and criminal penalties. Specific Instructions Line 1 You must enter one of the following on this line; do not leave this line blank. The name should match the name on your tax return. 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 a. Individual. Generally. enter the name shown on your tax return. If you have changed your last name without informing the Social Security Administration (SSA) of the name change, enter your first name, the last name as shown on your social security card, and your new last name. Note: ITIN applicant: Enter your individual name as it was entered on your Form W-7 application, line 1a. This should also be the same as the name you entered on the Form 1040/1040A/1040EZ you filed with your application. b. Sole proprietor or single-member LLC. Enter your individual name as shown on your 1040/1040A/1040EZ on line 1. You may enter your business, trade, or doing business as (DBA) name on line 2. c. Partnership, LLC that is not a single-member LLC, C corporation, or S corporation. Enter the entitys name as shown on the entitys tax return on line 1 and any business, trade, or DBA name on line 2. d. Other entities. Enter your name as shown on required U.S. federal tax documents on line 1. This name should match the name shown on the charter or other legal document creating the entity. You may enter any business, trade, or DBA name on line 2. e. Disregarded entity. For U.S. federal tax purposes, an entity that is disregarded as an entity separate from its owner is treated as a disregarded entity. See Regulations section 301.7701-2(c)(2)(iii). Enter the owners name on line 1. The name of the entity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Business name/disregarded entity name. If the owner of the disregarded entity is a foreign person, the owner must complete an appropriate Form W-8 instead of a Form W-9. This is the case even if the foreign person has a U.S. TIN. Line 2 If you have a business name, trade name, DBA name, or disregarded entity name, you may enter it on line 2. Line 3 Check the appropriate box on line 3 for the U.S. federal tax classification of the person whose name is entered on line 1. Check only one box on line 3. IF the entity/person on line 1 is a(n) . . . Corporation Individual Sole proprietorship, or Single-member limited liability company (LLC) owned by an individual and disregarded for U.S. federal tax purposes. LLC treated as a partnership for U.S. federal tax purposes. LLC that has filed Form 8832 or 2553 to be taxed as a corporation, or LLC that is disregarded as an entity separate from its owner but the owner is another LLC that is not disregarded for U.S. federal tax purposes. THEN check the box for Corporation Individual/sole proprietor or single- member LLC Limited liability company and enter the appropriate tax classification. (P= Partnership; C= C corporation; or S= S corporation) Partnership Partnership Trust/estate Trust/estate Line 4, Exemptions If you are exempt from backup withholding and/or FATCA reporting, enter in the appropriate space on line 4 any code(s) that may apply to you. Exempt payee code. Generally, individuals (including sole proprietors) are not exempt from backup withholding. Except as provided below, corporations are exempt from backup 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 The following codes identify payees that are exempt from backup withholding. Enter the appropriate code in the space in line 4. 1An organization exempt from tax under section 501 (a), any IRA, or a custodial account under section 403(b)(7) if the account satisfies the requirements of section 401 (f)(2) 2The United States or any of its agencies or instrumentalities 3A state, the District of Columbia, a U.S. commonwealth or possession, or any of their political subdivisions or instrumentalities 4A foreign government or any of its political subdivisions, agencies, or instrumentalities 5A corporation 6A dealer in securities or commodities required to register in the United States, the District of Columbia, or a U.S. commonwealth or possession 7A futures commission merchant registered with the Commodity Futures Trading Commission 8A real estate investment trust 9An entity registered at all times during the tax year under the Investment Company Act of 1940 10A common trust fund operated by a bank under section 584(a) 11A financial institution 12A middleman known in the investment community as a nominee or custodian 13A trust exempt from tax under section 664 or described in section 4947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10-2018) Page 4 The following chart shows types of payments that may be exempt from backup withholding. The chart applies to the exempt payees listed above, 1 through 13. IF the payment is for. Interest and dividend payments Broker transactions Barter exchange transactions and patronage dividends Payments over $600 required to be reported and direct sales over $5,0001 Payments made in settlement of payment card or third party network transactions THEN the payment is exempt for. All exempt payees except for 7 Exempt payees 1 through 4 and 6 through 11 and all C corporations. S corporations must not enter an exempt payee code because they are exempt only for sales of noncovered securities acquired prior to 2012. Exempt payees 1 through 4 Generally, exempt payees 1 through 52 Exempt payees 1 through 4 1 See Form 1099-MISC, Miscellaneous Income, and its instructions. 2 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 Exemption from FATCA reporting code. The following codes identify 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written or printed on the line for a FATCA exemption code. AAn organization exempt from tax under section 501(a) or any individual retirement plan as defined in section 7701(a)(37) BThe United states or any of its agencies or instrumentalities CA state, the District of Columbia, a U.S. commonwealth or possession, or any of their political subdivisions or instrumentalities DA corporation the stock of which is regularly traded on one or more established securities markets, as described in Regulations section 1.1472-1 (c)(1)(i) EA corporation that is a member of the same expanded affiliated group as a corporation described in Regulations section 1.1472-1 (c)(1)(i) FA dealer in securities, commodities, or derivative financial instruments (including notional principal contracts, futures, forwards, and options) that is registered as such under the laws of the United States or any state GA real estate investment trust HA regulated investment company as defined in section 851 or an entity registered at all times during the tax year under the Investment Company Act of 1940 IA common trust fund as defined in section 584(a) JA bank as defined in section 581 KA broker LA trust exempt from tax under section 664 or described in section 4947(a)(1) MA tax exempt trust under a section 403(b) plan or section 457(g) plan Note: You may wish to consult with the financial institution requesting this form to determine whether the FATCA code and/or exempt payee code should be completed. Line 5 Enter your address (number, street, and apartment or suite number). This is where the requester of this Form W-9 will mail your information returns. If this address differs from the one the requester already has on file, write NEW at the top. If a new address is provided, there is still a chance the old address will be used until the payor changes your address in their records. Line 6 Enter your oily, state, and ZIP code. Part I. Taxpayer Identification Number (TIN) Enter your TIN in the appropriate box. If you are a resident alien and you do not have and are not eligible to get an SSN, your TIN is your IRS individual taxpayer identification number (ITIN). Enter it in the social security number box. If you do not have an ITIN, see How to get a TIN below. If you are a sole proprietor and you have an EIN, you may enter either your SSN or EIN. If you are a single-member LLC that is disregarded as an entity separate from its owner, enter the owners SSN (or EIN, if the owner has one). Do not enter the disregarded entitys EIN. If the LLC is classified as a corporation or partnership, enter the entitys EIN. Note: See What Name and Number To Give the Requester, later, for further clarification of name and TIN combinations. How to get a TIN. If you do not have a TIN, apply for one immediately. To apply for an SSN, get Form SS-5, Application for a Social Security Card, from your local SSA office or get this form online at www.SSA.gov. You may also get this form by calling 1 -800-772-1213. Use Form W-7, Application for IRS Individual Taxpayer Identification Number, to apply for an ITIN, or Form SS-4, Application for Employer Identification Number, to apply for an EIN. You can apply for an EIN online by accessing the IRS website at www.irs.gov/Businesses and clicking on Employer Identification Number (EIN) under Starting a Business. Go to www.irs.gov/Forms to view, download, or print Form W-7 and/or Form SS-4. Or, you can go to www.irs.gov/OrderForms to place an order and have Form W-7 and/or SS-4 mailed to you within 10 business days. If you are asked to complete Form W-9 but do not have a TIN, apply for a TIN and write Applied For in the space for the TIN, sign and date the form, and give it to the requester. For interest and dividend payments, and certain payments made with respect to readily tradable instruments, generally you will have 60 days to get a TIN and give it to the requester before you are subject to backup withholding on payments. The 60-day rule does not apply to other types of payments. You will be subject to backup withholding on all such payments until you provide your TIN to the requester. Note: Entering Applied For means that you have already applied for a TIN or that you intend to apply for one soon. Caution: A disregarded U.S. entity that has a foreign owner must use the appropriate Form W-8. Part II. Certification To establish to the withholding agent that you are a U.S. person, or resident alien, sign Form W-9. You may be requested to sign by the withholding agent even if item 1, 4, or 5 below indicates otherwise. For a joint account, only the person whose TIN is shown in Part I should sign (when required). In the case of a disregarded entity, the person identified on line 1 must sign. Exempt payees, see Exempt payee code, earlier. Signature requirements. Complete the certification as indicated in items 1 through 5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6"/>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10-2018) Page 5 1. Interest, dividend, and barter exchange accounts opened before 1984 and broker accounts considered active during 1983. You must give your correct TIN, but you do not have to sign the certification. 2. Interest, dividend, broker, and barter exchange accounts opened after 1983 and broker accounts considered inactive during 1983. You must sign the certification or backup withholding will apply. If you are subject to backup withholding and you are merely providing your correct TIN to the requester, you must cross out item 2 in the certification before signing the form. 3. Real estate transactions. You must sign the certification. You may cross out item 2 of the certification. 4. Other payments. You must give your correct TIN, but you do not have to sign the 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 party network transactions, payments to certain fishing boat crew members and fishermen, and gross proceeds paid to attorneys (including payments to corporations). 5. Mortgage interest paid by you, acquisition or abandonment of secured property, cancellation of debt, qualified tuition program payments (under section 529), ABLE accounts (under section 529A), IRA, Coverdell ESA, Archer MSA or HSA contributions or distributions, and pension distributions. You must give your correct TIN, but you do not have to sign the certification. What Name and Number To Give the Requester For this type of account: 1. Individual 2. Two or more individuals (joint account) other than an account maintained by an FFI 3. Two or more U.S. persons (joint account maintained by an FFI) 4. Custodial account of a minor (Uniform Gift to Minors Act) 5. a. The usual revocable savings trust {grantor is also trustee) b. So-called trust account that is not a legal or valid trust under state law 6. Sole proprietorship or disregarded entity owned by an individual 7. Grantor trust filing under Optional Form 1099 Filing Method 1 (see Regulations section 1.671-4(b){2)(i) (A)) For this type of account: 8. Disregarded entity not owned by an individual 9. A valid trust, estate, or pension trust 10. Corporation or LLC electing corporate status on Form 8832 or Form 2553 11. Association, club, religious, charitable, educational, or other tax- exempt organization 12. Partnership or multi-member LLC 13. A broker or registered nominee Give name and SSN of: The individual The actual owner of the account or, if combined funds, the first individual on the account 1 Each holder of the account The mine? The grantor-trustee1 The actual owner1 The owner3 The grantor Give name and EIN of: The owner Legal entity4 The corporation The organization The partnership The broker or nominee For this type of account: 14. Account with the Department of Agriculture in the name of a public entity (such as a state or local government, school district, or prison) that receives agricultural program payments 15. Grantor trust filing under the Form 1041 Filing Method or the Optional Form 1099 Filing Method 2 (see Regulations section 1.671-4(b)2)(i)(B)) Give name and EIN of: The public entity The trust 1 List first and circle the name of the person whose number you furnish. only one person on a joint account has an SSN, that persons number must be furnished. 2 Circle the minors name and furnish the minors SSN. 3 You must show your individual name and you may also enter your business or DBA name on the Business name/disregarded entity name line. You may use either your SSN or EIN (if you have one), but the IRS encourages you to use your SSN. 4 List first and circle the name of the trust, estate, or pension trust. (Do not furnish the TIN of the personal representative or trustee unless the legal entity itself is not designated in the account title.) Also see Special rules for partnerships, earlier. *Note: The grantor also must provide a Form W-9 to trustee of trust. Note: If no name is circled when more than one name is listed, the number will be considered to be that of the first name listed. Secure Your Tax Records From Identity Theft Identity theft occurs when someone uses your personal information such as your name, SSN, or other identifying information, without your permission, to commit fraud or other crimes. An identity thief may use your SSN to get a job or may file a tax ret urn using your SSN to receive a refund. To reduce your risk:  Protect your SSN,  Ensure your employer is protecting your SSN, and  Be careful when choosing a tax preparer. If your tax records are affected by identity theft and you receive a notice from the IRS, respond right away to the name and phone number printed on the IRS notice or letter. If your tax records are not currently affected by identity theft but you think you are at risk due to a lost or stolen purse or wallet, questionable credit card activity or credit report, contact the IRS Identity Theft Hotline at 1-800-908-4490 or submit Form 14039. For more information, see Pub. 5027, Identity Theft Information for Taxpayers. 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1-877-777-4778 or TTY/TOO 1-800-829-4059. Protect yourself from suspicious emails or phishing schemes. 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7"/>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Form W-9 (Rev. 10-2018) Page 6 The IRS does not initiate contacts with taxpayers via emails. Also, the IRS does not request personal detailed information through email or ask taxpayers for the PIN numbers, passwords, or similar secret access information for their credit card, bank, or other financial accounts. If you receive an unsolicited email claiming to be from the IRS, forward this message to phishing@irs.gov. You may also report misuse of the IRS name, logo, or other IRS property to the Treasury Inspector General for Tax Administration (TIGTA) at 1-800-366-4484. You can forward suspicious emails to the Federal Trade Commission at spam@uce.gov or report them at www.ftc.gov/complaint. You can contact the FTC at www.ftc.gov/idtheft or 877-IDTHEFT (877-438-4338). If you have been the victim of identity theft, see www.ldentityTheft.gov and Pub. 5027. Visit www.irs.gov/ldentityTheft to learn more about identity theft and how to reduce your risk. Privacy Act Notice 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INSTRUCTIONS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Delivery of Letter of Transmittal. </w:t>
            </w:r>
          </w:p>
        </w:tc>
      </w:tr>
    </w:tbl>
    <w:p>
      <w:pPr>
        <w:pStyle w:val="TextBody"/>
        <w:spacing w:before="120" w:after="0"/>
        <w:jc w:val="left"/>
        <w:rPr>
          <w:rFonts w:ascii="Times New Roman" w:hAnsi="Times New Roman"/>
          <w:sz w:val="20"/>
        </w:rPr>
      </w:pPr>
      <w:r>
        <w:rPr>
          <w:rFonts w:ascii="Times New Roman" w:hAnsi="Times New Roman"/>
          <w:sz w:val="20"/>
        </w:rPr>
        <w:t xml:space="preserve">A duly executed Letter of Transmittal and any accompanying certificate(s) representing shares and any other documents required by this Letter of Transmittal, should be hand delivered, couriered or mailed to the Depositary at the appropriate address set forth herein. </w:t>
      </w:r>
    </w:p>
    <w:p>
      <w:pPr>
        <w:pStyle w:val="TextBody"/>
        <w:spacing w:before="120" w:after="0"/>
        <w:jc w:val="left"/>
        <w:rPr>
          <w:rFonts w:ascii="Times New Roman" w:hAnsi="Times New Roman"/>
          <w:b/>
          <w:sz w:val="20"/>
        </w:rPr>
      </w:pPr>
      <w:r>
        <w:rPr>
          <w:rFonts w:ascii="Times New Roman" w:hAnsi="Times New Roman"/>
          <w:b/>
          <w:sz w:val="20"/>
        </w:rPr>
        <w:t xml:space="preserve">The method of delivery of all documents is at the election and risk of the shareholder. Delivery is only effective upon receipt by the Depositary. If delivery is by mail, registered mail, properly insured, is recommended.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Inadequate Space. </w:t>
            </w:r>
          </w:p>
        </w:tc>
      </w:tr>
    </w:tbl>
    <w:p>
      <w:pPr>
        <w:pStyle w:val="TextBody"/>
        <w:spacing w:before="120" w:after="0"/>
        <w:jc w:val="left"/>
        <w:rPr>
          <w:rFonts w:ascii="Times New Roman" w:hAnsi="Times New Roman"/>
          <w:sz w:val="20"/>
        </w:rPr>
      </w:pPr>
      <w:r>
        <w:rPr>
          <w:rFonts w:ascii="Times New Roman" w:hAnsi="Times New Roman"/>
          <w:sz w:val="20"/>
        </w:rPr>
        <w:t xml:space="preserve">If the space provided in any Box is inadequate, attach a separate signed document to this Letter of Transmittal.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Signatures on the Letter of Transmittal. </w:t>
            </w:r>
          </w:p>
        </w:tc>
      </w:tr>
    </w:tbl>
    <w:p>
      <w:pPr>
        <w:pStyle w:val="TextBody"/>
        <w:spacing w:before="120" w:after="0"/>
        <w:jc w:val="left"/>
        <w:rPr>
          <w:rFonts w:ascii="Times New Roman" w:hAnsi="Times New Roman"/>
          <w:sz w:val="20"/>
        </w:rPr>
      </w:pPr>
      <w:r>
        <w:rPr>
          <w:rFonts w:ascii="Times New Roman" w:hAnsi="Times New Roman"/>
          <w:sz w:val="20"/>
        </w:rPr>
        <w:t xml:space="preserve">This Letter of Transmittal must be filled in and signed by the holder of shares described above or by such holders duly authorized representative (in accordance with Instruction 5).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this Letter of Transmittal is signed by the registered owner(s) of the accompanying certificate(s), the signature(s) must correspond exactly with the name(s) as written on the face of the corresponding share certificate(s) without any change whatsoever.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this Letter of Transmittal is signed by a person other than the registered owner(s) of the accompanying certificate(s):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transmitted certificate(s) must be endorsed or be accompanied by an appropriate share transfer power of attorney duly and properly completed by the registered owner(s);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signature(s) on such endorsement or share transfer power of attorney must correspond exactly to the name(s) of the registered owner(s) as registered or as appearing on the certificate(s) and must be guaranteed as noted in Instruction 4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shares are registered in the names of two or more joint owners, each such owner must sign this Letter of Transmittal.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any shares are registered in different names on several certificates, it will be necessary to complete, sign, and submit as many separate Letters of Transmittal as there are different registrations of certificates.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4.</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Guarantee of Signatures. </w:t>
            </w:r>
          </w:p>
        </w:tc>
      </w:tr>
    </w:tbl>
    <w:p>
      <w:pPr>
        <w:pStyle w:val="TextBody"/>
        <w:spacing w:before="120" w:after="0"/>
        <w:jc w:val="left"/>
        <w:rPr>
          <w:rFonts w:ascii="Times New Roman" w:hAnsi="Times New Roman"/>
          <w:sz w:val="20"/>
        </w:rPr>
      </w:pPr>
      <w:r>
        <w:rPr>
          <w:rFonts w:ascii="Times New Roman" w:hAnsi="Times New Roman"/>
          <w:sz w:val="20"/>
        </w:rPr>
        <w:t xml:space="preserve">If this Letter of Transmittal is signed by a person other than the registered owner(s) of the transmitted share certificates, or if a registered holder of shares wishes that its new share certificate(s) be registered in the name of a person other than the registered owner(s) as shown on the registers of the Company, or if payment on account of the fractional shares is to be issued in the name of a person other than the registered owner of the transmitted share certificates, such signature must be guaranteed by an Eligible Institution (as defined below), or in some other manner satisfactory to the Depositary (except that no guarantee is required if the signature is that of an Eligible Institution).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 Eligible Institution means a Canadian Schedule I chartered bank, a major trust company in Canada, a commercial bank or trust company in the United States,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5.</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Fiduciaries, Representatives and Authorizations. </w:t>
            </w:r>
          </w:p>
        </w:tc>
      </w:tr>
    </w:tbl>
    <w:p>
      <w:pPr>
        <w:pStyle w:val="TextBody"/>
        <w:spacing w:before="120" w:after="0"/>
        <w:jc w:val="left"/>
        <w:rPr>
          <w:rFonts w:ascii="Times New Roman" w:hAnsi="Times New Roman"/>
          <w:sz w:val="20"/>
        </w:rPr>
      </w:pPr>
      <w:r>
        <w:rPr>
          <w:rFonts w:ascii="Times New Roman" w:hAnsi="Times New Roman"/>
          <w:sz w:val="20"/>
        </w:rPr>
        <w:t xml:space="preserve">Where this Letter of Transmittal is executed by a person on behalf of an executor, administrator, trustee, guardian, corporation, partnership or association or is executed by any other person acting in a representative capacity, this Letter of Transmittal must be accompanied by satisfactory evidence of the authority to act. Either the Company or the Depositary, at its discretion, may require additional evidence of authority or additional documentation.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Irregularities. </w:t>
            </w:r>
          </w:p>
        </w:tc>
      </w:tr>
    </w:tbl>
    <w:p>
      <w:pPr>
        <w:pStyle w:val="TextBody"/>
        <w:spacing w:before="120" w:after="0"/>
        <w:jc w:val="left"/>
        <w:rPr>
          <w:rFonts w:ascii="Times New Roman" w:hAnsi="Times New Roman"/>
          <w:sz w:val="20"/>
        </w:rPr>
      </w:pPr>
      <w:r>
        <w:rPr>
          <w:rFonts w:ascii="Times New Roman" w:hAnsi="Times New Roman"/>
          <w:sz w:val="20"/>
        </w:rPr>
        <w:t xml:space="preserve">All questions as to the Return of Capital Transaction and the form of documents will be determined by the Company, in its sole discretion, acting reasonably, which determination will be final and binding on all parties, absent a finding to the contrary by a court of competent jurisdiction. The Company reserves the absolute right to reject any or all Letters of Transmittal determined in its sole discretion not to be in proper form or completed in accordance with the Instructions herein and any Letters of Transmittal, which may, in the opinion of the Companys counsel, be unlawful. The Company also reserves the absolute right to waive any of the conditions of the Return of Capital Transaction or any defect or irregularity in any Letter of Transmittal. No Letter of Transmittal will be deemed to be properly submitted until all defects and irregularities have been cured or waived. None of the Company, the Depositary nor any other person will be obligated to give notice of defects or irregularities in Letters of Transmittal, nor shall any of them incur any liability for failure to give any such notice. The Companys interpretation of the terms and conditions of the Return of Capital Transaction (including this Letter of Transmittal) will be final and binding absent a finding to the contrary by a court of competent jurisdiction. No alternative, conditional or contingent delivery of share certificates will be accepted.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7.</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Questions and Requests for Assistance and Additional Copies. </w:t>
            </w:r>
          </w:p>
        </w:tc>
      </w:tr>
    </w:tbl>
    <w:p>
      <w:pPr>
        <w:pStyle w:val="TextBody"/>
        <w:spacing w:before="120" w:after="0"/>
        <w:jc w:val="left"/>
        <w:rPr>
          <w:rFonts w:ascii="Times New Roman" w:hAnsi="Times New Roman"/>
          <w:sz w:val="20"/>
        </w:rPr>
      </w:pPr>
      <w:r>
        <w:rPr>
          <w:rFonts w:ascii="Times New Roman" w:hAnsi="Times New Roman"/>
          <w:sz w:val="20"/>
        </w:rPr>
        <w:t xml:space="preserve">Questions and requests for assistance may be directed to the Depositary at the address, telephone number and e-mail address set forth on the cover of this Letter of Transmittal. Additional copies of the Circular and this Letter of Transmittal may be obtained from the Depositary. The Circular and this Letter of Transmittal are also available under the Companys profile on SEDAR at </w:t>
      </w:r>
      <w:r>
        <w:rPr>
          <w:rFonts w:ascii="Times New Roman" w:hAnsi="Times New Roman"/>
          <w:sz w:val="20"/>
          <w:u w:val="single"/>
        </w:rPr>
        <w:t>www.sedar.com</w:t>
      </w:r>
      <w:r>
        <w:rPr>
          <w:rFonts w:ascii="Times New Roman" w:hAnsi="Times New Roman"/>
          <w:sz w:val="20"/>
        </w:rPr>
        <w:t xml:space="preserve"> and on EDGAR at </w:t>
      </w:r>
      <w:r>
        <w:rPr>
          <w:rFonts w:ascii="Times New Roman" w:hAnsi="Times New Roman"/>
          <w:sz w:val="20"/>
          <w:u w:val="single"/>
        </w:rPr>
        <w:t>www.sec.gov</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8.</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Lost Certificates. </w:t>
            </w:r>
          </w:p>
        </w:tc>
      </w:tr>
    </w:tbl>
    <w:p>
      <w:pPr>
        <w:pStyle w:val="TextBody"/>
        <w:spacing w:before="120" w:after="0"/>
        <w:jc w:val="left"/>
        <w:rPr>
          <w:rFonts w:ascii="Times New Roman" w:hAnsi="Times New Roman"/>
          <w:sz w:val="20"/>
        </w:rPr>
      </w:pPr>
      <w:r>
        <w:rPr>
          <w:rFonts w:ascii="Times New Roman" w:hAnsi="Times New Roman"/>
          <w:i/>
          <w:sz w:val="20"/>
        </w:rPr>
        <w:t xml:space="preserve">Option #1: </w:t>
      </w:r>
      <w:r>
        <w:rPr>
          <w:rFonts w:ascii="Times New Roman" w:hAnsi="Times New Roman"/>
          <w:sz w:val="20"/>
        </w:rPr>
        <w:t xml:space="preserve">If share certificate(s) have been lost, stolen or destroyed, this Letter of Transmittal should be completed as fully as possible and forwarded together with a letter describing the loss to the Depositary. The Depositary will respond with the replacement requirements. </w:t>
      </w:r>
    </w:p>
    <w:p>
      <w:pPr>
        <w:pStyle w:val="TextBody"/>
        <w:spacing w:before="120" w:after="0"/>
        <w:jc w:val="left"/>
        <w:rPr>
          <w:rFonts w:ascii="Times New Roman" w:hAnsi="Times New Roman"/>
          <w:sz w:val="20"/>
        </w:rPr>
      </w:pPr>
      <w:r>
        <w:rPr>
          <w:rFonts w:ascii="Times New Roman" w:hAnsi="Times New Roman"/>
          <w:i/>
          <w:sz w:val="20"/>
        </w:rPr>
        <w:t xml:space="preserve">Option #2: </w:t>
      </w:r>
      <w:r>
        <w:rPr>
          <w:rFonts w:ascii="Times New Roman" w:hAnsi="Times New Roman"/>
          <w:sz w:val="20"/>
        </w:rPr>
        <w:t xml:space="preserve">Alternatively, shareholders whose certificate(s) have been lost, stolen or destroyed may participate in Computershares blanket bond program with Aviva Insurance Company of Canada by completing Box E above, and submitting the applicable certified cheque or money order made payable to Computershare Investor Services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9.</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Fractional Shares. </w:t>
            </w:r>
          </w:p>
        </w:tc>
      </w:tr>
    </w:tbl>
    <w:p>
      <w:pPr>
        <w:pStyle w:val="TextBody"/>
        <w:spacing w:before="120" w:after="0"/>
        <w:jc w:val="left"/>
        <w:rPr>
          <w:rFonts w:ascii="Times New Roman" w:hAnsi="Times New Roman"/>
          <w:sz w:val="20"/>
        </w:rPr>
      </w:pPr>
      <w:r>
        <w:rPr>
          <w:rFonts w:ascii="Times New Roman" w:hAnsi="Times New Roman"/>
          <w:sz w:val="20"/>
        </w:rPr>
        <w:t xml:space="preserve">Fractional shares arising as a result of the consolidation (other than those held in Thomson Reuters dividend reinvestment plan and employee stock purchase plans) will not be distributed but will be aggregated and sold in the market by a broker appointed by the Depositary, which will distribute the net cash proceeds, after commission expenses, to registered shareholders </w:t>
      </w:r>
      <w:r>
        <w:rPr>
          <w:rFonts w:ascii="Times New Roman" w:hAnsi="Times New Roman"/>
          <w:i/>
          <w:sz w:val="20"/>
        </w:rPr>
        <w:t xml:space="preserve">pro rata </w:t>
      </w:r>
      <w:r>
        <w:rPr>
          <w:rFonts w:ascii="Times New Roman" w:hAnsi="Times New Roman"/>
          <w:sz w:val="20"/>
        </w:rPr>
        <w:t xml:space="preserve">based on their fractional entitlements. Such shareholders will receive such net cash proceeds instead of fractional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10.</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Important U.S. Tax Information for Shareholders. </w:t>
            </w:r>
          </w:p>
        </w:tc>
      </w:tr>
    </w:tbl>
    <w:p>
      <w:pPr>
        <w:pStyle w:val="TextBody"/>
        <w:spacing w:before="120" w:after="0"/>
        <w:jc w:val="left"/>
        <w:rPr>
          <w:rFonts w:ascii="Times New Roman" w:hAnsi="Times New Roman"/>
          <w:sz w:val="20"/>
        </w:rPr>
      </w:pPr>
      <w:r>
        <w:rPr>
          <w:rFonts w:ascii="Times New Roman" w:hAnsi="Times New Roman"/>
          <w:sz w:val="20"/>
        </w:rPr>
        <w:t xml:space="preserve">For purposes of this Letter of Transmittal, a U.S. person is any person that, for U.S. federal income tax purposes, is (a) an individual who is a citizen or resident of the United States; (b) a corporation, partnership, or other entity classified as a corporation or partnership for U.S. federal income tax purposes that is created or organized in or under the laws of the United States or any political subdivision thereof or therein; (c) an estate if the income of such estate is subject to U.S. federal income tax regardless of the source of such income; or (d) a trust if (i) such trust has validly elected to be treated as a U.S. person for U.S. federal income tax purposes or (ii) a U.S. court is able to exercise primary supervision over the administration of such trust and one or more U.S. persons have the authority to control all substantial decisions of such trust. </w:t>
      </w:r>
    </w:p>
    <w:p>
      <w:pPr>
        <w:pStyle w:val="TextBody"/>
        <w:spacing w:before="120" w:after="0"/>
        <w:jc w:val="left"/>
        <w:rPr>
          <w:rFonts w:ascii="Times New Roman" w:hAnsi="Times New Roman"/>
          <w:sz w:val="20"/>
        </w:rPr>
      </w:pPr>
      <w:r>
        <w:rPr>
          <w:rFonts w:ascii="Times New Roman" w:hAnsi="Times New Roman"/>
          <w:sz w:val="20"/>
        </w:rPr>
        <w:t xml:space="preserve">To prevent U.S. federal backup withholding from applying to payments made to a participating U.S. shareholder (or any person acting on behalf of a U.S. shareholder) pursuant to the Return of Capital Transaction, such U.S. shareholder must, unless an exemption applies, provide the Depositary with a correct U.S. taxpayer identification number (TIN), which is generally the holders social security number or federal employer identification number, certify under penalties of perjury that such TIN is correct (or that the holder is waiting for a TIN to be issued), and provide certain other certifications by completing the Internal Revenue Service (IRS) Form W-9 included with this Letter of Transmittal. </w:t>
      </w:r>
    </w:p>
    <w:p>
      <w:pPr>
        <w:pStyle w:val="TextBody"/>
        <w:spacing w:before="120" w:after="0"/>
        <w:jc w:val="left"/>
        <w:rPr>
          <w:rFonts w:ascii="Times New Roman" w:hAnsi="Times New Roman"/>
          <w:sz w:val="20"/>
        </w:rPr>
      </w:pPr>
      <w:r>
        <w:rPr>
          <w:rFonts w:ascii="Times New Roman" w:hAnsi="Times New Roman"/>
          <w:sz w:val="20"/>
        </w:rPr>
        <w:t xml:space="preserve">If the included IRS Form W-9 does not apply to a U.S. shareholder because the holder is not a U.S. person for U.S. federal income tax purposes (but the holder provided a U.S. address in Box B or C of this Letter of Transmittal or has a U.S. address on the register of shareholders of the Company), such U.S. shareholder should instead properly complete and provide an IRS Form W-8BEN, W-8BEN-E, W-8IMY, W-8ECI, or W-8EXP, as applicable, attesting to such exempt status. An appropriate IRS Form W-8 may be obtained from the Depositary or from the IRS website at </w:t>
      </w:r>
      <w:r>
        <w:rPr>
          <w:rFonts w:ascii="Times New Roman" w:hAnsi="Times New Roman"/>
          <w:sz w:val="20"/>
          <w:u w:val="single"/>
        </w:rPr>
        <w:t>www.irs.gov</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U.S. SHAREHOLDER WHO FAILS TO PROPERLY COMPLETE THE ENCLOSED IRS FORM W-9 INCLUDED WITH THIS LETTER OF TRANSMITTAL OR, IF APPLICABLE, THE APPROPRIATE IRS FORM W-8 MAY BE SUBJECT TO PENALTIES, AND ANY PAYMENTS MADE TO SUCH HOLDER PURSUANT TO THE RETURN OF CAPITAL TRANSACTION MAY BE SUBJECT TO BACKUP WITHHOLDING. BACKUP WITHHOLDING IS NOT AN ADDITIONAL TAX. RATHER, THE TAX LIABILITY OF PERSONS SUBJECT TO BACKUP WITHHOLDING WILL BE REDUCED BY THE AMOUNT OF TAX WITHHELD. IF WITHHOLDING RESULTS IN AN OVERPAYMENT OF TAXES, A REFUND MAY BE OBTAINED BY FILING A TAX RETURN WITH THE IRS. THE DEPOSITARY CANNOT REFUND AMOUNTS WITHHELD BY REASON OF BACKUP WITHHOLDING.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11.</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Privacy Notice. </w:t>
            </w:r>
          </w:p>
        </w:tc>
      </w:tr>
    </w:tbl>
    <w:p>
      <w:pPr>
        <w:pStyle w:val="TextBody"/>
        <w:spacing w:before="120" w:after="0"/>
        <w:jc w:val="left"/>
        <w:rPr>
          <w:rFonts w:ascii="Times New Roman" w:hAnsi="Times New Roman"/>
          <w:sz w:val="20"/>
        </w:rPr>
      </w:pPr>
      <w:r>
        <w:rPr>
          <w:rFonts w:ascii="Times New Roman" w:hAnsi="Times New Roman"/>
          <w:sz w:val="20"/>
        </w:rPr>
        <w:t xml:space="preserve">The Depositary has a Privacy Statement that is available at </w:t>
      </w:r>
      <w:r>
        <w:rPr>
          <w:rFonts w:ascii="Times New Roman" w:hAnsi="Times New Roman"/>
          <w:sz w:val="20"/>
          <w:u w:val="single"/>
        </w:rPr>
        <w:t>www.computershare.com</w:t>
      </w:r>
      <w:r>
        <w:rPr>
          <w:rFonts w:ascii="Times New Roman" w:hAnsi="Times New Roman"/>
          <w:sz w:val="20"/>
        </w:rPr>
        <w:t xml:space="preserve"> or in writing or by telephone using the telephone number and address provided above in this Letter of Transmittal.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- 16 - </w:t>
      </w:r>
      <w:r>
        <w:br w:type="page"/>
      </w:r>
    </w:p>
    <w:p>
      <w:pPr>
        <w:pStyle w:val="TextBody"/>
        <w:spacing w:before="0" w:after="0"/>
        <w:jc w:val="right"/>
        <w:rPr>
          <w:rFonts w:ascii="Times New Roman" w:hAnsi="Times New Roman"/>
          <w:b/>
          <w:sz w:val="20"/>
        </w:rPr>
      </w:pPr>
      <w:bookmarkStart w:id="116" w:name="d490645dex995.htm"/>
      <w:bookmarkStart w:id="117" w:name="ksd490645dex995"/>
      <w:bookmarkEnd w:id="116"/>
      <w:bookmarkEnd w:id="117"/>
      <w:r>
        <w:rPr>
          <w:rFonts w:ascii="Times New Roman" w:hAnsi="Times New Roman"/>
          <w:b/>
          <w:sz w:val="20"/>
        </w:rPr>
        <w:t xml:space="preserve">Exhibit 99.5 </w:t>
      </w:r>
    </w:p>
    <w:p>
      <w:pPr>
        <w:pStyle w:val="TextBody"/>
        <w:spacing w:before="120" w:after="0"/>
        <w:jc w:val="left"/>
        <w:rPr>
          <w:rFonts w:ascii="Times New Roman" w:hAnsi="Times New Roman"/>
          <w:i/>
          <w:sz w:val="20"/>
        </w:rPr>
      </w:pPr>
      <w:r>
        <w:rPr>
          <w:rFonts w:ascii="Times New Roman" w:hAnsi="Times New Roman"/>
          <w:i/>
          <w:sz w:val="20"/>
        </w:rPr>
        <w:t xml:space="preserve">The Instructions accompanying this opt-out election and certification form should be read carefully before completing it. Please contact Computershare Investor Services Inc. (the Depositary) or your investment dealer, stock broker, bank, trust company or other financial advisor if you have any questions or require assistance in completing this form.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609850" cy="685800"/>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8"/>
                    <a:stretch>
                      <a:fillRect/>
                    </a:stretch>
                  </pic:blipFill>
                  <pic:spPr bwMode="auto">
                    <a:xfrm>
                      <a:off x="0" y="0"/>
                      <a:ext cx="2609850" cy="6858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240" w:after="0"/>
        <w:jc w:val="center"/>
        <w:rPr>
          <w:rFonts w:ascii="Times New Roman" w:hAnsi="Times New Roman"/>
          <w:b/>
          <w:sz w:val="28"/>
        </w:rPr>
      </w:pPr>
      <w:r>
        <w:rPr>
          <w:rFonts w:ascii="Times New Roman" w:hAnsi="Times New Roman"/>
          <w:b/>
          <w:sz w:val="28"/>
        </w:rPr>
        <w:t xml:space="preserve">OPT-OUT ELECTION AND CERTIFICATION FORM </w:t>
      </w:r>
    </w:p>
    <w:p>
      <w:pPr>
        <w:pStyle w:val="TextBody"/>
        <w:spacing w:before="0" w:after="0"/>
        <w:jc w:val="center"/>
        <w:rPr>
          <w:rFonts w:ascii="Times New Roman" w:hAnsi="Times New Roman"/>
          <w:b/>
          <w:sz w:val="20"/>
        </w:rPr>
      </w:pPr>
      <w:r>
        <w:rPr>
          <w:rFonts w:ascii="Times New Roman" w:hAnsi="Times New Roman"/>
          <w:b/>
          <w:sz w:val="20"/>
        </w:rPr>
        <w:t xml:space="preserve">for shareholders who are taxable in a jurisdiction other than Canada </w:t>
      </w:r>
    </w:p>
    <w:p>
      <w:pPr>
        <w:pStyle w:val="TextBody"/>
        <w:spacing w:before="240" w:after="0"/>
        <w:jc w:val="center"/>
        <w:rPr>
          <w:rFonts w:ascii="Times New Roman" w:hAnsi="Times New Roman"/>
          <w:b/>
          <w:sz w:val="32"/>
        </w:rPr>
      </w:pPr>
      <w:r>
        <w:rPr>
          <w:rFonts w:ascii="Times New Roman" w:hAnsi="Times New Roman"/>
          <w:b/>
          <w:sz w:val="32"/>
        </w:rPr>
        <w:t xml:space="preserve">THOMSON REUTERS CORPORATION </w:t>
      </w:r>
    </w:p>
    <w:p>
      <w:pPr>
        <w:pStyle w:val="TextBody"/>
        <w:spacing w:before="0" w:after="0"/>
        <w:jc w:val="center"/>
        <w:rPr>
          <w:rFonts w:ascii="Times New Roman" w:hAnsi="Times New Roman"/>
          <w:b/>
          <w:sz w:val="20"/>
        </w:rPr>
      </w:pPr>
      <w:r>
        <w:rPr>
          <w:rFonts w:ascii="Times New Roman" w:hAnsi="Times New Roman"/>
          <w:b/>
          <w:sz w:val="20"/>
        </w:rPr>
        <w:t xml:space="preserve">that wish to opt out of the Return of Capital Transaction </w:t>
      </w:r>
    </w:p>
    <w:p>
      <w:pPr>
        <w:pStyle w:val="TextBody"/>
        <w:spacing w:before="0" w:after="0"/>
        <w:jc w:val="left"/>
        <w:rPr/>
      </w:pPr>
      <w:r>
        <w:rPr/>
        <w:t> </w:t>
      </w:r>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YOU SHOULD ONLY COMPLETE AND SUBMIT THIS OPT-OUT ELECTION AND CERTIFICATION FORM IF YOU ARE AN ELIGIBLE OPT-OUT SHAREHOLDER (AS FURTHER DESCRIBED IN THIS FORM) WHO WISHES TO </w:t>
      </w:r>
      <w:r>
        <w:rPr>
          <w:rFonts w:ascii="Times New Roman" w:hAnsi="Times New Roman"/>
          <w:b/>
          <w:sz w:val="20"/>
          <w:u w:val="single"/>
          <w:bdr w:val="single" w:sz="2" w:space="2" w:color="000000"/>
        </w:rPr>
        <w:t>OPT OUT</w:t>
      </w:r>
      <w:r>
        <w:rPr>
          <w:rFonts w:ascii="Times New Roman" w:hAnsi="Times New Roman"/>
          <w:b/>
          <w:sz w:val="20"/>
          <w:bdr w:val="single" w:sz="2" w:space="2" w:color="000000"/>
        </w:rPr>
        <w:t xml:space="preserve"> OF THE RETURN OF CAPITAL TRANSACTION. </w:t>
      </w:r>
    </w:p>
    <w:p>
      <w:pPr>
        <w:pStyle w:val="TextBody"/>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A DULY COMPLETED FORM MUST BE RECEIVED BY THE DEPOSITARY BY JUNE 13, </w:t>
      </w:r>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2023 AT 5:00 P.M. (TORONTO TIME). </w:t>
      </w:r>
    </w:p>
    <w:p>
      <w:pPr>
        <w:pStyle w:val="TextBody"/>
        <w:spacing w:before="240" w:after="0"/>
        <w:jc w:val="center"/>
        <w:rPr>
          <w:rFonts w:ascii="Times New Roman" w:hAnsi="Times New Roman"/>
          <w:b/>
          <w:i/>
          <w:sz w:val="20"/>
        </w:rPr>
      </w:pPr>
      <w:r>
        <w:rPr>
          <w:rFonts w:ascii="Times New Roman" w:hAnsi="Times New Roman"/>
          <w:b/>
          <w:i/>
          <w:sz w:val="20"/>
        </w:rPr>
        <w:t xml:space="preserve">Offices of the Depositary, Computershare Investor Services Inc., </w:t>
      </w:r>
    </w:p>
    <w:p>
      <w:pPr>
        <w:pStyle w:val="TextBody"/>
        <w:spacing w:before="0" w:after="0"/>
        <w:jc w:val="center"/>
        <w:rPr>
          <w:rFonts w:ascii="Times New Roman" w:hAnsi="Times New Roman"/>
          <w:b/>
          <w:i/>
          <w:sz w:val="20"/>
        </w:rPr>
      </w:pPr>
      <w:r>
        <w:rPr>
          <w:rFonts w:ascii="Times New Roman" w:hAnsi="Times New Roman"/>
          <w:b/>
          <w:i/>
          <w:sz w:val="20"/>
        </w:rPr>
        <w:t xml:space="preserve">for the Return of Capital Transaction: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1"/>
        <w:gridCol w:w="4950"/>
      </w:tblGrid>
      <w:tr>
        <w:trPr/>
        <w:tc>
          <w:tcPr>
            <w:tcW w:w="51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50"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vAlign w:val="bottom"/>
          </w:tcPr>
          <w:p>
            <w:pPr>
              <w:pStyle w:val="TableContents"/>
              <w:spacing w:before="0" w:after="283"/>
              <w:jc w:val="center"/>
              <w:rPr>
                <w:i/>
              </w:rPr>
            </w:pPr>
            <w:r>
              <w:rPr>
                <w:i/>
              </w:rPr>
              <w:t>By Mail</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i/>
              </w:rPr>
            </w:pPr>
            <w:r>
              <w:rPr>
                <w:i/>
              </w:rPr>
              <w:t>By Hand, Courier or Registered Mail</w:t>
            </w:r>
          </w:p>
        </w:tc>
      </w:tr>
      <w:tr>
        <w:trPr/>
        <w:tc>
          <w:tcPr>
            <w:tcW w:w="5154" w:type="dxa"/>
            <w:tcBorders/>
            <w:shd w:fill="auto" w:val="clear"/>
            <w:vAlign w:val="bottom"/>
          </w:tcPr>
          <w:p>
            <w:pPr>
              <w:pStyle w:val="TableContents"/>
              <w:spacing w:before="0" w:after="283"/>
              <w:jc w:val="center"/>
              <w:rPr/>
            </w:pPr>
            <w:r>
              <w:rPr/>
              <w:t>Computershare Investor Services Inc.</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Computershare Investor Services Inc.</w:t>
            </w:r>
          </w:p>
        </w:tc>
      </w:tr>
      <w:tr>
        <w:trPr/>
        <w:tc>
          <w:tcPr>
            <w:tcW w:w="5154" w:type="dxa"/>
            <w:tcBorders/>
            <w:shd w:fill="auto" w:val="clear"/>
            <w:vAlign w:val="bottom"/>
          </w:tcPr>
          <w:p>
            <w:pPr>
              <w:pStyle w:val="TableContents"/>
              <w:spacing w:before="0" w:after="283"/>
              <w:jc w:val="center"/>
              <w:rPr/>
            </w:pPr>
            <w:r>
              <w:rPr/>
              <w:t>P.O. Box 7021</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100 University Avenue, 8th Floor</w:t>
            </w:r>
          </w:p>
        </w:tc>
      </w:tr>
      <w:tr>
        <w:trPr/>
        <w:tc>
          <w:tcPr>
            <w:tcW w:w="5154" w:type="dxa"/>
            <w:tcBorders/>
            <w:shd w:fill="auto" w:val="clear"/>
            <w:vAlign w:val="bottom"/>
          </w:tcPr>
          <w:p>
            <w:pPr>
              <w:pStyle w:val="TableContents"/>
              <w:spacing w:before="0" w:after="283"/>
              <w:jc w:val="center"/>
              <w:rPr/>
            </w:pPr>
            <w:r>
              <w:rPr/>
              <w:t>31 Adelaide Street East</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Toronto, Ontario</w:t>
            </w:r>
          </w:p>
        </w:tc>
      </w:tr>
      <w:tr>
        <w:trPr/>
        <w:tc>
          <w:tcPr>
            <w:tcW w:w="5154" w:type="dxa"/>
            <w:tcBorders/>
            <w:shd w:fill="auto" w:val="clear"/>
            <w:vAlign w:val="bottom"/>
          </w:tcPr>
          <w:p>
            <w:pPr>
              <w:pStyle w:val="TableContents"/>
              <w:spacing w:before="0" w:after="283"/>
              <w:jc w:val="center"/>
              <w:rPr/>
            </w:pPr>
            <w:r>
              <w:rPr/>
              <w:t>Toronto, Ontario</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M5J 2Y1</w:t>
            </w:r>
          </w:p>
        </w:tc>
      </w:tr>
      <w:tr>
        <w:trPr/>
        <w:tc>
          <w:tcPr>
            <w:tcW w:w="5154" w:type="dxa"/>
            <w:tcBorders/>
            <w:shd w:fill="auto" w:val="clear"/>
            <w:vAlign w:val="bottom"/>
          </w:tcPr>
          <w:p>
            <w:pPr>
              <w:pStyle w:val="TableContents"/>
              <w:spacing w:before="0" w:after="283"/>
              <w:jc w:val="center"/>
              <w:rPr/>
            </w:pPr>
            <w:r>
              <w:rPr/>
              <w:t>M5C 3H2</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Canada</w:t>
            </w:r>
          </w:p>
        </w:tc>
      </w:tr>
      <w:tr>
        <w:trPr/>
        <w:tc>
          <w:tcPr>
            <w:tcW w:w="5154" w:type="dxa"/>
            <w:tcBorders/>
            <w:shd w:fill="auto" w:val="clear"/>
            <w:vAlign w:val="bottom"/>
          </w:tcPr>
          <w:p>
            <w:pPr>
              <w:pStyle w:val="TableContents"/>
              <w:spacing w:before="0" w:after="283"/>
              <w:jc w:val="center"/>
              <w:rPr/>
            </w:pPr>
            <w:r>
              <w:rPr/>
              <w:t>Canada</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jc w:val="center"/>
              <w:rPr/>
            </w:pPr>
            <w:r>
              <w:rPr/>
              <w:t>Attention: Corporate Actions</w:t>
            </w:r>
          </w:p>
        </w:tc>
      </w:tr>
      <w:tr>
        <w:trPr/>
        <w:tc>
          <w:tcPr>
            <w:tcW w:w="5154" w:type="dxa"/>
            <w:tcBorders/>
            <w:shd w:fill="auto" w:val="clear"/>
            <w:vAlign w:val="bottom"/>
          </w:tcPr>
          <w:p>
            <w:pPr>
              <w:pStyle w:val="TableContents"/>
              <w:spacing w:before="0" w:after="283"/>
              <w:jc w:val="center"/>
              <w:rPr/>
            </w:pPr>
            <w:r>
              <w:rPr/>
              <w:t>Attention: Corporate Actions</w:t>
            </w:r>
          </w:p>
        </w:tc>
        <w:tc>
          <w:tcPr>
            <w:tcW w:w="101" w:type="dxa"/>
            <w:tcBorders/>
            <w:shd w:fill="auto" w:val="clear"/>
            <w:vAlign w:val="bottom"/>
          </w:tcPr>
          <w:p>
            <w:pPr>
              <w:pStyle w:val="TableContents"/>
              <w:spacing w:before="0" w:after="283"/>
              <w:rPr/>
            </w:pPr>
            <w:r>
              <w:rPr/>
              <w:t> </w:t>
            </w:r>
          </w:p>
        </w:tc>
        <w:tc>
          <w:tcPr>
            <w:tcW w:w="4950"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sz w:val="20"/>
        </w:rPr>
      </w:pPr>
      <w:r>
        <w:rPr>
          <w:rFonts w:ascii="Times New Roman" w:hAnsi="Times New Roman"/>
          <w:sz w:val="20"/>
        </w:rPr>
        <w:t xml:space="preserve">By E-Mail: </w:t>
      </w:r>
      <w:r>
        <w:rPr>
          <w:rFonts w:ascii="Times New Roman" w:hAnsi="Times New Roman"/>
          <w:sz w:val="20"/>
          <w:u w:val="single"/>
        </w:rPr>
        <w:t>onlinedeposits@computershare.com</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Toll Free in Canada and the U.S.: 1-800-564-6253 </w:t>
      </w:r>
    </w:p>
    <w:p>
      <w:pPr>
        <w:pStyle w:val="TextBody"/>
        <w:spacing w:before="0" w:after="0"/>
        <w:jc w:val="center"/>
        <w:rPr>
          <w:rFonts w:ascii="Times New Roman" w:hAnsi="Times New Roman"/>
          <w:sz w:val="20"/>
        </w:rPr>
      </w:pPr>
      <w:r>
        <w:rPr>
          <w:rFonts w:ascii="Times New Roman" w:hAnsi="Times New Roman"/>
          <w:sz w:val="20"/>
        </w:rPr>
        <w:t xml:space="preserve">Outside North America: 1-514-982-7555 </w:t>
      </w:r>
    </w:p>
    <w:p>
      <w:pPr>
        <w:pStyle w:val="TextBody"/>
        <w:spacing w:before="360" w:after="0"/>
        <w:jc w:val="left"/>
        <w:rPr>
          <w:rFonts w:ascii="Times New Roman" w:hAnsi="Times New Roman"/>
          <w:b/>
          <w:i/>
          <w:sz w:val="20"/>
        </w:rPr>
      </w:pPr>
      <w:r>
        <w:rPr>
          <w:rFonts w:ascii="Times New Roman" w:hAnsi="Times New Roman"/>
          <w:b/>
          <w:i/>
          <w:sz w:val="20"/>
        </w:rPr>
        <w:t xml:space="preserve">Who should use this form? </w:t>
      </w:r>
    </w:p>
    <w:p>
      <w:pPr>
        <w:pStyle w:val="TextBody"/>
        <w:spacing w:before="120" w:after="0"/>
        <w:jc w:val="left"/>
        <w:rPr>
          <w:rFonts w:ascii="Times New Roman" w:hAnsi="Times New Roman"/>
          <w:sz w:val="20"/>
        </w:rPr>
      </w:pPr>
      <w:r>
        <w:rPr>
          <w:rFonts w:ascii="Times New Roman" w:hAnsi="Times New Roman"/>
          <w:sz w:val="20"/>
        </w:rPr>
        <w:t xml:space="preserve">This Form is for use by a </w:t>
      </w:r>
      <w:r>
        <w:rPr>
          <w:rFonts w:ascii="Times New Roman" w:hAnsi="Times New Roman"/>
          <w:i/>
          <w:sz w:val="20"/>
        </w:rPr>
        <w:t xml:space="preserve">registered </w:t>
      </w:r>
      <w:r>
        <w:rPr>
          <w:rFonts w:ascii="Times New Roman" w:hAnsi="Times New Roman"/>
          <w:sz w:val="20"/>
        </w:rPr>
        <w:t>holder of common shares (referred to as </w:t>
      </w:r>
      <w:r>
        <w:rPr>
          <w:rFonts w:ascii="Times New Roman" w:hAnsi="Times New Roman"/>
          <w:b/>
          <w:sz w:val="20"/>
        </w:rPr>
        <w:t>shares</w:t>
      </w:r>
      <w:r>
        <w:rPr>
          <w:rFonts w:ascii="Times New Roman" w:hAnsi="Times New Roman"/>
          <w:sz w:val="20"/>
        </w:rPr>
        <w:t>) in the capital of Thomson Reuters Corporation (</w:t>
      </w:r>
      <w:r>
        <w:rPr>
          <w:rFonts w:ascii="Times New Roman" w:hAnsi="Times New Roman"/>
          <w:b/>
          <w:sz w:val="20"/>
        </w:rPr>
        <w:t>Thomson Reuters</w:t>
      </w:r>
      <w:r>
        <w:rPr>
          <w:rFonts w:ascii="Times New Roman" w:hAnsi="Times New Roman"/>
          <w:sz w:val="20"/>
        </w:rPr>
        <w:t> or the </w:t>
      </w:r>
      <w:r>
        <w:rPr>
          <w:rFonts w:ascii="Times New Roman" w:hAnsi="Times New Roman"/>
          <w:b/>
          <w:sz w:val="20"/>
        </w:rPr>
        <w:t>Company</w:t>
      </w:r>
      <w:r>
        <w:rPr>
          <w:rFonts w:ascii="Times New Roman" w:hAnsi="Times New Roman"/>
          <w:sz w:val="20"/>
        </w:rPr>
        <w:t>) that is, or is acting on behalf of a beneficial owner of shares that is, as applicable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other jurisdiction) (an </w:t>
      </w:r>
      <w:r>
        <w:rPr>
          <w:rFonts w:ascii="Times New Roman" w:hAnsi="Times New Roman"/>
          <w:b/>
          <w:sz w:val="20"/>
        </w:rPr>
        <w:t>Eligible Opt-Out Shareholder</w:t>
      </w:r>
      <w:r>
        <w:rPr>
          <w:rFonts w:ascii="Times New Roman" w:hAnsi="Times New Roman"/>
          <w:sz w:val="20"/>
        </w:rPr>
        <w:t>) for the purpose of opting out of the Return of Capital Transaction (as defined below). You are a registered shareholder if your name appears directly on your share certificates or if you hold shares in book-entry form through the direct registration system (</w:t>
      </w:r>
      <w:r>
        <w:rPr>
          <w:rFonts w:ascii="Times New Roman" w:hAnsi="Times New Roman"/>
          <w:b/>
          <w:sz w:val="20"/>
        </w:rPr>
        <w:t>DRS</w:t>
      </w:r>
      <w:r>
        <w:rPr>
          <w:rFonts w:ascii="Times New Roman" w:hAnsi="Times New Roman"/>
          <w:sz w:val="20"/>
        </w:rPr>
        <w:t xml:space="preserve">) on the records of our transfer agent, Computershare Trust Company of Canada.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you are a </w:t>
      </w:r>
      <w:r>
        <w:rPr>
          <w:rFonts w:ascii="Times New Roman" w:hAnsi="Times New Roman"/>
          <w:i/>
          <w:sz w:val="20"/>
        </w:rPr>
        <w:t xml:space="preserve">non-registered </w:t>
      </w:r>
      <w:r>
        <w:rPr>
          <w:rFonts w:ascii="Times New Roman" w:hAnsi="Times New Roman"/>
          <w:sz w:val="20"/>
        </w:rPr>
        <w:t xml:space="preserve">shareholder satisfying the requirements to be an Eligible Opt-Out Shareholder, you should contact your investment dealer, stock broker, bank, trust company or other nominee or other intermediary to opt out of the Return of Capital Transaction. You are a non-registered shareholder if you own shares indirectly; nonregistered shareholders do not have shares registered in their name, but the shares are registered in the name of an intermediary, which include, among others, banks, trust companies, securities dealers or brokers and trustees or administrators of self-administered RRSPs, RRIFs, RESPs and similar plans. </w:t>
      </w:r>
    </w:p>
    <w:p>
      <w:pPr>
        <w:pStyle w:val="TextBody"/>
        <w:spacing w:before="240" w:after="0"/>
        <w:jc w:val="left"/>
        <w:rPr>
          <w:rFonts w:ascii="Times New Roman" w:hAnsi="Times New Roman"/>
          <w:sz w:val="20"/>
        </w:rPr>
      </w:pPr>
      <w:r>
        <w:rPr>
          <w:rFonts w:ascii="Times New Roman" w:hAnsi="Times New Roman"/>
          <w:sz w:val="20"/>
        </w:rPr>
        <w:t>Participants in Thomson Reuters employee stock purchase plans (</w:t>
      </w:r>
      <w:r>
        <w:rPr>
          <w:rFonts w:ascii="Times New Roman" w:hAnsi="Times New Roman"/>
          <w:b/>
          <w:sz w:val="20"/>
        </w:rPr>
        <w:t>ESPP</w:t>
      </w:r>
      <w:r>
        <w:rPr>
          <w:rFonts w:ascii="Times New Roman" w:hAnsi="Times New Roman"/>
          <w:sz w:val="20"/>
        </w:rPr>
        <w:t xml:space="preserve">) and holders of Depositary Interests should not use this Form. </w:t>
      </w:r>
    </w:p>
    <w:p>
      <w:pPr>
        <w:pStyle w:val="TextBody"/>
        <w:spacing w:before="360" w:after="0"/>
        <w:jc w:val="left"/>
        <w:rPr>
          <w:rFonts w:ascii="Times New Roman" w:hAnsi="Times New Roman"/>
          <w:b/>
          <w:i/>
          <w:sz w:val="20"/>
        </w:rPr>
      </w:pPr>
      <w:r>
        <w:rPr>
          <w:rFonts w:ascii="Times New Roman" w:hAnsi="Times New Roman"/>
          <w:b/>
          <w:i/>
          <w:sz w:val="20"/>
        </w:rPr>
        <w:t xml:space="preserve">Where can I find additional information? </w:t>
      </w:r>
    </w:p>
    <w:p>
      <w:pPr>
        <w:pStyle w:val="TextBody"/>
        <w:spacing w:before="120" w:after="0"/>
        <w:jc w:val="left"/>
        <w:rPr>
          <w:rFonts w:ascii="Times New Roman" w:hAnsi="Times New Roman"/>
          <w:sz w:val="20"/>
        </w:rPr>
      </w:pPr>
      <w:r>
        <w:rPr>
          <w:rFonts w:ascii="Times New Roman" w:hAnsi="Times New Roman"/>
          <w:sz w:val="20"/>
        </w:rPr>
        <w:t>A plan of arrangement (the </w:t>
      </w:r>
      <w:r>
        <w:rPr>
          <w:rFonts w:ascii="Times New Roman" w:hAnsi="Times New Roman"/>
          <w:b/>
          <w:sz w:val="20"/>
        </w:rPr>
        <w:t>Plan of Arrangement</w:t>
      </w:r>
      <w:r>
        <w:rPr>
          <w:rFonts w:ascii="Times New Roman" w:hAnsi="Times New Roman"/>
          <w:sz w:val="20"/>
        </w:rPr>
        <w:t>) implementing the Return of Capital Transaction is being submitted for approval at the annual and special meeting of shareholders of the Company to be held on June 14, 2023 (the </w:t>
      </w:r>
      <w:r>
        <w:rPr>
          <w:rFonts w:ascii="Times New Roman" w:hAnsi="Times New Roman"/>
          <w:b/>
          <w:sz w:val="20"/>
        </w:rPr>
        <w:t>Meeting</w:t>
      </w:r>
      <w:r>
        <w:rPr>
          <w:rFonts w:ascii="Times New Roman" w:hAnsi="Times New Roman"/>
          <w:sz w:val="20"/>
        </w:rPr>
        <w:t>), as described in a management proxy circular dated April 26, 2023 (the </w:t>
      </w:r>
      <w:r>
        <w:rPr>
          <w:rFonts w:ascii="Times New Roman" w:hAnsi="Times New Roman"/>
          <w:b/>
          <w:sz w:val="20"/>
        </w:rPr>
        <w:t>Circular</w:t>
      </w:r>
      <w:r>
        <w:rPr>
          <w:rFonts w:ascii="Times New Roman" w:hAnsi="Times New Roman"/>
          <w:sz w:val="20"/>
        </w:rPr>
        <w:t xml:space="preserve">). Shareholders are encouraged to review in their entirety the Circular prepared in connection with the Meeting, which is available under the Companys profile on SEDAR at </w:t>
      </w:r>
      <w:r>
        <w:rPr>
          <w:rFonts w:ascii="Times New Roman" w:hAnsi="Times New Roman"/>
          <w:sz w:val="20"/>
          <w:u w:val="single"/>
        </w:rPr>
        <w:t>www.sedar.com</w:t>
      </w:r>
      <w:r>
        <w:rPr>
          <w:rFonts w:ascii="Times New Roman" w:hAnsi="Times New Roman"/>
          <w:sz w:val="20"/>
        </w:rPr>
        <w:t xml:space="preserve"> and on EDGAR at </w:t>
      </w:r>
      <w:r>
        <w:rPr>
          <w:rFonts w:ascii="Times New Roman" w:hAnsi="Times New Roman"/>
          <w:sz w:val="20"/>
          <w:u w:val="single"/>
        </w:rPr>
        <w:t>www.sec.gov</w:t>
      </w:r>
      <w:r>
        <w:rPr>
          <w:rFonts w:ascii="Times New Roman" w:hAnsi="Times New Roman"/>
          <w:sz w:val="20"/>
        </w:rPr>
        <w:t xml:space="preserve">. The terms and conditions of the Return of Capital Transaction are incorporated by reference in this Form. Capitalized terms used but not defined in this Form have the meanings ascribed to them in the Plan of Arrangement and Circular that accompanies this Form. In the case of any inconsistency between the terms of this Form and the Plan of Arrangement and Circular, the terms of the Plan of Arrangement and Circular shall prevail. </w:t>
      </w:r>
    </w:p>
    <w:p>
      <w:pPr>
        <w:pStyle w:val="TextBody"/>
        <w:spacing w:before="360" w:after="0"/>
        <w:jc w:val="left"/>
        <w:rPr>
          <w:rFonts w:ascii="Times New Roman" w:hAnsi="Times New Roman"/>
          <w:b/>
          <w:i/>
          <w:sz w:val="20"/>
        </w:rPr>
      </w:pPr>
      <w:r>
        <w:rPr>
          <w:rFonts w:ascii="Times New Roman" w:hAnsi="Times New Roman"/>
          <w:b/>
          <w:i/>
          <w:sz w:val="20"/>
        </w:rPr>
        <w:t xml:space="preserve">What happens under the Return of Capital Transaction? </w:t>
      </w:r>
    </w:p>
    <w:p>
      <w:pPr>
        <w:pStyle w:val="TextBody"/>
        <w:spacing w:before="120" w:after="0"/>
        <w:jc w:val="left"/>
        <w:rPr>
          <w:rFonts w:ascii="Times New Roman" w:hAnsi="Times New Roman"/>
          <w:sz w:val="20"/>
        </w:rPr>
      </w:pPr>
      <w:r>
        <w:rPr>
          <w:rFonts w:ascii="Times New Roman" w:hAnsi="Times New Roman"/>
          <w:sz w:val="20"/>
        </w:rPr>
        <w:t>Under the Return of Capital Transaction, each shareholder that does not opt out (a </w:t>
      </w:r>
      <w:r>
        <w:rPr>
          <w:rFonts w:ascii="Times New Roman" w:hAnsi="Times New Roman"/>
          <w:b/>
          <w:sz w:val="20"/>
        </w:rPr>
        <w:t>participating shareholder</w:t>
      </w:r>
      <w:r>
        <w:rPr>
          <w:rFonts w:ascii="Times New Roman" w:hAnsi="Times New Roman"/>
          <w:sz w:val="20"/>
        </w:rPr>
        <w:t xml:space="preserve">) will receive, for each share, a cash distribution of US$4.67 and the shares held by such shareholder will be consolidated on a basis that is proportional to the cash distribution (through a reverse stock split). The share consolidation ratio will be fixed based on the volume weighed average trading price of the shares on the New York Stock Exchange for the five trading days immediately prior to the Effective Time. The formula to calculate the share consolidation ratio is set forth in the Information Regarding the Return of Capital Transaction  Terms of the Arrangement - Share Consolidation Ratio section of the Circular. </w:t>
      </w:r>
    </w:p>
    <w:p>
      <w:pPr>
        <w:pStyle w:val="TextBody"/>
        <w:spacing w:before="360" w:after="0"/>
        <w:jc w:val="left"/>
        <w:rPr>
          <w:rFonts w:ascii="Times New Roman" w:hAnsi="Times New Roman"/>
          <w:b/>
          <w:i/>
          <w:sz w:val="20"/>
        </w:rPr>
      </w:pPr>
      <w:r>
        <w:rPr>
          <w:rFonts w:ascii="Times New Roman" w:hAnsi="Times New Roman"/>
          <w:b/>
          <w:i/>
          <w:sz w:val="20"/>
        </w:rPr>
        <w:t xml:space="preserve">What happens if I exercise my right to opt out?     </w:t>
      </w:r>
    </w:p>
    <w:p>
      <w:pPr>
        <w:pStyle w:val="TextBody"/>
        <w:spacing w:before="120" w:after="0"/>
        <w:jc w:val="left"/>
        <w:rPr>
          <w:rFonts w:ascii="Times New Roman" w:hAnsi="Times New Roman"/>
          <w:sz w:val="20"/>
        </w:rPr>
      </w:pPr>
      <w:r>
        <w:rPr>
          <w:rFonts w:ascii="Times New Roman" w:hAnsi="Times New Roman"/>
          <w:sz w:val="20"/>
        </w:rPr>
        <w:t>A shareholder (an </w:t>
      </w:r>
      <w:r>
        <w:rPr>
          <w:rFonts w:ascii="Times New Roman" w:hAnsi="Times New Roman"/>
          <w:b/>
          <w:sz w:val="20"/>
        </w:rPr>
        <w:t>opting out shareholder</w:t>
      </w:r>
      <w:r>
        <w:rPr>
          <w:rFonts w:ascii="Times New Roman" w:hAnsi="Times New Roman"/>
          <w:sz w:val="20"/>
        </w:rPr>
        <w:t>) that exercises its right to opt out of the Return of Capital Transaction (the </w:t>
      </w:r>
      <w:r>
        <w:rPr>
          <w:rFonts w:ascii="Times New Roman" w:hAnsi="Times New Roman"/>
          <w:b/>
          <w:sz w:val="20"/>
        </w:rPr>
        <w:t>opt-out right</w:t>
      </w:r>
      <w:r>
        <w:rPr>
          <w:rFonts w:ascii="Times New Roman" w:hAnsi="Times New Roman"/>
          <w:sz w:val="20"/>
        </w:rPr>
        <w:t xml:space="preserve">) will not receive a cash distribution of US$4.67 per share and will not have its shares consolidated; it will continue to hold the same number of shares that it currently holds. An opting-out shareholder will realize a proportionate increase in its equity and voting interests in the Company by virtue of the consolidation of shares held by participating shareholders. For more information on the Return of Capital Transaction, please refer to the Circular. </w:t>
      </w:r>
    </w:p>
    <w:p>
      <w:pPr>
        <w:pStyle w:val="TextBody"/>
        <w:spacing w:before="360" w:after="0"/>
        <w:jc w:val="left"/>
        <w:rPr>
          <w:rFonts w:ascii="Times New Roman" w:hAnsi="Times New Roman"/>
          <w:b/>
          <w:i/>
          <w:sz w:val="20"/>
        </w:rPr>
      </w:pPr>
      <w:r>
        <w:rPr>
          <w:rFonts w:ascii="Times New Roman" w:hAnsi="Times New Roman"/>
          <w:b/>
          <w:i/>
          <w:sz w:val="20"/>
        </w:rPr>
        <w:t xml:space="preserve">Why is the opt-out right only being given to certain shareholders? </w:t>
      </w:r>
    </w:p>
    <w:p>
      <w:pPr>
        <w:pStyle w:val="TextBody"/>
        <w:spacing w:before="120" w:after="0"/>
        <w:jc w:val="left"/>
        <w:rPr>
          <w:rFonts w:ascii="Times New Roman" w:hAnsi="Times New Roman"/>
          <w:sz w:val="20"/>
        </w:rPr>
      </w:pPr>
      <w:r>
        <w:rPr>
          <w:rFonts w:ascii="Times New Roman" w:hAnsi="Times New Roman"/>
          <w:sz w:val="20"/>
        </w:rPr>
        <w:t xml:space="preserve">The opt-out right is being given to Eligible Opt-Out Shareholders because the tax consequences of not participating in the Return of Capital Transaction may be preferable to those associated with participating in the Return of Capital Transaction. For more information, see the Income Tax Considerations section of the Circular. Shareholders wishing to exercise their opt-out right are strongly urged to carefully consider the income tax consequences of exercising the opt-out right and to consult with their own tax advisors with respect to their particular circumstances and tax considerations applicable to them. </w:t>
      </w:r>
    </w:p>
    <w:p>
      <w:pPr>
        <w:pStyle w:val="TextBody"/>
        <w:spacing w:before="360" w:after="0"/>
        <w:jc w:val="left"/>
        <w:rPr>
          <w:rFonts w:ascii="Times New Roman" w:hAnsi="Times New Roman"/>
          <w:b/>
          <w:i/>
          <w:sz w:val="20"/>
        </w:rPr>
      </w:pPr>
      <w:r>
        <w:rPr>
          <w:rFonts w:ascii="Times New Roman" w:hAnsi="Times New Roman"/>
          <w:b/>
          <w:i/>
          <w:sz w:val="20"/>
        </w:rPr>
        <w:t xml:space="preserve">If I want to opt out, what do I need to send to the Depositary and whats the deadline? </w:t>
      </w:r>
    </w:p>
    <w:p>
      <w:pPr>
        <w:pStyle w:val="TextBody"/>
        <w:spacing w:before="120" w:after="0"/>
        <w:jc w:val="left"/>
        <w:rPr>
          <w:rFonts w:ascii="Times New Roman" w:hAnsi="Times New Roman"/>
          <w:sz w:val="20"/>
        </w:rPr>
      </w:pPr>
      <w:r>
        <w:rPr>
          <w:rFonts w:ascii="Times New Roman" w:hAnsi="Times New Roman"/>
          <w:sz w:val="20"/>
        </w:rPr>
        <w:t xml:space="preserve">Each Eligible Opt-Out Shareholder holding shares in its own name, by holding physical share certificates or by holding shares through DRS, may exercise the opt-out right by forwarding the following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to the Depositary prior to June 13, 2023 at 5:00 p.m. (Toronto time) or if the Meeting is adjourned or postponed, no later than 24 hours (excluding Saturdays, Sundays and holidays) before any adjourned or postponed meeting (the </w:t>
      </w:r>
      <w:r>
        <w:rPr>
          <w:rFonts w:ascii="Times New Roman" w:hAnsi="Times New Roman"/>
          <w:b/>
          <w:sz w:val="20"/>
        </w:rPr>
        <w:t>opt-out deadline</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duly completed version of this Form;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duly completed Letter of Transmittal enclosed separately (on yellow paper), accompanied by any certificates representing your shares. </w:t>
            </w:r>
          </w:p>
        </w:tc>
      </w:tr>
    </w:tbl>
    <w:p>
      <w:pPr>
        <w:pStyle w:val="TextBody"/>
        <w:spacing w:before="240" w:after="0"/>
        <w:jc w:val="left"/>
        <w:rPr>
          <w:rFonts w:ascii="Times New Roman" w:hAnsi="Times New Roman"/>
          <w:sz w:val="20"/>
        </w:rPr>
      </w:pPr>
      <w:r>
        <w:rPr>
          <w:rFonts w:ascii="Times New Roman" w:hAnsi="Times New Roman"/>
          <w:sz w:val="20"/>
        </w:rPr>
        <w:t xml:space="preserve">This Form may be submitted to the Depositary by mail, hand delivery, courier, registered mail or e-mail (at the addresses set forth on the cover of this Form) but the Letter of Transmittal and accompanying share certificate(s), if any, must be submitted to the Depositary by mail, hand delivery, courier or registered mail to the addresses set forth on the cover of the Letter of Transmittal. </w:t>
      </w:r>
    </w:p>
    <w:p>
      <w:pPr>
        <w:pStyle w:val="TextBody"/>
        <w:spacing w:before="240" w:after="0"/>
        <w:jc w:val="left"/>
        <w:rPr>
          <w:rFonts w:ascii="Times New Roman" w:hAnsi="Times New Roman"/>
          <w:sz w:val="20"/>
        </w:rPr>
      </w:pPr>
      <w:r>
        <w:rPr>
          <w:rFonts w:ascii="Times New Roman" w:hAnsi="Times New Roman"/>
          <w:sz w:val="20"/>
        </w:rPr>
        <w:t xml:space="preserve">Registered shareholders exercising the opt-out right may, upon request, be required to execute any additional documents and instruments as may be required by the Depositary or the Company, at their discretion, to be reasonably necessary or desirable to opt-out of the Return of Capital Transaction. </w:t>
      </w:r>
    </w:p>
    <w:p>
      <w:pPr>
        <w:pStyle w:val="TextBody"/>
        <w:spacing w:before="240" w:after="0"/>
        <w:jc w:val="left"/>
        <w:rPr>
          <w:rFonts w:ascii="Times New Roman" w:hAnsi="Times New Roman"/>
          <w:sz w:val="20"/>
        </w:rPr>
      </w:pPr>
      <w:r>
        <w:rPr>
          <w:rFonts w:ascii="Times New Roman" w:hAnsi="Times New Roman"/>
          <w:sz w:val="20"/>
        </w:rPr>
        <w:t xml:space="preserve">This Form is for use by registered shareholders only and is not to be used by beneficial (non-registered) holders of shares. Non-registered shareholders should contact their intermediary to exercise the opt-out right. </w:t>
      </w:r>
    </w:p>
    <w:p>
      <w:pPr>
        <w:pStyle w:val="TextBody"/>
        <w:spacing w:before="360" w:after="0"/>
        <w:jc w:val="left"/>
        <w:rPr>
          <w:rFonts w:ascii="Times New Roman" w:hAnsi="Times New Roman"/>
          <w:b/>
          <w:i/>
          <w:sz w:val="20"/>
        </w:rPr>
      </w:pPr>
      <w:r>
        <w:rPr>
          <w:rFonts w:ascii="Times New Roman" w:hAnsi="Times New Roman"/>
          <w:b/>
          <w:i/>
          <w:sz w:val="20"/>
        </w:rPr>
        <w:t xml:space="preserve">What happens to my shares if I opt out? </w:t>
      </w:r>
    </w:p>
    <w:p>
      <w:pPr>
        <w:pStyle w:val="TextBody"/>
        <w:spacing w:before="120" w:after="0"/>
        <w:jc w:val="left"/>
        <w:rPr>
          <w:rFonts w:ascii="Times New Roman" w:hAnsi="Times New Roman"/>
          <w:sz w:val="20"/>
        </w:rPr>
      </w:pPr>
      <w:r>
        <w:rPr>
          <w:rFonts w:ascii="Times New Roman" w:hAnsi="Times New Roman"/>
          <w:sz w:val="20"/>
        </w:rPr>
        <w:t xml:space="preserve">Although the number of shares held by each opting-out shareholder will not change as a result of the Return of Capital Transaction, as of the Effective Time, each registered opting-out shareholder shall be entitled to receive new DRS statement(s) (or if requested in its Letter of Transmittal, share certificate(s)) representing its shares reflecting the new CUSIP number for the shares. </w:t>
      </w:r>
    </w:p>
    <w:p>
      <w:pPr>
        <w:pStyle w:val="TextBody"/>
        <w:spacing w:before="360" w:after="0"/>
        <w:jc w:val="left"/>
        <w:rPr>
          <w:rFonts w:ascii="Times New Roman" w:hAnsi="Times New Roman"/>
          <w:b/>
          <w:i/>
          <w:sz w:val="20"/>
        </w:rPr>
      </w:pPr>
      <w:r>
        <w:rPr>
          <w:rFonts w:ascii="Times New Roman" w:hAnsi="Times New Roman"/>
          <w:b/>
          <w:i/>
          <w:sz w:val="20"/>
        </w:rPr>
        <w:t xml:space="preserve">Can I withdraw an opt-out election? </w:t>
      </w:r>
    </w:p>
    <w:p>
      <w:pPr>
        <w:pStyle w:val="TextBody"/>
        <w:spacing w:before="120" w:after="0"/>
        <w:jc w:val="left"/>
        <w:rPr>
          <w:rFonts w:ascii="Times New Roman" w:hAnsi="Times New Roman"/>
          <w:sz w:val="20"/>
        </w:rPr>
      </w:pPr>
      <w:r>
        <w:rPr>
          <w:rFonts w:ascii="Times New Roman" w:hAnsi="Times New Roman"/>
          <w:sz w:val="20"/>
        </w:rPr>
        <w:t xml:space="preserve">This Form may be withdrawn by a shareholder prior to the opt-out deadline, but is irrevocable thereafter. To withdraw this Form, the shareholder must provide a written notice of revocation to the Depositary that (a) specifies the name of the shareholder having exercised the opt-out right under this Form to be withdrawn and (b) is signed by the shareholder in the same manner as the signature on this Form. If a shareholder does not revoke its election to opt out before the opt-out deadline, such shareholder will not be able to transfer its shares for any reason until the completion of the Return of Capital Transaction. </w:t>
      </w:r>
    </w:p>
    <w:p>
      <w:pPr>
        <w:pStyle w:val="TextBody"/>
        <w:spacing w:before="360" w:after="0"/>
        <w:jc w:val="left"/>
        <w:rPr>
          <w:rFonts w:ascii="Times New Roman" w:hAnsi="Times New Roman"/>
          <w:b/>
          <w:i/>
          <w:sz w:val="20"/>
        </w:rPr>
      </w:pPr>
      <w:r>
        <w:rPr>
          <w:rFonts w:ascii="Times New Roman" w:hAnsi="Times New Roman"/>
          <w:b/>
          <w:i/>
          <w:sz w:val="20"/>
        </w:rPr>
        <w:t xml:space="preserve">Can I sell or transfer shares after delivering this Form? </w:t>
      </w:r>
    </w:p>
    <w:p>
      <w:pPr>
        <w:pStyle w:val="TextBody"/>
        <w:spacing w:before="120" w:after="0"/>
        <w:jc w:val="left"/>
        <w:rPr>
          <w:rFonts w:ascii="Times New Roman" w:hAnsi="Times New Roman"/>
          <w:sz w:val="20"/>
        </w:rPr>
      </w:pPr>
      <w:r>
        <w:rPr>
          <w:rFonts w:ascii="Times New Roman" w:hAnsi="Times New Roman"/>
          <w:sz w:val="20"/>
        </w:rPr>
        <w:t xml:space="preserve">Registered shareholders wishing to sell or transfer their shares after delivering a duly completed version of this Form must provide written notice to the Depositary prior to the opt-out deadline which revokes their election with respect to the shares that they wish to transfer and requests the return of such shares that are deposited with the Depositary. Registered shareholders should allow sufficient time for this process in order to transfer deposited shares. Otherwise, you will not be able to transfer shares until after the Return of Capital Transaction is completed. </w:t>
      </w:r>
    </w:p>
    <w:p>
      <w:pPr>
        <w:pStyle w:val="TextBody"/>
        <w:spacing w:before="36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b/>
          <w:sz w:val="20"/>
        </w:rPr>
      </w:pPr>
      <w:r>
        <w:rPr>
          <w:rFonts w:ascii="Times New Roman" w:hAnsi="Times New Roman"/>
          <w:b/>
          <w:sz w:val="20"/>
        </w:rPr>
        <w:t xml:space="preserve">It is recommended that registered shareholders wishing to opt out of the Return of Capital Transaction complete, sign and return this Form to the Depositary as soon as practicable following receipt. Any shareholder who does not deposit with the Depositary a duly completed Form prior to the opt-out deadline, or otherwise fails to comply with the requirements under this Form, the Plan of Arrangement or the Circular, shall be deemed to be a participating shareholder.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None of Thomson Reuters, its board of directors, the Information Agent or the Depositary makes any recommendation to any shareholder as to whether to opt out of the Return of Capital Transaction. Shareholders are urged to evaluate carefully all information in this Opt-Out Election and Certification Form, the Circular and other material related to the Return of Capital Transaction, consult their own financial, legal, investment and tax advisors and make their own decisions as to whether to exercise the opt-out right. See the Information Regarding the Return of Capital Transaction  Terms of the Arrangement  Opt-Out Right and Income Tax Considerations sections of the Circular. </w:t>
      </w:r>
    </w:p>
    <w:p>
      <w:pPr>
        <w:pStyle w:val="TextBody"/>
        <w:spacing w:before="240" w:after="0"/>
        <w:jc w:val="left"/>
        <w:rPr>
          <w:rFonts w:ascii="Times New Roman" w:hAnsi="Times New Roman"/>
          <w:b/>
          <w:sz w:val="20"/>
        </w:rPr>
      </w:pPr>
      <w:r>
        <w:rPr>
          <w:rFonts w:ascii="Times New Roman" w:hAnsi="Times New Roman"/>
          <w:b/>
          <w:sz w:val="20"/>
        </w:rPr>
        <w:t xml:space="preserve">Delivery of this instrument to an address other than shown above does not constitute a valid delivery.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22"/>
        <w:gridCol w:w="203"/>
        <w:gridCol w:w="8880"/>
      </w:tblGrid>
      <w:tr>
        <w:trPr/>
        <w:tc>
          <w:tcPr>
            <w:tcW w:w="112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880" w:type="dxa"/>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tcPr>
          <w:p>
            <w:pPr>
              <w:pStyle w:val="TableContents"/>
              <w:spacing w:before="0" w:after="283"/>
              <w:rPr>
                <w:b/>
              </w:rPr>
            </w:pPr>
            <w:r>
              <w:rPr>
                <w:b/>
              </w:rPr>
              <w:t>TO:</w:t>
            </w:r>
          </w:p>
        </w:tc>
        <w:tc>
          <w:tcPr>
            <w:tcW w:w="203" w:type="dxa"/>
            <w:tcBorders/>
            <w:shd w:fill="auto" w:val="clear"/>
            <w:vAlign w:val="bottom"/>
          </w:tcPr>
          <w:p>
            <w:pPr>
              <w:pStyle w:val="TableContents"/>
              <w:spacing w:before="0" w:after="283"/>
              <w:rPr/>
            </w:pPr>
            <w:r>
              <w:rPr/>
              <w:t>  </w:t>
            </w:r>
          </w:p>
        </w:tc>
        <w:tc>
          <w:tcPr>
            <w:tcW w:w="8880" w:type="dxa"/>
            <w:tcBorders/>
            <w:shd w:fill="auto" w:val="clear"/>
          </w:tcPr>
          <w:p>
            <w:pPr>
              <w:pStyle w:val="TableContents"/>
              <w:spacing w:before="0" w:after="283"/>
              <w:rPr>
                <w:b/>
              </w:rPr>
            </w:pPr>
            <w:r>
              <w:rPr>
                <w:b/>
              </w:rPr>
              <w:t>THOMSON REUTERS CORPORATION</w:t>
            </w:r>
          </w:p>
        </w:tc>
      </w:tr>
      <w:tr>
        <w:trPr/>
        <w:tc>
          <w:tcPr>
            <w:tcW w:w="1122" w:type="dxa"/>
            <w:tcBorders/>
            <w:shd w:fill="auto" w:val="clear"/>
          </w:tcPr>
          <w:p>
            <w:pPr>
              <w:pStyle w:val="TableContents"/>
              <w:spacing w:before="0" w:after="283"/>
              <w:rPr>
                <w:b/>
              </w:rPr>
            </w:pPr>
            <w:r>
              <w:rPr>
                <w:b/>
              </w:rPr>
              <w:t>AND TO:        </w:t>
            </w:r>
          </w:p>
        </w:tc>
        <w:tc>
          <w:tcPr>
            <w:tcW w:w="203" w:type="dxa"/>
            <w:tcBorders/>
            <w:shd w:fill="auto" w:val="clear"/>
            <w:vAlign w:val="bottom"/>
          </w:tcPr>
          <w:p>
            <w:pPr>
              <w:pStyle w:val="TableContents"/>
              <w:spacing w:before="0" w:after="283"/>
              <w:rPr/>
            </w:pPr>
            <w:r>
              <w:rPr/>
              <w:t>  </w:t>
            </w:r>
          </w:p>
        </w:tc>
        <w:tc>
          <w:tcPr>
            <w:tcW w:w="8880" w:type="dxa"/>
            <w:tcBorders/>
            <w:shd w:fill="auto" w:val="clear"/>
          </w:tcPr>
          <w:p>
            <w:pPr>
              <w:pStyle w:val="TableContents"/>
              <w:spacing w:before="0" w:after="283"/>
              <w:rPr>
                <w:b/>
              </w:rPr>
            </w:pPr>
            <w:r>
              <w:rPr>
                <w:b/>
              </w:rPr>
              <w:t>COMPUTERSHARE INVESTOR SERVICES INC.</w:t>
            </w:r>
          </w:p>
        </w:tc>
      </w:tr>
    </w:tbl>
    <w:p>
      <w:pPr>
        <w:pStyle w:val="TextBody"/>
        <w:spacing w:before="0" w:after="0"/>
        <w:jc w:val="left"/>
        <w:rPr/>
      </w:pPr>
      <w:r>
        <w:rPr/>
        <w:t> </w:t>
      </w:r>
    </w:p>
    <w:p>
      <w:pPr>
        <w:pStyle w:val="TextBody"/>
        <w:pBdr/>
        <w:spacing w:before="0" w:after="12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Instructions set forth in this Opt-Out Election and Certification Form, the Circular and other materials related to the Return of Capital Transaction should be read carefully before this Form is completed. </w:t>
      </w:r>
    </w:p>
    <w:p>
      <w:pPr>
        <w:pStyle w:val="TextBody"/>
        <w:spacing w:before="360" w:after="0"/>
        <w:jc w:val="left"/>
        <w:rPr>
          <w:rFonts w:ascii="Times New Roman" w:hAnsi="Times New Roman"/>
          <w:b/>
          <w:sz w:val="20"/>
        </w:rPr>
      </w:pPr>
      <w:r>
        <w:rPr>
          <w:rFonts w:ascii="Times New Roman" w:hAnsi="Times New Roman"/>
          <w:b/>
          <w:sz w:val="20"/>
        </w:rPr>
        <w:t xml:space="preserve">TO: COMPUTERSHARE INVESTOR SERVICES INC. </w:t>
      </w:r>
    </w:p>
    <w:p>
      <w:pPr>
        <w:pStyle w:val="TextBody"/>
        <w:spacing w:before="120" w:after="0"/>
        <w:jc w:val="left"/>
        <w:rPr>
          <w:rFonts w:ascii="Times New Roman" w:hAnsi="Times New Roman"/>
          <w:b/>
          <w:sz w:val="20"/>
        </w:rPr>
      </w:pPr>
      <w:r>
        <w:rPr>
          <w:rFonts w:ascii="Times New Roman" w:hAnsi="Times New Roman"/>
          <w:b/>
          <w:sz w:val="20"/>
        </w:rPr>
        <w:t xml:space="preserve">STEP #1: ELECTION TO EXERCISE OPT-OUT RIGHT </w:t>
      </w:r>
    </w:p>
    <w:p>
      <w:pPr>
        <w:pStyle w:val="TextBody"/>
        <w:spacing w:before="120" w:after="0"/>
        <w:jc w:val="left"/>
        <w:rPr>
          <w:rFonts w:ascii="Times New Roman" w:hAnsi="Times New Roman"/>
          <w:b/>
          <w:sz w:val="20"/>
        </w:rPr>
      </w:pPr>
      <w:r>
        <w:rPr>
          <w:rFonts w:ascii="Times New Roman" w:hAnsi="Times New Roman"/>
          <w:b/>
          <w:sz w:val="20"/>
          <w:u w:val="single"/>
        </w:rPr>
        <w:t>A) Registered Shareholders:</w:t>
      </w:r>
      <w:r>
        <w:rPr>
          <w:rFonts w:ascii="Times New Roman" w:hAnsi="Times New Roman"/>
          <w:b/>
          <w:sz w:val="20"/>
        </w:rPr>
        <w:t xml:space="preserve"> </w:t>
      </w:r>
    </w:p>
    <w:p>
      <w:pPr>
        <w:pStyle w:val="TextBody"/>
        <w:spacing w:before="120" w:after="0"/>
        <w:jc w:val="left"/>
        <w:rPr>
          <w:rFonts w:ascii="Times New Roman" w:hAnsi="Times New Roman"/>
          <w:i/>
          <w:sz w:val="20"/>
        </w:rPr>
      </w:pPr>
      <w:r>
        <w:rPr>
          <w:rFonts w:ascii="Times New Roman" w:hAnsi="Times New Roman"/>
          <w:i/>
          <w:sz w:val="20"/>
        </w:rPr>
        <w:t xml:space="preserve">This Step 1(A) should only be completed if the shareholder holds physical share certificates or hold shares through DRS in its own name. If the shareholder is holding shares on behalf of one or more beneficial holders of shares, please fill out Step 1(B) below. </w:t>
      </w:r>
    </w:p>
    <w:p>
      <w:pPr>
        <w:pStyle w:val="TextBody"/>
        <w:spacing w:before="240" w:after="0"/>
        <w:jc w:val="left"/>
        <w:rPr>
          <w:rFonts w:ascii="Times New Roman" w:hAnsi="Times New Roman"/>
          <w:b/>
          <w:i/>
          <w:sz w:val="20"/>
        </w:rPr>
      </w:pPr>
      <w:r>
        <w:rPr>
          <w:rFonts w:ascii="Times New Roman" w:hAnsi="Times New Roman"/>
          <w:b/>
          <w:i/>
          <w:sz w:val="20"/>
          <w:u w:val="single"/>
        </w:rPr>
        <w:t>PLEASE CHECK THIS BOX</w:t>
      </w:r>
      <w:r>
        <w:rPr>
          <w:rFonts w:ascii="Times New Roman" w:hAnsi="Times New Roman"/>
          <w:b/>
          <w:i/>
          <w:sz w:val="20"/>
        </w:rPr>
        <w:t xml:space="preserve"> if you wish to opt out of the Return of Capital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The undersigned hereby elects to opt out of the Return of Capital Transaction for all of the shares held by the undersigned (as detailed in the table below). By opting out, the undersigned shareholder acknowledges and understands that it will not receive the cash distribution nor have its shares consolidated. </w:t>
            </w:r>
          </w:p>
        </w:tc>
      </w:tr>
    </w:tbl>
    <w:p>
      <w:pPr>
        <w:pStyle w:val="TextBody"/>
        <w:spacing w:before="240" w:after="0"/>
        <w:jc w:val="left"/>
        <w:rPr>
          <w:rFonts w:ascii="Times New Roman" w:hAnsi="Times New Roman"/>
          <w:sz w:val="20"/>
        </w:rPr>
      </w:pPr>
      <w:r>
        <w:rPr>
          <w:rFonts w:ascii="Times New Roman" w:hAnsi="Times New Roman"/>
          <w:sz w:val="20"/>
        </w:rPr>
        <w:t xml:space="preserve">The undersigned hereby certifies that the undersigned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jurisdiction). </w:t>
      </w:r>
    </w:p>
    <w:p>
      <w:pPr>
        <w:pStyle w:val="TextBody"/>
        <w:spacing w:before="240" w:after="0"/>
        <w:jc w:val="left"/>
        <w:rPr>
          <w:rFonts w:ascii="Times New Roman" w:hAnsi="Times New Roman"/>
          <w:i/>
          <w:sz w:val="20"/>
        </w:rPr>
      </w:pPr>
      <w:r>
        <w:rPr>
          <w:rFonts w:ascii="Times New Roman" w:hAnsi="Times New Roman"/>
          <w:i/>
          <w:sz w:val="20"/>
        </w:rPr>
        <w:t xml:space="preserve">Please list all details of the share certificates or DRS positions that you hold. If you hold shares through DRS, you do not need to fill out Certificate Number(s) in the table below. See Instructions 2 and 3.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3518"/>
        <w:gridCol w:w="121"/>
        <w:gridCol w:w="3243"/>
        <w:gridCol w:w="121"/>
        <w:gridCol w:w="3099"/>
      </w:tblGrid>
      <w:tr>
        <w:trPr/>
        <w:tc>
          <w:tcPr>
            <w:tcW w:w="35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4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99" w:type="dxa"/>
            <w:tcBorders/>
            <w:shd w:fill="auto" w:val="clear"/>
            <w:vAlign w:val="center"/>
          </w:tcPr>
          <w:p>
            <w:pPr>
              <w:pStyle w:val="TableContents"/>
              <w:spacing w:before="0" w:after="283"/>
              <w:rPr>
                <w:sz w:val="4"/>
                <w:szCs w:val="4"/>
              </w:rPr>
            </w:pPr>
            <w:r>
              <w:rPr>
                <w:sz w:val="4"/>
                <w:szCs w:val="4"/>
              </w:rPr>
            </w:r>
          </w:p>
        </w:tc>
      </w:tr>
      <w:tr>
        <w:trPr/>
        <w:tc>
          <w:tcPr>
            <w:tcW w:w="351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jc w:val="center"/>
              <w:rPr>
                <w:b/>
              </w:rPr>
            </w:pPr>
            <w:r>
              <w:rPr>
                <w:b/>
              </w:rPr>
              <w:t>Certificate Number(s)</w:t>
            </w:r>
          </w:p>
        </w:tc>
        <w:tc>
          <w:tcPr>
            <w:tcW w:w="12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243"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283"/>
              <w:jc w:val="center"/>
              <w:rPr>
                <w:b/>
              </w:rPr>
            </w:pPr>
            <w:r>
              <w:rPr>
                <w:b/>
              </w:rPr>
              <w:t>Name in Which Registered</w:t>
            </w:r>
          </w:p>
        </w:tc>
        <w:tc>
          <w:tcPr>
            <w:tcW w:w="12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099" w:type="dxa"/>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283"/>
              <w:jc w:val="center"/>
              <w:rPr>
                <w:b/>
              </w:rPr>
            </w:pPr>
            <w:r>
              <w:rPr>
                <w:b/>
              </w:rPr>
              <w:t>Number of Shares</w:t>
            </w:r>
          </w:p>
        </w:tc>
      </w:tr>
      <w:tr>
        <w:trPr/>
        <w:tc>
          <w:tcPr>
            <w:tcW w:w="351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43"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3099"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r>
        <w:trPr/>
        <w:tc>
          <w:tcPr>
            <w:tcW w:w="351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43"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3099"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r>
        <w:trPr/>
        <w:tc>
          <w:tcPr>
            <w:tcW w:w="351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43"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3099"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r>
        <w:trPr/>
        <w:tc>
          <w:tcPr>
            <w:tcW w:w="351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43"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3099"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u w:val="single"/>
        </w:rPr>
        <w:t>B) Registered Shareholders Who Are Intermediaries Acting on Behalf of Beneficial Owners: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i/>
          <w:sz w:val="20"/>
        </w:rPr>
        <w:t>This Step 1(B) should only be completed if the registered shareholder holds shares on behalf of one or more beneficial holders of shares (the </w:t>
      </w:r>
      <w:r>
        <w:rPr>
          <w:rFonts w:ascii="Times New Roman" w:hAnsi="Times New Roman"/>
          <w:b/>
          <w:i/>
          <w:sz w:val="20"/>
        </w:rPr>
        <w:t>Beneficial Owners</w:t>
      </w:r>
      <w:r>
        <w:rPr>
          <w:rFonts w:ascii="Times New Roman" w:hAnsi="Times New Roman"/>
          <w:i/>
          <w:sz w:val="20"/>
        </w:rPr>
        <w:t xml:space="preserve">). </w:t>
      </w:r>
    </w:p>
    <w:p>
      <w:pPr>
        <w:pStyle w:val="TextBody"/>
        <w:spacing w:before="240" w:after="0"/>
        <w:jc w:val="left"/>
        <w:rPr>
          <w:rFonts w:ascii="Times New Roman" w:hAnsi="Times New Roman"/>
          <w:b/>
          <w:i/>
          <w:sz w:val="20"/>
        </w:rPr>
      </w:pPr>
      <w:r>
        <w:rPr>
          <w:rFonts w:ascii="Times New Roman" w:hAnsi="Times New Roman"/>
          <w:b/>
          <w:i/>
          <w:sz w:val="20"/>
          <w:u w:val="single"/>
        </w:rPr>
        <w:t>PLEASE CHECK ONE BOX ONLY,</w:t>
      </w:r>
      <w:r>
        <w:rPr>
          <w:rFonts w:ascii="Times New Roman" w:hAnsi="Times New Roman"/>
          <w:b/>
          <w:i/>
          <w:sz w:val="20"/>
        </w:rPr>
        <w:t xml:space="preserve"> as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The registered shareholder is not the Beneficial Owner of the shares. There is only one Beneficial Owner and such Beneficial Owner wishes to opt out of the Return of Capital Transaction in respect of all of the shares held by such Beneficial Owner.</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The registered shareholder is not the Beneficial Owner of the shares. There is more than one Beneficial Owner and the Beneficial Owners holding (</w:t>
            </w:r>
            <w:r>
              <w:rPr>
                <w:rFonts w:ascii="Times New Roman" w:hAnsi="Times New Roman"/>
                <w:b/>
                <w:i/>
                <w:sz w:val="20"/>
              </w:rPr>
              <w:t>insert number of shares</w:t>
            </w:r>
            <w:r>
              <w:rPr>
                <w:rFonts w:ascii="Times New Roman" w:hAnsi="Times New Roman"/>
                <w:b/>
                <w:sz w:val="20"/>
              </w:rPr>
              <w:t xml:space="preserve">) shares wish to opt out of the Return of Capital Transaction in respect of all of the shares held by each Beneficial Owner wishing to opt out. </w:t>
            </w:r>
          </w:p>
        </w:tc>
      </w:tr>
    </w:tbl>
    <w:p>
      <w:pPr>
        <w:pStyle w:val="TextBody"/>
        <w:spacing w:before="240" w:after="0"/>
        <w:jc w:val="left"/>
        <w:rPr>
          <w:rFonts w:ascii="Times New Roman" w:hAnsi="Times New Roman"/>
          <w:sz w:val="20"/>
        </w:rPr>
      </w:pPr>
      <w:r>
        <w:rPr>
          <w:rFonts w:ascii="Times New Roman" w:hAnsi="Times New Roman"/>
          <w:sz w:val="20"/>
        </w:rPr>
        <w:t xml:space="preserve">The undersigned hereby certifies that each Beneficial Owner who wishes to exercise the opt-out right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jurisdiction). </w:t>
      </w:r>
    </w:p>
    <w:p>
      <w:pPr>
        <w:pStyle w:val="TextBody"/>
        <w:spacing w:before="360" w:after="0"/>
        <w:jc w:val="left"/>
        <w:rPr>
          <w:rFonts w:ascii="Times New Roman" w:hAnsi="Times New Roman"/>
          <w:b/>
          <w:sz w:val="20"/>
        </w:rPr>
      </w:pPr>
      <w:r>
        <w:rPr>
          <w:rFonts w:ascii="Times New Roman" w:hAnsi="Times New Roman"/>
          <w:b/>
          <w:sz w:val="20"/>
        </w:rPr>
        <w:t xml:space="preserve">STEP #2: COMPLETE BOX A BELOW </w:t>
      </w:r>
    </w:p>
    <w:p>
      <w:pPr>
        <w:pStyle w:val="TextBody"/>
        <w:spacing w:before="120" w:after="0"/>
        <w:jc w:val="left"/>
        <w:rPr>
          <w:rFonts w:ascii="Times New Roman" w:hAnsi="Times New Roman"/>
          <w:b/>
          <w:sz w:val="20"/>
        </w:rPr>
      </w:pPr>
      <w:r>
        <w:rPr>
          <w:rFonts w:ascii="Times New Roman" w:hAnsi="Times New Roman"/>
          <w:b/>
          <w:sz w:val="20"/>
        </w:rPr>
        <w:t xml:space="preserve">Eligible Opt-Out Shareholders should carefully consider the income tax consequences of exercising the opt-out right. See the Income Tax Considerations section of the Circular that accompanies this Opt-Out Election and Certification Form. </w:t>
      </w:r>
    </w:p>
    <w:p>
      <w:pPr>
        <w:pStyle w:val="TextBody"/>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is the owner, or is acting on behalf of the owner, of the number of shares described above and the undersigned has good title to the shares represented by the said certificate(s), free and clear of all liens, charges and encumbrances, and has full power and authority to herewith deposit such shares. The undersigned hereby represents and warrants that all information provided by the undersigned herein is complete, true and accurate. The undersigned covenants and agrees to execute and deliver all such documents and other assurances as may be necessary or desirable to complete the election and opt out of the Return of Capital Transaction pursuant to the Plan of Arrangement. The undersigned covenants not to sell or transfer, or permit to be sold or transferred, any of the shares covered by this Form following the exercise of its opt-out right unless written notice is provided to the Depositary prior to the opt-out deadline revoking its election with respect to the shares in the manner specified herein. These representations, warranties, covenants, acknowledgements and agreements shall survive the completion of the Return of Capital Transaction. </w:t>
      </w:r>
    </w:p>
    <w:p>
      <w:pPr>
        <w:pStyle w:val="TextBody"/>
        <w:spacing w:before="240" w:after="0"/>
        <w:jc w:val="left"/>
        <w:rPr>
          <w:rFonts w:ascii="Times New Roman" w:hAnsi="Times New Roman"/>
          <w:sz w:val="20"/>
        </w:rPr>
      </w:pPr>
      <w:r>
        <w:rPr>
          <w:rFonts w:ascii="Times New Roman" w:hAnsi="Times New Roman"/>
          <w:sz w:val="20"/>
        </w:rPr>
        <w:t xml:space="preserve">The undersigned hereby acknowledges that the delivery of this Opt-Out Election and Certification Form, and the exercise of the opt-out right shall be effected, only upon proper receipt thereof by the Depositary. </w:t>
      </w:r>
      <w:r>
        <w:rPr>
          <w:rFonts w:ascii="Times New Roman" w:hAnsi="Times New Roman"/>
          <w:b/>
          <w:sz w:val="20"/>
        </w:rPr>
        <w:t>The undersigned understands that if the undersigned does not deliver to the Depositary, or if the Depositary does not properly receive, at or prior to the opt-out deadline, a duly completed version of this Form and, in the case of shareholders holding shares in certificated form, a duly completed Letter of Transmittal and such share certificate(s), as well as any other required documents deemed by the Depositary or the Company in their discretion, then the undersigned will be deemed to be a participating shareholder under the Return of Capital 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All authority conferred or agreed to be conferred by the undersigned in this Form may be exercised upon death or during any subsequent legal incapacity of the undersigned and all obligations of the undersigned in this Form shall be binding upon the heirs, personal representatives, successors and assigns of the undersigned.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undersigned recognizes that under certain circumstances set forth in the Plan of Arrangement and the Circular, the Company may terminate or amend the Plan of Arrangement. </w:t>
      </w:r>
    </w:p>
    <w:p>
      <w:pPr>
        <w:pStyle w:val="TextBody"/>
        <w:spacing w:before="240" w:after="0"/>
        <w:jc w:val="left"/>
        <w:rPr>
          <w:rFonts w:ascii="Times New Roman" w:hAnsi="Times New Roman"/>
          <w:sz w:val="20"/>
        </w:rPr>
      </w:pPr>
      <w:r>
        <w:rPr>
          <w:rFonts w:ascii="Times New Roman" w:hAnsi="Times New Roman"/>
          <w:sz w:val="20"/>
        </w:rPr>
        <w:t xml:space="preserve">By reason of the use by the undersigned of an English language form of this Opt-out Election and Certification Form, the undersigned shall be deemed to have required that any contract evidenced by the Plan of Arrangement as accepted through this Opt-Out Election and Certification Form, as well as all documents related thereto, be drawn exclusively in the English language. En raison de lusage dun formulaire de retrait et dattestation en langue anglaise par le soussigné, le soussigné est réputé avoir requis que tout contrat attesté par le plan darrangement et son acceptation par ce formulaire de retrait et dattestation, de même que tous les documents qui sy rapportent, soient rédigés exclusivement en langue anglaise.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BOX A </w:t>
      </w:r>
    </w:p>
    <w:p>
      <w:pPr>
        <w:pStyle w:val="TextBody"/>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SHAREHOLDER(S) SIGN HERE </w:t>
      </w:r>
    </w:p>
    <w:p>
      <w:pPr>
        <w:pStyle w:val="TextBody"/>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(See Instructions 1 and 3) </w:t>
      </w:r>
    </w:p>
    <w:p>
      <w:pPr>
        <w:pStyle w:val="TextBody"/>
        <w:pBdr/>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Must be duly executed by registered owner(s) exactly as name(s) appear(s) on the undersigneds share certificate(s) or DRS statement(s) and any other documents transmitted with this Opt-Out Election and Certification Form. If signature is by attorney-in-fact, executor, administrator, trustee, guardian, officer of a corporation or other legal representative acting in a fiduciary or representative capacity, please set forth the full title. See Instructions 3 and 5. </w:t>
      </w:r>
    </w:p>
    <w:p>
      <w:pPr>
        <w:pStyle w:val="TextBody"/>
        <w:spacing w:before="0" w:after="0"/>
        <w:jc w:val="left"/>
        <w:rPr>
          <w:bdr w:val="single" w:sz="2" w:space="2" w:color="000000"/>
        </w:rPr>
      </w:pPr>
      <w:r>
        <w:rPr>
          <w:bdr w:val="single" w:sz="2" w:space="2" w:color="000000"/>
        </w:rPr>
        <w:t> </w:t>
      </w:r>
    </w:p>
    <w:tbl>
      <w:tblPr>
        <w:tblW w:w="4800" w:type="pct"/>
        <w:jc w:val="center"/>
        <w:tblInd w:w="0" w:type="dxa"/>
        <w:tblCellMar>
          <w:top w:w="0" w:type="dxa"/>
          <w:left w:w="0" w:type="dxa"/>
          <w:bottom w:w="0" w:type="dxa"/>
          <w:right w:w="0" w:type="dxa"/>
        </w:tblCellMar>
      </w:tblPr>
      <w:tblGrid>
        <w:gridCol w:w="1154"/>
        <w:gridCol w:w="111"/>
        <w:gridCol w:w="3158"/>
        <w:gridCol w:w="111"/>
        <w:gridCol w:w="568"/>
        <w:gridCol w:w="111"/>
        <w:gridCol w:w="1291"/>
        <w:gridCol w:w="118"/>
        <w:gridCol w:w="3174"/>
      </w:tblGrid>
      <w:tr>
        <w:trPr/>
        <w:tc>
          <w:tcPr>
            <w:tcW w:w="115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15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174" w:type="dxa"/>
            <w:tcBorders/>
            <w:shd w:fill="auto" w:val="clear"/>
            <w:vAlign w:val="center"/>
          </w:tcPr>
          <w:p>
            <w:pPr>
              <w:pStyle w:val="TableContents"/>
              <w:spacing w:before="0" w:after="283"/>
              <w:rPr>
                <w:sz w:val="4"/>
                <w:szCs w:val="4"/>
              </w:rPr>
            </w:pPr>
            <w:r>
              <w:rPr>
                <w:sz w:val="4"/>
                <w:szCs w:val="4"/>
              </w:rPr>
            </w:r>
          </w:p>
        </w:tc>
      </w:tr>
      <w:tr>
        <w:trPr/>
        <w:tc>
          <w:tcPr>
            <w:tcW w:w="9796" w:type="dxa"/>
            <w:gridSpan w:val="9"/>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Authorized Signature(s):</w:t>
            </w:r>
          </w:p>
          <w:p>
            <w:pPr>
              <w:pStyle w:val="TableContents"/>
              <w:spacing w:before="0" w:after="20"/>
              <w:jc w:val="left"/>
              <w:rPr/>
            </w:pPr>
            <w:r>
              <w:rPr/>
              <w:t> </w:t>
            </w:r>
          </w:p>
        </w:tc>
      </w:tr>
      <w:tr>
        <w:trPr/>
        <w:tc>
          <w:tcPr>
            <w:tcW w:w="4423" w:type="dxa"/>
            <w:gridSpan w:val="3"/>
            <w:tcBorders/>
            <w:shd w:fill="auto" w:val="clear"/>
            <w:vAlign w:val="bottom"/>
          </w:tcPr>
          <w:p>
            <w:pPr>
              <w:pStyle w:val="TableContents"/>
              <w:spacing w:before="0" w:after="283"/>
              <w:rPr/>
            </w:pPr>
            <w:r>
              <w:rPr/>
              <w:t>Signature guaranteed by</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rPr>
                <w:sz w:val="4"/>
                <w:szCs w:val="4"/>
              </w:rPr>
            </w:pPr>
            <w:r>
              <w:rPr>
                <w:sz w:val="4"/>
                <w:szCs w:val="4"/>
              </w:rPr>
            </w:r>
          </w:p>
        </w:tc>
      </w:tr>
      <w:tr>
        <w:trPr/>
        <w:tc>
          <w:tcPr>
            <w:tcW w:w="4423" w:type="dxa"/>
            <w:gridSpan w:val="3"/>
            <w:tcBorders/>
            <w:shd w:fill="auto" w:val="clear"/>
            <w:vAlign w:val="bottom"/>
          </w:tcPr>
          <w:p>
            <w:pPr>
              <w:pStyle w:val="TableContents"/>
              <w:spacing w:before="0" w:after="283"/>
              <w:rPr/>
            </w:pPr>
            <w:r>
              <w:rPr/>
              <w:t>(if required under Instruction 4)</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rPr>
                <w:sz w:val="4"/>
                <w:szCs w:val="4"/>
              </w:rPr>
            </w:pPr>
            <w:r>
              <w:rPr>
                <w:sz w:val="4"/>
                <w:szCs w:val="4"/>
              </w:rPr>
            </w:r>
          </w:p>
        </w:tc>
      </w:tr>
      <w:tr>
        <w:trPr/>
        <w:tc>
          <w:tcPr>
            <w:tcW w:w="4423" w:type="dxa"/>
            <w:gridSpan w:val="3"/>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spacing w:before="0" w:after="283"/>
              <w:jc w:val="center"/>
              <w:rPr>
                <w:i/>
              </w:rPr>
            </w:pPr>
            <w:r>
              <w:rPr>
                <w:i/>
              </w:rPr>
              <w:t>(Guarantor)</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jc w:val="center"/>
              <w:rPr>
                <w:i/>
              </w:rPr>
            </w:pPr>
            <w:r>
              <w:rPr>
                <w:i/>
              </w:rPr>
              <w:t>(Shareholder(s) or Legal Representative signature)</w:t>
            </w:r>
          </w:p>
        </w:tc>
      </w:tr>
      <w:tr>
        <w:trPr>
          <w:trHeight w:val="240" w:hRule="atLeast"/>
        </w:trPr>
        <w:tc>
          <w:tcPr>
            <w:tcW w:w="1154" w:type="dxa"/>
            <w:tcBorders/>
            <w:shd w:fill="auto" w:val="clear"/>
            <w:vAlign w:val="center"/>
          </w:tcPr>
          <w:p>
            <w:pPr>
              <w:pStyle w:val="TableContents"/>
              <w:spacing w:before="0" w:after="283"/>
              <w:rPr>
                <w:sz w:val="4"/>
                <w:szCs w:val="4"/>
              </w:rPr>
            </w:pPr>
            <w:r>
              <w:rPr>
                <w:sz w:val="4"/>
                <w:szCs w:val="4"/>
              </w:rPr>
            </w:r>
          </w:p>
        </w:tc>
        <w:tc>
          <w:tcPr>
            <w:tcW w:w="3269" w:type="dxa"/>
            <w:gridSpan w:val="2"/>
            <w:tcBorders/>
            <w:shd w:fill="auto" w:val="clear"/>
            <w:vAlign w:val="center"/>
          </w:tcPr>
          <w:p>
            <w:pPr>
              <w:pStyle w:val="TableContents"/>
              <w:spacing w:before="0" w:after="283"/>
              <w:rPr>
                <w:sz w:val="4"/>
                <w:szCs w:val="4"/>
              </w:rPr>
            </w:pPr>
            <w:r>
              <w:rPr>
                <w:sz w:val="4"/>
                <w:szCs w:val="4"/>
              </w:rPr>
            </w:r>
          </w:p>
        </w:tc>
        <w:tc>
          <w:tcPr>
            <w:tcW w:w="679" w:type="dxa"/>
            <w:gridSpan w:val="2"/>
            <w:tcBorders/>
            <w:shd w:fill="auto" w:val="clear"/>
            <w:vAlign w:val="center"/>
          </w:tcPr>
          <w:p>
            <w:pPr>
              <w:pStyle w:val="TableContents"/>
              <w:spacing w:before="0" w:after="283"/>
              <w:rPr>
                <w:sz w:val="4"/>
                <w:szCs w:val="4"/>
              </w:rPr>
            </w:pPr>
            <w:r>
              <w:rPr>
                <w:sz w:val="4"/>
                <w:szCs w:val="4"/>
              </w:rPr>
            </w:r>
          </w:p>
        </w:tc>
        <w:tc>
          <w:tcPr>
            <w:tcW w:w="1402" w:type="dxa"/>
            <w:gridSpan w:val="2"/>
            <w:tcBorders/>
            <w:shd w:fill="auto" w:val="clear"/>
            <w:vAlign w:val="center"/>
          </w:tcPr>
          <w:p>
            <w:pPr>
              <w:pStyle w:val="TableContents"/>
              <w:spacing w:before="0" w:after="283"/>
              <w:rPr>
                <w:sz w:val="4"/>
                <w:szCs w:val="4"/>
              </w:rPr>
            </w:pPr>
            <w:r>
              <w:rPr>
                <w:sz w:val="4"/>
                <w:szCs w:val="4"/>
              </w:rPr>
            </w:r>
          </w:p>
        </w:tc>
        <w:tc>
          <w:tcPr>
            <w:tcW w:w="3292" w:type="dxa"/>
            <w:gridSpan w:val="2"/>
            <w:tcBorders/>
            <w:shd w:fill="auto" w:val="clear"/>
            <w:vAlign w:val="center"/>
          </w:tcPr>
          <w:p>
            <w:pPr>
              <w:pStyle w:val="TableContents"/>
              <w:spacing w:before="0" w:after="283"/>
              <w:rPr>
                <w:sz w:val="4"/>
                <w:szCs w:val="4"/>
              </w:rPr>
            </w:pPr>
            <w:r>
              <w:rPr>
                <w:sz w:val="4"/>
                <w:szCs w:val="4"/>
              </w:rPr>
            </w:r>
          </w:p>
        </w:tc>
      </w:tr>
      <w:tr>
        <w:trPr/>
        <w:tc>
          <w:tcPr>
            <w:tcW w:w="1154" w:type="dxa"/>
            <w:tcBorders/>
            <w:shd w:fill="auto" w:val="clear"/>
            <w:vAlign w:val="bottom"/>
          </w:tcPr>
          <w:p>
            <w:pPr>
              <w:pStyle w:val="TableContents"/>
              <w:spacing w:before="0" w:after="283"/>
              <w:rPr/>
            </w:pPr>
            <w:r>
              <w:rPr/>
              <w:t>Name(s)  </w:t>
            </w:r>
          </w:p>
        </w:tc>
        <w:tc>
          <w:tcPr>
            <w:tcW w:w="111" w:type="dxa"/>
            <w:tcBorders/>
            <w:shd w:fill="auto" w:val="clear"/>
            <w:vAlign w:val="bottom"/>
          </w:tcPr>
          <w:p>
            <w:pPr>
              <w:pStyle w:val="TableContents"/>
              <w:spacing w:before="0" w:after="283"/>
              <w:rPr/>
            </w:pPr>
            <w:r>
              <w:rPr/>
              <w:t> </w:t>
            </w:r>
          </w:p>
        </w:tc>
        <w:tc>
          <w:tcPr>
            <w:tcW w:w="3158" w:type="dxa"/>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Name(s)  </w:t>
            </w:r>
          </w:p>
        </w:tc>
        <w:tc>
          <w:tcPr>
            <w:tcW w:w="118" w:type="dxa"/>
            <w:tcBorders/>
            <w:shd w:fill="auto" w:val="clear"/>
            <w:vAlign w:val="bottom"/>
          </w:tcPr>
          <w:p>
            <w:pPr>
              <w:pStyle w:val="TableContents"/>
              <w:spacing w:before="0" w:after="283"/>
              <w:rPr/>
            </w:pPr>
            <w:r>
              <w:rPr/>
              <w:t> </w:t>
            </w:r>
          </w:p>
        </w:tc>
        <w:tc>
          <w:tcPr>
            <w:tcW w:w="3174" w:type="dxa"/>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1154" w:type="dxa"/>
            <w:tcBorders/>
            <w:shd w:fill="auto" w:val="clear"/>
            <w:vAlign w:val="center"/>
          </w:tcPr>
          <w:p>
            <w:pPr>
              <w:pStyle w:val="TableContents"/>
              <w:spacing w:before="0" w:after="283"/>
              <w:rPr>
                <w:sz w:val="4"/>
                <w:szCs w:val="4"/>
              </w:rPr>
            </w:pPr>
            <w:r>
              <w:rPr>
                <w:sz w:val="4"/>
                <w:szCs w:val="4"/>
              </w:rPr>
            </w:r>
          </w:p>
        </w:tc>
        <w:tc>
          <w:tcPr>
            <w:tcW w:w="3269" w:type="dxa"/>
            <w:gridSpan w:val="2"/>
            <w:tcBorders/>
            <w:shd w:fill="auto" w:val="clear"/>
            <w:vAlign w:val="center"/>
          </w:tcPr>
          <w:p>
            <w:pPr>
              <w:pStyle w:val="TableContents"/>
              <w:spacing w:before="0" w:after="283"/>
              <w:rPr>
                <w:sz w:val="4"/>
                <w:szCs w:val="4"/>
              </w:rPr>
            </w:pPr>
            <w:r>
              <w:rPr>
                <w:sz w:val="4"/>
                <w:szCs w:val="4"/>
              </w:rPr>
            </w:r>
          </w:p>
        </w:tc>
        <w:tc>
          <w:tcPr>
            <w:tcW w:w="679" w:type="dxa"/>
            <w:gridSpan w:val="2"/>
            <w:tcBorders/>
            <w:shd w:fill="auto" w:val="clear"/>
            <w:vAlign w:val="center"/>
          </w:tcPr>
          <w:p>
            <w:pPr>
              <w:pStyle w:val="TableContents"/>
              <w:spacing w:before="0" w:after="283"/>
              <w:rPr>
                <w:sz w:val="4"/>
                <w:szCs w:val="4"/>
              </w:rPr>
            </w:pPr>
            <w:r>
              <w:rPr>
                <w:sz w:val="4"/>
                <w:szCs w:val="4"/>
              </w:rPr>
            </w:r>
          </w:p>
        </w:tc>
        <w:tc>
          <w:tcPr>
            <w:tcW w:w="4694" w:type="dxa"/>
            <w:gridSpan w:val="4"/>
            <w:tcBorders/>
            <w:shd w:fill="auto" w:val="clear"/>
            <w:vAlign w:val="center"/>
          </w:tcPr>
          <w:p>
            <w:pPr>
              <w:pStyle w:val="TableContents"/>
              <w:spacing w:before="0" w:after="283"/>
              <w:rPr>
                <w:sz w:val="4"/>
                <w:szCs w:val="4"/>
              </w:rPr>
            </w:pPr>
            <w:r>
              <w:rPr>
                <w:sz w:val="4"/>
                <w:szCs w:val="4"/>
              </w:rPr>
            </w:r>
          </w:p>
        </w:tc>
      </w:tr>
      <w:tr>
        <w:trPr/>
        <w:tc>
          <w:tcPr>
            <w:tcW w:w="1154" w:type="dxa"/>
            <w:tcBorders/>
            <w:shd w:fill="auto" w:val="clear"/>
            <w:vAlign w:val="bottom"/>
          </w:tcPr>
          <w:p>
            <w:pPr>
              <w:pStyle w:val="TableContents"/>
              <w:spacing w:before="0" w:after="283"/>
              <w:rPr/>
            </w:pPr>
            <w:r>
              <w:rPr/>
              <w:t>Address  </w:t>
            </w:r>
          </w:p>
        </w:tc>
        <w:tc>
          <w:tcPr>
            <w:tcW w:w="111" w:type="dxa"/>
            <w:tcBorders/>
            <w:shd w:fill="auto" w:val="clear"/>
            <w:vAlign w:val="bottom"/>
          </w:tcPr>
          <w:p>
            <w:pPr>
              <w:pStyle w:val="TableContents"/>
              <w:spacing w:before="0" w:after="283"/>
              <w:rPr/>
            </w:pPr>
            <w:r>
              <w:rPr/>
              <w:t> </w:t>
            </w:r>
          </w:p>
        </w:tc>
        <w:tc>
          <w:tcPr>
            <w:tcW w:w="3158" w:type="dxa"/>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rPr/>
            </w:pPr>
            <w:r>
              <w:rPr/>
              <w:t xml:space="preserve">Holder ID Number(s) </w:t>
            </w:r>
            <w:r>
              <w:rPr>
                <w:i/>
              </w:rPr>
              <w:t xml:space="preserve">(10 digit number) </w:t>
            </w:r>
          </w:p>
        </w:tc>
      </w:tr>
      <w:tr>
        <w:trPr/>
        <w:tc>
          <w:tcPr>
            <w:tcW w:w="4423" w:type="dxa"/>
            <w:gridSpan w:val="3"/>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            </w:t>
            </w:r>
            <w:r>
              <w:rPr/>
              <w:t>C  </w:t>
            </w:r>
          </w:p>
        </w:tc>
        <w:tc>
          <w:tcPr>
            <w:tcW w:w="118" w:type="dxa"/>
            <w:tcBorders/>
            <w:shd w:fill="auto" w:val="clear"/>
            <w:vAlign w:val="bottom"/>
          </w:tcPr>
          <w:p>
            <w:pPr>
              <w:pStyle w:val="TableContents"/>
              <w:spacing w:before="0" w:after="283"/>
              <w:rPr/>
            </w:pPr>
            <w:r>
              <w:rPr/>
              <w:t> </w:t>
            </w:r>
          </w:p>
        </w:tc>
        <w:tc>
          <w:tcPr>
            <w:tcW w:w="3174" w:type="dxa"/>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            </w:t>
            </w:r>
            <w:r>
              <w:rPr/>
              <w:t>C  </w:t>
            </w:r>
          </w:p>
        </w:tc>
        <w:tc>
          <w:tcPr>
            <w:tcW w:w="118" w:type="dxa"/>
            <w:tcBorders/>
            <w:shd w:fill="auto" w:val="clear"/>
            <w:vAlign w:val="bottom"/>
          </w:tcPr>
          <w:p>
            <w:pPr>
              <w:pStyle w:val="TableContents"/>
              <w:spacing w:before="0" w:after="283"/>
              <w:rPr/>
            </w:pPr>
            <w:r>
              <w:rPr/>
              <w:t> </w:t>
            </w:r>
          </w:p>
        </w:tc>
        <w:tc>
          <w:tcPr>
            <w:tcW w:w="3174" w:type="dxa"/>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spacing w:before="0" w:after="283"/>
              <w:jc w:val="center"/>
              <w:rPr>
                <w:i/>
              </w:rPr>
            </w:pPr>
            <w:r>
              <w:rPr>
                <w:i/>
              </w:rPr>
              <w:t>(Include Postal Code or Zip Code)</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Capacity  </w:t>
            </w:r>
          </w:p>
        </w:tc>
        <w:tc>
          <w:tcPr>
            <w:tcW w:w="118" w:type="dxa"/>
            <w:tcBorders/>
            <w:shd w:fill="auto" w:val="clear"/>
            <w:vAlign w:val="bottom"/>
          </w:tcPr>
          <w:p>
            <w:pPr>
              <w:pStyle w:val="TableContents"/>
              <w:spacing w:before="0" w:after="283"/>
              <w:rPr/>
            </w:pPr>
            <w:r>
              <w:rPr/>
              <w:t> </w:t>
            </w:r>
          </w:p>
        </w:tc>
        <w:tc>
          <w:tcPr>
            <w:tcW w:w="3174" w:type="dxa"/>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rHeight w:val="240" w:hRule="atLeast"/>
        </w:trPr>
        <w:tc>
          <w:tcPr>
            <w:tcW w:w="4423" w:type="dxa"/>
            <w:gridSpan w:val="3"/>
            <w:tcBorders/>
            <w:shd w:fill="auto" w:val="clear"/>
            <w:vAlign w:val="center"/>
          </w:tcPr>
          <w:p>
            <w:pPr>
              <w:pStyle w:val="TableContents"/>
              <w:spacing w:before="0" w:after="283"/>
              <w:rPr>
                <w:sz w:val="4"/>
                <w:szCs w:val="4"/>
              </w:rPr>
            </w:pPr>
            <w:r>
              <w:rPr>
                <w:sz w:val="4"/>
                <w:szCs w:val="4"/>
              </w:rPr>
            </w:r>
          </w:p>
        </w:tc>
        <w:tc>
          <w:tcPr>
            <w:tcW w:w="679" w:type="dxa"/>
            <w:gridSpan w:val="2"/>
            <w:tcBorders/>
            <w:shd w:fill="auto" w:val="clear"/>
            <w:vAlign w:val="center"/>
          </w:tcPr>
          <w:p>
            <w:pPr>
              <w:pStyle w:val="TableContents"/>
              <w:spacing w:before="0" w:after="283"/>
              <w:rPr>
                <w:sz w:val="4"/>
                <w:szCs w:val="4"/>
              </w:rPr>
            </w:pPr>
            <w:r>
              <w:rPr>
                <w:sz w:val="4"/>
                <w:szCs w:val="4"/>
              </w:rPr>
            </w:r>
          </w:p>
        </w:tc>
        <w:tc>
          <w:tcPr>
            <w:tcW w:w="1402" w:type="dxa"/>
            <w:gridSpan w:val="2"/>
            <w:tcBorders/>
            <w:shd w:fill="auto" w:val="clear"/>
            <w:vAlign w:val="center"/>
          </w:tcPr>
          <w:p>
            <w:pPr>
              <w:pStyle w:val="TableContents"/>
              <w:spacing w:before="0" w:after="283"/>
              <w:rPr>
                <w:sz w:val="4"/>
                <w:szCs w:val="4"/>
              </w:rPr>
            </w:pPr>
            <w:r>
              <w:rPr>
                <w:sz w:val="4"/>
                <w:szCs w:val="4"/>
              </w:rPr>
            </w:r>
          </w:p>
        </w:tc>
        <w:tc>
          <w:tcPr>
            <w:tcW w:w="3292" w:type="dxa"/>
            <w:gridSpan w:val="2"/>
            <w:tcBorders/>
            <w:shd w:fill="auto" w:val="clear"/>
            <w:vAlign w:val="center"/>
          </w:tcPr>
          <w:p>
            <w:pPr>
              <w:pStyle w:val="TableContents"/>
              <w:spacing w:before="0" w:after="283"/>
              <w:rPr>
                <w:sz w:val="4"/>
                <w:szCs w:val="4"/>
              </w:rPr>
            </w:pPr>
            <w:r>
              <w:rPr>
                <w:sz w:val="4"/>
                <w:szCs w:val="4"/>
              </w:rPr>
            </w:r>
          </w:p>
        </w:tc>
      </w:tr>
      <w:tr>
        <w:trPr/>
        <w:tc>
          <w:tcPr>
            <w:tcW w:w="4423" w:type="dxa"/>
            <w:gridSpan w:val="3"/>
            <w:tcBorders/>
            <w:shd w:fill="auto" w:val="clear"/>
            <w:vAlign w:val="bottom"/>
          </w:tcPr>
          <w:p>
            <w:pPr>
              <w:pStyle w:val="TableContents"/>
              <w:spacing w:before="0" w:after="283"/>
              <w:rPr/>
            </w:pPr>
            <w:r>
              <w:rPr/>
              <w:t>Area Code and Telephone Number</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rPr/>
            </w:pPr>
            <w:r>
              <w:rPr/>
              <w:t>Address  </w:t>
            </w:r>
          </w:p>
        </w:tc>
        <w:tc>
          <w:tcPr>
            <w:tcW w:w="118" w:type="dxa"/>
            <w:tcBorders/>
            <w:shd w:fill="auto" w:val="clear"/>
            <w:vAlign w:val="bottom"/>
          </w:tcPr>
          <w:p>
            <w:pPr>
              <w:pStyle w:val="TableContents"/>
              <w:spacing w:before="0" w:after="283"/>
              <w:rPr/>
            </w:pPr>
            <w:r>
              <w:rPr/>
              <w:t> </w:t>
            </w:r>
          </w:p>
        </w:tc>
        <w:tc>
          <w:tcPr>
            <w:tcW w:w="3174" w:type="dxa"/>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pBdr>
                <w:bottom w:val="single" w:sz="2" w:space="1" w:color="000000"/>
              </w:pBdr>
              <w:spacing w:before="0" w:after="20"/>
              <w:rPr/>
            </w:pPr>
            <w:r>
              <w:rPr/>
              <w:t>     </w:t>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c>
          <w:tcPr>
            <w:tcW w:w="4423" w:type="dxa"/>
            <w:gridSpan w:val="3"/>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jc w:val="center"/>
              <w:rPr>
                <w:i/>
              </w:rPr>
            </w:pPr>
            <w:r>
              <w:rPr>
                <w:i/>
              </w:rPr>
              <w:t>(Include Postal Code or Zip Code)</w:t>
            </w:r>
          </w:p>
        </w:tc>
      </w:tr>
      <w:tr>
        <w:trPr>
          <w:trHeight w:val="240" w:hRule="atLeast"/>
        </w:trPr>
        <w:tc>
          <w:tcPr>
            <w:tcW w:w="4423" w:type="dxa"/>
            <w:gridSpan w:val="3"/>
            <w:tcBorders/>
            <w:shd w:fill="auto" w:val="clear"/>
            <w:vAlign w:val="center"/>
          </w:tcPr>
          <w:p>
            <w:pPr>
              <w:pStyle w:val="TableContents"/>
              <w:spacing w:before="0" w:after="283"/>
              <w:rPr>
                <w:sz w:val="4"/>
                <w:szCs w:val="4"/>
              </w:rPr>
            </w:pPr>
            <w:r>
              <w:rPr>
                <w:sz w:val="4"/>
                <w:szCs w:val="4"/>
              </w:rPr>
            </w:r>
          </w:p>
        </w:tc>
        <w:tc>
          <w:tcPr>
            <w:tcW w:w="679" w:type="dxa"/>
            <w:gridSpan w:val="2"/>
            <w:tcBorders/>
            <w:shd w:fill="auto" w:val="clear"/>
            <w:vAlign w:val="center"/>
          </w:tcPr>
          <w:p>
            <w:pPr>
              <w:pStyle w:val="TableContents"/>
              <w:spacing w:before="0" w:after="283"/>
              <w:rPr>
                <w:sz w:val="4"/>
                <w:szCs w:val="4"/>
              </w:rPr>
            </w:pPr>
            <w:r>
              <w:rPr>
                <w:sz w:val="4"/>
                <w:szCs w:val="4"/>
              </w:rPr>
            </w:r>
          </w:p>
        </w:tc>
        <w:tc>
          <w:tcPr>
            <w:tcW w:w="4694" w:type="dxa"/>
            <w:gridSpan w:val="4"/>
            <w:tcBorders/>
            <w:shd w:fill="auto" w:val="clear"/>
            <w:vAlign w:val="center"/>
          </w:tcPr>
          <w:p>
            <w:pPr>
              <w:pStyle w:val="TableContents"/>
              <w:spacing w:before="0" w:after="283"/>
              <w:rPr>
                <w:sz w:val="4"/>
                <w:szCs w:val="4"/>
              </w:rPr>
            </w:pPr>
            <w:r>
              <w:rPr>
                <w:sz w:val="4"/>
                <w:szCs w:val="4"/>
              </w:rPr>
            </w:r>
          </w:p>
        </w:tc>
      </w:tr>
      <w:tr>
        <w:trPr/>
        <w:tc>
          <w:tcPr>
            <w:tcW w:w="4423" w:type="dxa"/>
            <w:gridSpan w:val="3"/>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spacing w:before="0" w:after="283"/>
              <w:rPr/>
            </w:pPr>
            <w:r>
              <w:rPr/>
              <w:t>Area Code and Telephone Number</w:t>
            </w:r>
          </w:p>
        </w:tc>
      </w:tr>
      <w:tr>
        <w:trPr/>
        <w:tc>
          <w:tcPr>
            <w:tcW w:w="4423" w:type="dxa"/>
            <w:gridSpan w:val="3"/>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583" w:type="dxa"/>
            <w:gridSpan w:val="3"/>
            <w:tcBorders/>
            <w:shd w:fill="auto" w:val="clear"/>
            <w:vAlign w:val="bottom"/>
          </w:tcPr>
          <w:p>
            <w:pPr>
              <w:pStyle w:val="TableContents"/>
              <w:pBdr>
                <w:bottom w:val="single" w:sz="2" w:space="1" w:color="000000"/>
              </w:pBdr>
              <w:spacing w:before="0" w:after="20"/>
              <w:rPr/>
            </w:pPr>
            <w:r>
              <w:rPr/>
              <w:t>     </w:t>
            </w:r>
          </w:p>
        </w:tc>
      </w:tr>
      <w:tr>
        <w:trPr>
          <w:trHeight w:val="480" w:hRule="atLeast"/>
        </w:trPr>
        <w:tc>
          <w:tcPr>
            <w:tcW w:w="9796" w:type="dxa"/>
            <w:gridSpan w:val="9"/>
            <w:tcBorders/>
            <w:shd w:fill="auto" w:val="clear"/>
            <w:vAlign w:val="center"/>
          </w:tcPr>
          <w:p>
            <w:pPr>
              <w:pStyle w:val="TableContents"/>
              <w:spacing w:before="0" w:after="283"/>
              <w:rPr>
                <w:sz w:val="4"/>
                <w:szCs w:val="4"/>
              </w:rPr>
            </w:pPr>
            <w:r>
              <w:rPr>
                <w:sz w:val="4"/>
                <w:szCs w:val="4"/>
              </w:rPr>
            </w:r>
          </w:p>
        </w:tc>
      </w:tr>
      <w:tr>
        <w:trPr/>
        <w:tc>
          <w:tcPr>
            <w:tcW w:w="9796" w:type="dxa"/>
            <w:gridSpan w:val="9"/>
            <w:tcBorders/>
            <w:shd w:fill="auto" w:val="clear"/>
            <w:vAlign w:val="bottom"/>
          </w:tcPr>
          <w:p>
            <w:pPr>
              <w:pStyle w:val="TableContents"/>
              <w:spacing w:before="0" w:after="20"/>
              <w:jc w:val="center"/>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p>
        </w:tc>
      </w:tr>
    </w:tbl>
    <w:p>
      <w:pPr>
        <w:pStyle w:val="TextBody"/>
        <w:spacing w:before="0" w:after="0"/>
        <w:jc w:val="left"/>
        <w:rPr>
          <w:bdr w:val="single" w:sz="2" w:space="2" w:color="000000"/>
        </w:rPr>
      </w:pPr>
      <w:r>
        <w:rPr>
          <w:bdr w:val="single" w:sz="2" w:space="2" w:color="000000"/>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INSTRUCTIONS </w:t>
      </w:r>
    </w:p>
    <w:p>
      <w:pPr>
        <w:pStyle w:val="TextBody"/>
        <w:spacing w:before="120" w:after="0"/>
        <w:jc w:val="center"/>
        <w:rPr>
          <w:rFonts w:ascii="Times New Roman" w:hAnsi="Times New Roman"/>
          <w:b/>
          <w:sz w:val="20"/>
        </w:rPr>
      </w:pPr>
      <w:r>
        <w:rPr>
          <w:rFonts w:ascii="Times New Roman" w:hAnsi="Times New Roman"/>
          <w:b/>
          <w:sz w:val="20"/>
        </w:rPr>
        <w:t xml:space="preserve">Forming Part of the Terms of the Opt-Out Right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1.</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Delivery of Opt-Out Election and Certification Form. </w:t>
            </w:r>
          </w:p>
        </w:tc>
      </w:tr>
    </w:tbl>
    <w:p>
      <w:pPr>
        <w:pStyle w:val="TextBody"/>
        <w:spacing w:before="120" w:after="0"/>
        <w:jc w:val="left"/>
        <w:rPr>
          <w:rFonts w:ascii="Times New Roman" w:hAnsi="Times New Roman"/>
          <w:sz w:val="20"/>
        </w:rPr>
      </w:pPr>
      <w:r>
        <w:rPr>
          <w:rFonts w:ascii="Times New Roman" w:hAnsi="Times New Roman"/>
          <w:sz w:val="20"/>
        </w:rPr>
        <w:t xml:space="preserve">A duly executed version of this Form and any other documents required by this Form, should be hand delivered, couriered or mailed to the Depositary at the appropriate address set forth herein and must be received by the Depositary by the opt-out deadline (as defined herein and in the Circular). </w:t>
      </w:r>
    </w:p>
    <w:p>
      <w:pPr>
        <w:pStyle w:val="TextBody"/>
        <w:spacing w:before="240" w:after="0"/>
        <w:jc w:val="left"/>
        <w:rPr>
          <w:rFonts w:ascii="Times New Roman" w:hAnsi="Times New Roman"/>
          <w:b/>
          <w:sz w:val="20"/>
        </w:rPr>
      </w:pPr>
      <w:r>
        <w:rPr>
          <w:rFonts w:ascii="Times New Roman" w:hAnsi="Times New Roman"/>
          <w:b/>
          <w:sz w:val="20"/>
        </w:rPr>
        <w:t xml:space="preserve">The method of delivery of all documents is at the election and risk of the shareholder. Delivery is only effective upon receipt by the Depositary. If delivery is by mail, registered mail, properly insured, is recommended.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Inadequate Space. </w:t>
            </w:r>
          </w:p>
        </w:tc>
      </w:tr>
    </w:tbl>
    <w:p>
      <w:pPr>
        <w:pStyle w:val="TextBody"/>
        <w:spacing w:before="120" w:after="0"/>
        <w:jc w:val="left"/>
        <w:rPr>
          <w:rFonts w:ascii="Times New Roman" w:hAnsi="Times New Roman"/>
          <w:sz w:val="20"/>
        </w:rPr>
      </w:pPr>
      <w:r>
        <w:rPr>
          <w:rFonts w:ascii="Times New Roman" w:hAnsi="Times New Roman"/>
          <w:sz w:val="20"/>
        </w:rPr>
        <w:t xml:space="preserve">If the space provided in any Box is inadequate, attach a separate signed document to this Form.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3.</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Signatures on the Opt-Out Election and Certification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Box A in this Form is signed by the registered owner(s) of the shares, the signature(s) must correspond exactly with the name(s) as written on the face of the corresponding share certificate(s) or DRS statement(s) without any change whatsoever.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shares are registered in the names of two or more joint owners, each such owner must sign in Box A in this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any shares are registered in different names on several certificates, it will be necessary to complete, sign, and submit as many separate Opt-Out Election and Certification Forms as there are different registrations of certificates.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4.</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Guarantee of Signatures. </w:t>
            </w:r>
          </w:p>
        </w:tc>
      </w:tr>
    </w:tbl>
    <w:p>
      <w:pPr>
        <w:pStyle w:val="TextBody"/>
        <w:spacing w:before="120" w:after="0"/>
        <w:jc w:val="left"/>
        <w:rPr>
          <w:rFonts w:ascii="Times New Roman" w:hAnsi="Times New Roman"/>
          <w:sz w:val="20"/>
        </w:rPr>
      </w:pPr>
      <w:r>
        <w:rPr>
          <w:rFonts w:ascii="Times New Roman" w:hAnsi="Times New Roman"/>
          <w:sz w:val="20"/>
        </w:rPr>
        <w:t xml:space="preserve">If this Form is signed by a person other than the registered owner(s) of the share certificates, such signature must be guaranteed by an Eligible Institution (as defined below), or in some other manner satisfactory to the Depositary (except that no guarantee is required if the signature is that of an Eligible Institution). </w:t>
      </w:r>
    </w:p>
    <w:p>
      <w:pPr>
        <w:pStyle w:val="TextBody"/>
        <w:spacing w:before="120" w:after="0"/>
        <w:jc w:val="left"/>
        <w:rPr>
          <w:rFonts w:ascii="Times New Roman" w:hAnsi="Times New Roman"/>
          <w:sz w:val="20"/>
        </w:rPr>
      </w:pPr>
      <w:r>
        <w:rPr>
          <w:rFonts w:ascii="Times New Roman" w:hAnsi="Times New Roman"/>
          <w:sz w:val="20"/>
        </w:rPr>
        <w:t xml:space="preserve">An Eligible Institution means a Canadian Schedule I chartered bank, a major trust company in Canada, a commercial bank or trust company in the United States,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5.</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Fiduciaries, Representatives and Authorizations. </w:t>
            </w:r>
          </w:p>
        </w:tc>
      </w:tr>
    </w:tbl>
    <w:p>
      <w:pPr>
        <w:pStyle w:val="TextBody"/>
        <w:spacing w:before="120" w:after="0"/>
        <w:jc w:val="left"/>
        <w:rPr>
          <w:rFonts w:ascii="Times New Roman" w:hAnsi="Times New Roman"/>
          <w:sz w:val="20"/>
        </w:rPr>
      </w:pPr>
      <w:r>
        <w:rPr>
          <w:rFonts w:ascii="Times New Roman" w:hAnsi="Times New Roman"/>
          <w:sz w:val="20"/>
        </w:rPr>
        <w:t xml:space="preserve">Where this Form is executed by a person on behalf of an executor, administrator, trustee, guardian, corporation, partnership or association or is executed by any other person acting in a representative capacity, this Form must be accompanied by satisfactory evidence of the authority to act. Either the Company or the Depositary, at its discretion, may require additional evidence of authority or additional documentation.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Irregularities. </w:t>
            </w:r>
          </w:p>
        </w:tc>
      </w:tr>
    </w:tbl>
    <w:p>
      <w:pPr>
        <w:pStyle w:val="TextBody"/>
        <w:spacing w:before="120" w:after="0"/>
        <w:jc w:val="left"/>
        <w:rPr>
          <w:rFonts w:ascii="Times New Roman" w:hAnsi="Times New Roman"/>
          <w:sz w:val="20"/>
        </w:rPr>
      </w:pPr>
      <w:r>
        <w:rPr>
          <w:rFonts w:ascii="Times New Roman" w:hAnsi="Times New Roman"/>
          <w:sz w:val="20"/>
        </w:rPr>
        <w:t xml:space="preserve">All questions as to the opt-out right, the form of documents and the validity of and eligibility to exercise (including time of receipt) the opt-out right, will be determined by the Company, in its sole discretion, acting reasonably, which determination will be final and binding on all parties, absent a finding to the contrary by a court of competent jurisdiction. The Company reserves the absolute right to reject any or all Opt-Out Election and Certification Forms or opt-outs determined in its sole discretion not to be in proper form or completed in accordance with the Instructions herein and any opt-outs, which may, in the opinion of the Companys counsel, be unlawful. The Company also reserves the absolute right to waive any of the conditions of the Return of Capital Transaction or any defect or irregularity in any Opt-Out Election and Certification Form. No opt-out right will be deemed to be properly exercised until all defects and irregularities have been cured or waived. None of the Company, the Depositary nor any other person will be obligated to give notice of defects or irregularities in any Opt-Out Election and Certification Form, nor shall any of them incur any liability for failure to give any such notice. The Companys interpretation of the terms and conditions of the Return of Capital Transaction (including this Form) will be final and binding absent a finding to the contrary by a court of competent jurisdiction.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7.</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Questions and Requests for Assistance and Additional Copies. </w:t>
            </w:r>
          </w:p>
        </w:tc>
      </w:tr>
    </w:tbl>
    <w:p>
      <w:pPr>
        <w:pStyle w:val="TextBody"/>
        <w:spacing w:before="120" w:after="0"/>
        <w:jc w:val="left"/>
        <w:rPr>
          <w:rFonts w:ascii="Times New Roman" w:hAnsi="Times New Roman"/>
          <w:sz w:val="20"/>
        </w:rPr>
      </w:pPr>
      <w:r>
        <w:rPr>
          <w:rFonts w:ascii="Times New Roman" w:hAnsi="Times New Roman"/>
          <w:sz w:val="20"/>
        </w:rPr>
        <w:t xml:space="preserve">Questions and requests for assistance may be directed to the Depositary at the address and telephone number set forth on the cover of this Form. Any e-mail inquiries are to be sent to </w:t>
      </w:r>
      <w:r>
        <w:rPr>
          <w:rFonts w:ascii="Times New Roman" w:hAnsi="Times New Roman"/>
          <w:sz w:val="20"/>
          <w:u w:val="single"/>
        </w:rPr>
        <w:t>corporateactions@computershare.com</w:t>
      </w:r>
      <w:r>
        <w:rPr>
          <w:rFonts w:ascii="Times New Roman" w:hAnsi="Times New Roman"/>
          <w:sz w:val="20"/>
        </w:rPr>
        <w:t xml:space="preserve">. Additional copies of the Circular and this Form may be obtained from the Depositary. The Circular and this Form are also available under the Companys profile on SEDAR at </w:t>
      </w:r>
      <w:r>
        <w:rPr>
          <w:rFonts w:ascii="Times New Roman" w:hAnsi="Times New Roman"/>
          <w:i/>
          <w:sz w:val="20"/>
          <w:u w:val="single"/>
        </w:rPr>
        <w:t>www.sedar.com</w:t>
      </w:r>
      <w:r>
        <w:rPr>
          <w:rFonts w:ascii="Times New Roman" w:hAnsi="Times New Roman"/>
          <w:sz w:val="20"/>
        </w:rPr>
        <w:t xml:space="preserve"> and on EDGAR at </w:t>
      </w:r>
      <w:r>
        <w:rPr>
          <w:rFonts w:ascii="Times New Roman" w:hAnsi="Times New Roman"/>
          <w:i/>
          <w:sz w:val="20"/>
          <w:u w:val="single"/>
        </w:rPr>
        <w:t>www.sec.gov</w:t>
      </w:r>
      <w:r>
        <w:rPr>
          <w:rFonts w:ascii="Times New Roman" w:hAnsi="Times New Roman"/>
          <w:i/>
          <w:sz w:val="20"/>
        </w:rPr>
        <w:t>.</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8.</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Privacy Notice. </w:t>
            </w:r>
          </w:p>
        </w:tc>
      </w:tr>
    </w:tbl>
    <w:p>
      <w:pPr>
        <w:pStyle w:val="TextBody"/>
        <w:spacing w:before="120" w:after="0"/>
        <w:jc w:val="left"/>
        <w:rPr>
          <w:rFonts w:ascii="Times New Roman" w:hAnsi="Times New Roman"/>
          <w:sz w:val="20"/>
        </w:rPr>
      </w:pPr>
      <w:r>
        <w:rPr>
          <w:rFonts w:ascii="Times New Roman" w:hAnsi="Times New Roman"/>
          <w:sz w:val="20"/>
        </w:rPr>
        <w:t xml:space="preserve">The Depositary has a Privacy Statement that is available at </w:t>
      </w:r>
      <w:r>
        <w:rPr>
          <w:rFonts w:ascii="Times New Roman" w:hAnsi="Times New Roman"/>
          <w:i/>
          <w:sz w:val="20"/>
          <w:u w:val="single"/>
        </w:rPr>
        <w:t>www.computershare.com</w:t>
      </w:r>
      <w:r>
        <w:rPr>
          <w:rFonts w:ascii="Times New Roman" w:hAnsi="Times New Roman"/>
          <w:sz w:val="20"/>
        </w:rPr>
        <w:t xml:space="preserve"> or in writing or by telephone using the telephone number and address provided above in this Form. </w:t>
      </w:r>
    </w:p>
    <w:p>
      <w:pPr>
        <w:pStyle w:val="TextBody"/>
        <w:spacing w:before="360" w:after="0"/>
        <w:jc w:val="left"/>
        <w:rPr>
          <w:rFonts w:ascii="Times New Roman" w:hAnsi="Times New Roman"/>
          <w:b/>
          <w:sz w:val="20"/>
        </w:rPr>
      </w:pPr>
      <w:r>
        <w:rPr>
          <w:rFonts w:ascii="Times New Roman" w:hAnsi="Times New Roman"/>
          <w:b/>
          <w:sz w:val="20"/>
        </w:rPr>
        <w:t xml:space="preserve">IMPORTANT: This Form or a manually signed photocopy of it (together with a Letter of Transmittal, certificates for shares, if any, and all other required documents, where applicable), must be received by the Depositary on or before the opt-out deadline.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TextBody"/>
        <w:spacing w:before="0" w:after="0"/>
        <w:jc w:val="right"/>
        <w:rPr>
          <w:rFonts w:ascii="Times New Roman" w:hAnsi="Times New Roman"/>
          <w:b/>
          <w:sz w:val="20"/>
        </w:rPr>
      </w:pPr>
      <w:bookmarkStart w:id="118" w:name="d490645dex996.htm"/>
      <w:bookmarkStart w:id="119" w:name="ksd490645dex996"/>
      <w:bookmarkEnd w:id="118"/>
      <w:bookmarkEnd w:id="119"/>
      <w:r>
        <w:rPr>
          <w:rFonts w:ascii="Times New Roman" w:hAnsi="Times New Roman"/>
          <w:b/>
          <w:sz w:val="20"/>
        </w:rPr>
        <w:t xml:space="preserve">Exhibit 99.6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403"/>
        <w:gridCol w:w="122"/>
        <w:gridCol w:w="4680"/>
      </w:tblGrid>
      <w:tr>
        <w:trPr/>
        <w:tc>
          <w:tcPr>
            <w:tcW w:w="540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680" w:type="dxa"/>
            <w:tcBorders/>
            <w:shd w:fill="auto" w:val="clear"/>
            <w:vAlign w:val="center"/>
          </w:tcPr>
          <w:p>
            <w:pPr>
              <w:pStyle w:val="TableContents"/>
              <w:spacing w:before="0" w:after="283"/>
              <w:rPr>
                <w:sz w:val="4"/>
                <w:szCs w:val="4"/>
              </w:rPr>
            </w:pPr>
            <w:r>
              <w:rPr>
                <w:sz w:val="4"/>
                <w:szCs w:val="4"/>
              </w:rPr>
            </w:r>
          </w:p>
        </w:tc>
      </w:tr>
      <w:tr>
        <w:trPr/>
        <w:tc>
          <w:tcPr>
            <w:tcW w:w="5403" w:type="dxa"/>
            <w:tcBorders/>
            <w:shd w:fill="auto" w:val="clear"/>
          </w:tcPr>
          <w:p>
            <w:pPr>
              <w:pStyle w:val="TableContents"/>
              <w:spacing w:before="0" w:after="283"/>
              <w:rPr/>
            </w:pPr>
            <w:r>
              <w:rPr/>
              <w:drawing>
                <wp:inline distT="0" distB="0" distL="0" distR="0">
                  <wp:extent cx="1714500" cy="466725"/>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99"/>
                          <a:stretch>
                            <a:fillRect/>
                          </a:stretch>
                        </pic:blipFill>
                        <pic:spPr bwMode="auto">
                          <a:xfrm>
                            <a:off x="0" y="0"/>
                            <a:ext cx="1714500" cy="466725"/>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680" w:type="dxa"/>
            <w:tcBorders/>
            <w:shd w:fill="auto" w:val="clear"/>
          </w:tcPr>
          <w:p>
            <w:pPr>
              <w:pStyle w:val="TableContents"/>
              <w:spacing w:before="0" w:after="283"/>
              <w:rPr>
                <w:sz w:val="4"/>
                <w:szCs w:val="4"/>
              </w:rPr>
            </w:pPr>
            <w:r>
              <w:rPr>
                <w:sz w:val="4"/>
                <w:szCs w:val="4"/>
              </w:rPr>
            </w:r>
          </w:p>
        </w:tc>
      </w:tr>
      <w:tr>
        <w:trPr/>
        <w:tc>
          <w:tcPr>
            <w:tcW w:w="5403"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680" w:type="dxa"/>
            <w:tcBorders/>
            <w:shd w:fill="auto" w:val="clear"/>
          </w:tcPr>
          <w:p>
            <w:pPr>
              <w:pStyle w:val="TableContents"/>
              <w:spacing w:before="0" w:after="283"/>
              <w:jc w:val="right"/>
              <w:rPr/>
            </w:pPr>
            <w:r>
              <w:rPr/>
              <w:t>April 26, 2023</w:t>
            </w:r>
          </w:p>
        </w:tc>
      </w:tr>
    </w:tbl>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ACTION IS REQUIRED BY REGISTERED HOLDERS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OF THOMSON REUTERS COMMON SHARES </w:t>
      </w:r>
    </w:p>
    <w:p>
      <w:pPr>
        <w:pStyle w:val="TextBody"/>
        <w:spacing w:before="240" w:after="0"/>
        <w:jc w:val="left"/>
        <w:rPr>
          <w:rFonts w:ascii="Times New Roman" w:hAnsi="Times New Roman"/>
          <w:sz w:val="20"/>
        </w:rPr>
      </w:pPr>
      <w:r>
        <w:rPr>
          <w:rFonts w:ascii="Times New Roman" w:hAnsi="Times New Roman"/>
          <w:sz w:val="20"/>
        </w:rPr>
        <w:t xml:space="preserve">In order to provide returns to shareholders from our recent dispositions of shares in London Stock Exchange Group plc co-owned by the company and certain investment funds affiliated with Blackstone, we have proposed a return of capital transaction consisting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cash distribution of US$4.67 per common share, or approximately US$2.2 billion in the aggregate;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consolidation of our outstanding common shares (or reverse stock split) on a basis that is proportional to the cash distribution. </w:t>
            </w:r>
          </w:p>
        </w:tc>
      </w:tr>
    </w:tbl>
    <w:p>
      <w:pPr>
        <w:pStyle w:val="TextBody"/>
        <w:spacing w:before="240" w:after="0"/>
        <w:jc w:val="left"/>
        <w:rPr>
          <w:rFonts w:ascii="Times New Roman" w:hAnsi="Times New Roman"/>
          <w:sz w:val="20"/>
        </w:rPr>
      </w:pPr>
      <w:r>
        <w:rPr>
          <w:rFonts w:ascii="Times New Roman" w:hAnsi="Times New Roman"/>
          <w:sz w:val="20"/>
        </w:rPr>
        <w:t xml:space="preserve">The proposed return of capital transaction requires shareholder approval and an annual and special meeting of shareholders will be held on June 14, 2023. While the full details of the proposed transaction are described in the accompanying management proxy circular and other related materials, </w:t>
      </w:r>
      <w:r>
        <w:rPr>
          <w:rFonts w:ascii="Times New Roman" w:hAnsi="Times New Roman"/>
          <w:sz w:val="20"/>
          <w:u w:val="single"/>
        </w:rPr>
        <w:t>action is required by each registered shareholder in connection with the 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Heres what you must do: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3493"/>
        <w:gridCol w:w="120"/>
        <w:gridCol w:w="3254"/>
        <w:gridCol w:w="120"/>
        <w:gridCol w:w="3115"/>
      </w:tblGrid>
      <w:tr>
        <w:trPr/>
        <w:tc>
          <w:tcPr>
            <w:tcW w:w="34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5" w:type="dxa"/>
            <w:tcBorders/>
            <w:shd w:fill="auto" w:val="clear"/>
            <w:vAlign w:val="center"/>
          </w:tcPr>
          <w:p>
            <w:pPr>
              <w:pStyle w:val="TableContents"/>
              <w:spacing w:before="0" w:after="283"/>
              <w:rPr>
                <w:sz w:val="4"/>
                <w:szCs w:val="4"/>
              </w:rPr>
            </w:pPr>
            <w:r>
              <w:rPr>
                <w:sz w:val="4"/>
                <w:szCs w:val="4"/>
              </w:rPr>
            </w:r>
          </w:p>
        </w:tc>
      </w:tr>
      <w:tr>
        <w:trPr/>
        <w:tc>
          <w:tcPr>
            <w:tcW w:w="3493"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vAlign w:val="bottom"/>
          </w:tcPr>
          <w:p>
            <w:pPr>
              <w:pStyle w:val="TableContents"/>
              <w:spacing w:before="0" w:after="283"/>
              <w:jc w:val="center"/>
              <w:rPr>
                <w:b/>
              </w:rPr>
            </w:pPr>
            <w:r>
              <w:rPr>
                <w:b/>
              </w:rPr>
              <w:t>Action</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254"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b/>
              </w:rPr>
            </w:pPr>
            <w:r>
              <w:rPr>
                <w:b/>
              </w:rPr>
              <w:t>Send To</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115"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jc w:val="center"/>
              <w:rPr>
                <w:b/>
              </w:rPr>
            </w:pPr>
            <w:r>
              <w:rPr>
                <w:b/>
              </w:rPr>
              <w:t>Deadline</w:t>
            </w:r>
          </w:p>
        </w:tc>
      </w:tr>
      <w:tr>
        <w:trPr/>
        <w:tc>
          <w:tcPr>
            <w:tcW w:w="3493"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0"/>
              <w:rPr>
                <w:rFonts w:ascii="Times New Roman" w:hAnsi="Times New Roman"/>
                <w:sz w:val="20"/>
              </w:rPr>
            </w:pPr>
            <w:r>
              <w:rPr>
                <w:rFonts w:ascii="Times New Roman" w:hAnsi="Times New Roman"/>
                <w:sz w:val="20"/>
              </w:rPr>
              <w:t>If you hold share certificate(s), complete and sign the enclosed letter of transmittal and return it with your share certificate(s).</w:t>
            </w:r>
          </w:p>
          <w:p>
            <w:pPr>
              <w:pStyle w:val="TableContents"/>
              <w:spacing w:before="0" w:after="0"/>
              <w:rPr/>
            </w:pPr>
            <w:r>
              <w:rPr/>
              <w:t> </w:t>
            </w:r>
          </w:p>
          <w:p>
            <w:pPr>
              <w:pStyle w:val="TableContents"/>
              <w:spacing w:before="0" w:after="0"/>
              <w:rPr>
                <w:rFonts w:ascii="Times New Roman" w:hAnsi="Times New Roman"/>
                <w:i/>
                <w:sz w:val="20"/>
              </w:rPr>
            </w:pPr>
            <w:r>
              <w:rPr>
                <w:rFonts w:ascii="Times New Roman" w:hAnsi="Times New Roman"/>
                <w:i/>
                <w:sz w:val="20"/>
              </w:rPr>
              <w:t>(No action is required if you hold shares through the direct registration system (DRS) of our transfer agent)</w:t>
            </w:r>
          </w:p>
          <w:p>
            <w:pPr>
              <w:pStyle w:val="TableContents"/>
              <w:spacing w:before="0" w:after="20"/>
              <w:rPr/>
            </w:pPr>
            <w:r>
              <w:rPr/>
              <w:t> </w:t>
            </w:r>
          </w:p>
        </w:tc>
        <w:tc>
          <w:tcPr>
            <w:tcW w:w="120" w:type="dxa"/>
            <w:tcBorders/>
            <w:shd w:fill="auto" w:val="clear"/>
            <w:vAlign w:val="bottom"/>
          </w:tcPr>
          <w:p>
            <w:pPr>
              <w:pStyle w:val="TableContents"/>
              <w:spacing w:before="0" w:after="283"/>
              <w:rPr/>
            </w:pPr>
            <w:r>
              <w:rPr/>
              <w:t>  </w:t>
            </w:r>
          </w:p>
        </w:tc>
        <w:tc>
          <w:tcPr>
            <w:tcW w:w="3254" w:type="dxa"/>
            <w:tcBorders>
              <w:right w:val="single" w:sz="2" w:space="0" w:color="000000"/>
            </w:tcBorders>
            <w:shd w:fill="auto" w:val="clear"/>
            <w:tcMar>
              <w:right w:w="28" w:type="dxa"/>
            </w:tcMar>
            <w:vAlign w:val="bottom"/>
          </w:tcPr>
          <w:p>
            <w:pPr>
              <w:pStyle w:val="TableContents"/>
              <w:spacing w:before="0" w:after="0"/>
              <w:jc w:val="center"/>
              <w:rPr>
                <w:rFonts w:ascii="Times New Roman" w:hAnsi="Times New Roman"/>
                <w:sz w:val="20"/>
              </w:rPr>
            </w:pPr>
            <w:r>
              <w:rPr>
                <w:rFonts w:ascii="Times New Roman" w:hAnsi="Times New Roman"/>
                <w:sz w:val="20"/>
              </w:rPr>
              <w:t>Computershare Investor</w:t>
            </w:r>
          </w:p>
          <w:p>
            <w:pPr>
              <w:pStyle w:val="TableContents"/>
              <w:spacing w:before="0" w:after="0"/>
              <w:jc w:val="center"/>
              <w:rPr>
                <w:rFonts w:ascii="Times New Roman" w:hAnsi="Times New Roman"/>
                <w:sz w:val="20"/>
              </w:rPr>
            </w:pPr>
            <w:r>
              <w:rPr>
                <w:rFonts w:ascii="Times New Roman" w:hAnsi="Times New Roman"/>
                <w:sz w:val="20"/>
              </w:rPr>
              <w:t>Services Inc.</w:t>
            </w:r>
          </w:p>
          <w:p>
            <w:pPr>
              <w:pStyle w:val="TableContents"/>
              <w:spacing w:before="0" w:after="0"/>
              <w:jc w:val="center"/>
              <w:rPr>
                <w:rFonts w:ascii="Times New Roman" w:hAnsi="Times New Roman"/>
                <w:i/>
                <w:sz w:val="20"/>
              </w:rPr>
            </w:pPr>
            <w:r>
              <w:rPr>
                <w:rFonts w:ascii="Times New Roman" w:hAnsi="Times New Roman"/>
                <w:i/>
                <w:sz w:val="20"/>
              </w:rPr>
              <w:t>(using the addresses</w:t>
            </w:r>
          </w:p>
          <w:p>
            <w:pPr>
              <w:pStyle w:val="TableContents"/>
              <w:spacing w:before="0" w:after="0"/>
              <w:jc w:val="center"/>
              <w:rPr>
                <w:rFonts w:ascii="Times New Roman" w:hAnsi="Times New Roman"/>
                <w:i/>
                <w:sz w:val="20"/>
              </w:rPr>
            </w:pPr>
            <w:r>
              <w:rPr>
                <w:rFonts w:ascii="Times New Roman" w:hAnsi="Times New Roman"/>
                <w:i/>
                <w:sz w:val="20"/>
              </w:rPr>
              <w:t>indicated on the</w:t>
            </w:r>
          </w:p>
          <w:p>
            <w:pPr>
              <w:pStyle w:val="TableContents"/>
              <w:spacing w:before="0" w:after="20"/>
              <w:jc w:val="center"/>
              <w:rPr>
                <w:rFonts w:ascii="Times New Roman" w:hAnsi="Times New Roman"/>
                <w:i/>
                <w:sz w:val="20"/>
              </w:rPr>
            </w:pPr>
            <w:r>
              <w:rPr>
                <w:rFonts w:ascii="Times New Roman" w:hAnsi="Times New Roman"/>
                <w:i/>
                <w:sz w:val="20"/>
              </w:rPr>
              <w:t>enclosed forms)</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15" w:type="dxa"/>
            <w:tcBorders>
              <w:bottom w:val="single" w:sz="2" w:space="0" w:color="000000"/>
              <w:right w:val="single" w:sz="2" w:space="0" w:color="000000"/>
            </w:tcBorders>
            <w:shd w:fill="auto" w:val="clear"/>
            <w:tcMar>
              <w:bottom w:w="28" w:type="dxa"/>
              <w:right w:w="40" w:type="dxa"/>
            </w:tcMar>
          </w:tcPr>
          <w:p>
            <w:pPr>
              <w:pStyle w:val="TableContents"/>
              <w:spacing w:before="0" w:after="283"/>
              <w:jc w:val="center"/>
              <w:rPr/>
            </w:pPr>
            <w:r>
              <w:rPr/>
              <w:t>We request that you return these as promptly as practicable and, if you opt out, they must be received no later than June 13, 2023 at 5:00 p.m. (Toronto time)</w:t>
            </w:r>
          </w:p>
        </w:tc>
      </w:tr>
      <w:tr>
        <w:trPr/>
        <w:tc>
          <w:tcPr>
            <w:tcW w:w="3493"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0"/>
              <w:rPr>
                <w:rFonts w:ascii="Times New Roman" w:hAnsi="Times New Roman"/>
                <w:sz w:val="20"/>
              </w:rPr>
            </w:pPr>
            <w:r>
              <w:rPr>
                <w:rFonts w:ascii="Times New Roman" w:hAnsi="Times New Roman"/>
                <w:sz w:val="20"/>
              </w:rPr>
              <w:t>If youre eligible to opt out of the transaction and decide to do so, complete and sign the enclosed opt-out election and certification form</w:t>
            </w:r>
          </w:p>
          <w:p>
            <w:pPr>
              <w:pStyle w:val="TableContents"/>
              <w:spacing w:before="0" w:after="0"/>
              <w:rPr/>
            </w:pPr>
            <w:r>
              <w:rPr/>
              <w:t> </w:t>
            </w:r>
          </w:p>
          <w:p>
            <w:pPr>
              <w:pStyle w:val="TableContents"/>
              <w:spacing w:before="0" w:after="20"/>
              <w:rPr>
                <w:rFonts w:ascii="Times New Roman" w:hAnsi="Times New Roman"/>
                <w:i/>
                <w:sz w:val="20"/>
              </w:rPr>
            </w:pPr>
            <w:r>
              <w:rPr>
                <w:rFonts w:ascii="Times New Roman" w:hAnsi="Times New Roman"/>
                <w:i/>
                <w:sz w:val="20"/>
              </w:rPr>
              <w:t>(Certain shareholders who are taxable in a jurisdiction outside of Canada - including taxable U.S. resident shareholders and others - can opt out of the transaction)</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25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115" w:type="dxa"/>
            <w:tcBorders>
              <w:bottom w:val="single" w:sz="2" w:space="0" w:color="000000"/>
              <w:right w:val="single" w:sz="2" w:space="0" w:color="000000"/>
            </w:tcBorders>
            <w:shd w:fill="auto" w:val="clear"/>
            <w:tcMar>
              <w:bottom w:w="28" w:type="dxa"/>
              <w:right w:w="40" w:type="dxa"/>
            </w:tcMar>
            <w:vAlign w:val="center"/>
          </w:tcPr>
          <w:p>
            <w:pPr>
              <w:pStyle w:val="TableContents"/>
              <w:spacing w:before="0" w:after="0"/>
              <w:jc w:val="center"/>
              <w:rPr>
                <w:rFonts w:ascii="Times New Roman" w:hAnsi="Times New Roman"/>
                <w:sz w:val="20"/>
              </w:rPr>
            </w:pPr>
            <w:r>
              <w:rPr>
                <w:rFonts w:ascii="Times New Roman" w:hAnsi="Times New Roman"/>
                <w:sz w:val="20"/>
              </w:rPr>
              <w:t>June 13, 2023</w:t>
            </w:r>
          </w:p>
          <w:p>
            <w:pPr>
              <w:pStyle w:val="TableContents"/>
              <w:spacing w:before="0" w:after="0"/>
              <w:jc w:val="center"/>
              <w:rPr>
                <w:rFonts w:ascii="Times New Roman" w:hAnsi="Times New Roman"/>
                <w:sz w:val="20"/>
              </w:rPr>
            </w:pPr>
            <w:r>
              <w:rPr>
                <w:rFonts w:ascii="Times New Roman" w:hAnsi="Times New Roman"/>
                <w:sz w:val="20"/>
              </w:rPr>
              <w:t>at 5:00 p.m.</w:t>
            </w:r>
          </w:p>
          <w:p>
            <w:pPr>
              <w:pStyle w:val="TableContents"/>
              <w:spacing w:before="0" w:after="20"/>
              <w:jc w:val="center"/>
              <w:rPr>
                <w:rFonts w:ascii="Times New Roman" w:hAnsi="Times New Roman"/>
                <w:sz w:val="20"/>
              </w:rPr>
            </w:pPr>
            <w:r>
              <w:rPr>
                <w:rFonts w:ascii="Times New Roman" w:hAnsi="Times New Roman"/>
                <w:sz w:val="20"/>
              </w:rPr>
              <w:t>(Toronto time)</w:t>
            </w:r>
          </w:p>
        </w:tc>
      </w:tr>
    </w:tbl>
    <w:p>
      <w:pPr>
        <w:pStyle w:val="TextBody"/>
        <w:spacing w:before="240" w:after="0"/>
        <w:jc w:val="left"/>
        <w:rPr>
          <w:rFonts w:ascii="Times New Roman" w:hAnsi="Times New Roman"/>
          <w:sz w:val="20"/>
        </w:rPr>
      </w:pPr>
      <w:r>
        <w:rPr>
          <w:rFonts w:ascii="Times New Roman" w:hAnsi="Times New Roman"/>
          <w:sz w:val="20"/>
        </w:rPr>
        <w:t xml:space="preserve">Please note that the voting deadline for the meeting for registered shareholders is 5:00 p.m. (Toronto time) on June 12, 2023. </w:t>
      </w:r>
    </w:p>
    <w:p>
      <w:pPr>
        <w:pStyle w:val="TextBody"/>
        <w:spacing w:before="240" w:after="0"/>
        <w:jc w:val="center"/>
        <w:rPr>
          <w:rFonts w:ascii="Times New Roman" w:hAnsi="Times New Roman"/>
          <w:b/>
          <w:sz w:val="20"/>
        </w:rPr>
      </w:pPr>
      <w:r>
        <w:rPr>
          <w:rFonts w:ascii="Times New Roman" w:hAnsi="Times New Roman"/>
          <w:b/>
          <w:sz w:val="20"/>
        </w:rPr>
        <w:t xml:space="preserve">Questions? Need Help? </w:t>
      </w:r>
    </w:p>
    <w:p>
      <w:pPr>
        <w:pStyle w:val="TextBody"/>
        <w:spacing w:before="0" w:after="0"/>
        <w:jc w:val="center"/>
        <w:rPr>
          <w:rFonts w:ascii="Times New Roman" w:hAnsi="Times New Roman"/>
          <w:sz w:val="20"/>
        </w:rPr>
      </w:pPr>
      <w:r>
        <w:rPr>
          <w:rFonts w:ascii="Times New Roman" w:hAnsi="Times New Roman"/>
          <w:sz w:val="20"/>
        </w:rPr>
        <w:t xml:space="preserve">Please contact our Information Agent, D.F. King &amp; Co., Inc. </w:t>
      </w:r>
    </w:p>
    <w:p>
      <w:pPr>
        <w:pStyle w:val="TextBody"/>
        <w:spacing w:before="0" w:after="0"/>
        <w:jc w:val="center"/>
        <w:rPr>
          <w:rFonts w:ascii="Times New Roman" w:hAnsi="Times New Roman"/>
          <w:sz w:val="20"/>
        </w:rPr>
      </w:pPr>
      <w:r>
        <w:rPr>
          <w:rFonts w:ascii="Times New Roman" w:hAnsi="Times New Roman"/>
          <w:sz w:val="20"/>
        </w:rPr>
        <w:t xml:space="preserve">Canada/U.S. Toll Free Phone: </w:t>
      </w:r>
    </w:p>
    <w:p>
      <w:pPr>
        <w:pStyle w:val="TextBody"/>
        <w:spacing w:before="0" w:after="0"/>
        <w:jc w:val="center"/>
        <w:rPr>
          <w:rFonts w:ascii="Times New Roman" w:hAnsi="Times New Roman"/>
          <w:sz w:val="20"/>
        </w:rPr>
      </w:pPr>
      <w:r>
        <w:rPr>
          <w:rFonts w:ascii="Times New Roman" w:hAnsi="Times New Roman"/>
          <w:sz w:val="20"/>
        </w:rPr>
        <w:t xml:space="preserve">1-866-864-4943 </w:t>
      </w:r>
    </w:p>
    <w:p>
      <w:pPr>
        <w:pStyle w:val="TextBody"/>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tri@dfking.com</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Outside Canada/U.S., call collect: 1-212-269-5550 </w:t>
      </w:r>
    </w:p>
    <w:p>
      <w:pPr>
        <w:pStyle w:val="TextBody"/>
        <w:spacing w:before="240" w:after="0"/>
        <w:jc w:val="left"/>
        <w:rPr>
          <w:rFonts w:ascii="Times New Roman" w:hAnsi="Times New Roman"/>
          <w:i/>
          <w:sz w:val="20"/>
        </w:rPr>
      </w:pPr>
      <w:r>
        <w:rPr>
          <w:rFonts w:ascii="Times New Roman" w:hAnsi="Times New Roman"/>
          <w:i/>
          <w:sz w:val="20"/>
        </w:rPr>
        <w:t xml:space="preserve">This summary is provided for convenience only and should be read in conjunction with, and is qualified in its entirety by, the more detailed information and provisions in the accompanying management proxy circular and other related materials. Computershare Investor Services Inc. may require the delivery of other documents in connection with the transaction.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right"/>
              <w:rPr/>
            </w:pPr>
            <w:r>
              <w:rPr/>
              <w:drawing>
                <wp:inline distT="0" distB="0" distL="0" distR="0">
                  <wp:extent cx="1609725" cy="219075"/>
                  <wp:effectExtent l="0" t="0" r="0" b="0"/>
                  <wp:docPr id="1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9" descr=""/>
                          <pic:cNvPicPr>
                            <a:picLocks noChangeAspect="1" noChangeArrowheads="1"/>
                          </pic:cNvPicPr>
                        </pic:nvPicPr>
                        <pic:blipFill>
                          <a:blip r:embed="rId100"/>
                          <a:stretch>
                            <a:fillRect/>
                          </a:stretch>
                        </pic:blipFill>
                        <pic:spPr bwMode="auto">
                          <a:xfrm>
                            <a:off x="0" y="0"/>
                            <a:ext cx="1609725" cy="219075"/>
                          </a:xfrm>
                          <a:prstGeom prst="rect">
                            <a:avLst/>
                          </a:prstGeom>
                        </pic:spPr>
                      </pic:pic>
                    </a:graphicData>
                  </a:graphic>
                </wp:inline>
              </w:drawing>
            </w:r>
            <w:r>
              <w:rPr/>
              <w:t xml:space="preserve"> </w:t>
            </w:r>
          </w:p>
        </w:tc>
      </w:tr>
    </w:tbl>
    <w:p>
      <w:pPr>
        <w:pStyle w:val="TextBody"/>
        <w:spacing w:before="0" w:after="0"/>
        <w:jc w:val="right"/>
        <w:rPr>
          <w:rFonts w:ascii="Times New Roman" w:hAnsi="Times New Roman"/>
          <w:b/>
          <w:sz w:val="20"/>
        </w:rPr>
      </w:pPr>
      <w:r>
        <w:br w:type="page"/>
      </w:r>
      <w:bookmarkStart w:id="120" w:name="d490645dex997.htm"/>
      <w:bookmarkStart w:id="121" w:name="ksd490645dex997"/>
      <w:bookmarkEnd w:id="120"/>
      <w:bookmarkEnd w:id="121"/>
      <w:r>
        <w:rPr>
          <w:rFonts w:ascii="Times New Roman" w:hAnsi="Times New Roman"/>
          <w:b/>
          <w:sz w:val="20"/>
        </w:rPr>
        <w:t xml:space="preserve">Exhibit 99.7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441"/>
        <w:gridCol w:w="122"/>
        <w:gridCol w:w="4642"/>
      </w:tblGrid>
      <w:tr>
        <w:trPr/>
        <w:tc>
          <w:tcPr>
            <w:tcW w:w="54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642" w:type="dxa"/>
            <w:tcBorders/>
            <w:shd w:fill="auto" w:val="clear"/>
            <w:vAlign w:val="center"/>
          </w:tcPr>
          <w:p>
            <w:pPr>
              <w:pStyle w:val="TableContents"/>
              <w:spacing w:before="0" w:after="283"/>
              <w:rPr>
                <w:sz w:val="4"/>
                <w:szCs w:val="4"/>
              </w:rPr>
            </w:pPr>
            <w:r>
              <w:rPr>
                <w:sz w:val="4"/>
                <w:szCs w:val="4"/>
              </w:rPr>
            </w:r>
          </w:p>
        </w:tc>
      </w:tr>
      <w:tr>
        <w:trPr/>
        <w:tc>
          <w:tcPr>
            <w:tcW w:w="5441" w:type="dxa"/>
            <w:tcBorders/>
            <w:shd w:fill="auto" w:val="clear"/>
          </w:tcPr>
          <w:p>
            <w:pPr>
              <w:pStyle w:val="TableContents"/>
              <w:spacing w:before="0" w:after="283"/>
              <w:rPr/>
            </w:pPr>
            <w:r>
              <w:rPr/>
              <w:drawing>
                <wp:inline distT="0" distB="0" distL="0" distR="0">
                  <wp:extent cx="1714500" cy="466725"/>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1"/>
                          <a:stretch>
                            <a:fillRect/>
                          </a:stretch>
                        </pic:blipFill>
                        <pic:spPr bwMode="auto">
                          <a:xfrm>
                            <a:off x="0" y="0"/>
                            <a:ext cx="1714500" cy="466725"/>
                          </a:xfrm>
                          <a:prstGeom prst="rect">
                            <a:avLst/>
                          </a:prstGeom>
                        </pic:spPr>
                      </pic:pic>
                    </a:graphicData>
                  </a:graphic>
                </wp:inline>
              </w:drawing>
            </w:r>
            <w:r>
              <w:rPr/>
              <w:t xml:space="preserve"> </w:t>
            </w:r>
          </w:p>
        </w:tc>
        <w:tc>
          <w:tcPr>
            <w:tcW w:w="122" w:type="dxa"/>
            <w:tcBorders/>
            <w:shd w:fill="auto" w:val="clear"/>
            <w:vAlign w:val="bottom"/>
          </w:tcPr>
          <w:p>
            <w:pPr>
              <w:pStyle w:val="TableContents"/>
              <w:spacing w:before="0" w:after="283"/>
              <w:rPr/>
            </w:pPr>
            <w:r>
              <w:rPr/>
              <w:t>  </w:t>
            </w:r>
          </w:p>
        </w:tc>
        <w:tc>
          <w:tcPr>
            <w:tcW w:w="4642" w:type="dxa"/>
            <w:tcBorders/>
            <w:shd w:fill="auto" w:val="clear"/>
          </w:tcPr>
          <w:p>
            <w:pPr>
              <w:pStyle w:val="TableContents"/>
              <w:spacing w:before="0" w:after="283"/>
              <w:rPr>
                <w:sz w:val="4"/>
                <w:szCs w:val="4"/>
              </w:rPr>
            </w:pPr>
            <w:r>
              <w:rPr>
                <w:sz w:val="4"/>
                <w:szCs w:val="4"/>
              </w:rPr>
            </w:r>
          </w:p>
        </w:tc>
      </w:tr>
      <w:tr>
        <w:trPr/>
        <w:tc>
          <w:tcPr>
            <w:tcW w:w="5441"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642" w:type="dxa"/>
            <w:tcBorders/>
            <w:shd w:fill="auto" w:val="clear"/>
          </w:tcPr>
          <w:p>
            <w:pPr>
              <w:pStyle w:val="TableContents"/>
              <w:spacing w:before="0" w:after="283"/>
              <w:jc w:val="right"/>
              <w:rPr/>
            </w:pPr>
            <w:r>
              <w:rPr/>
              <w:t>April 26, 2023</w:t>
            </w:r>
          </w:p>
        </w:tc>
      </w:tr>
    </w:tbl>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ACTION MAY BE REQUIRED BY NON-REGISTERED HOLDERS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OF THOMSON REUTERS COMMON SHARES </w:t>
      </w:r>
    </w:p>
    <w:p>
      <w:pPr>
        <w:pStyle w:val="TextBody"/>
        <w:spacing w:before="240" w:after="0"/>
        <w:jc w:val="left"/>
        <w:rPr>
          <w:rFonts w:ascii="Times New Roman" w:hAnsi="Times New Roman"/>
          <w:sz w:val="20"/>
        </w:rPr>
      </w:pPr>
      <w:r>
        <w:rPr>
          <w:rFonts w:ascii="Times New Roman" w:hAnsi="Times New Roman"/>
          <w:sz w:val="20"/>
        </w:rPr>
        <w:t xml:space="preserve">In order to provide returns to shareholders from our recent dispositions of shares in London Stock Exchange Group plc co-owned by the company and certain investment funds affiliated with Blackstone, we have proposed a return of capital transaction consisting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cash distribution of US$4.67 per common share, or approximately US$2.2 billion in the aggregate;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consolidation of our outstanding common shares (or reverse stock split) on a basis that is proportional to the cash distribution. </w:t>
            </w:r>
          </w:p>
        </w:tc>
      </w:tr>
    </w:tbl>
    <w:p>
      <w:pPr>
        <w:pStyle w:val="TextBody"/>
        <w:spacing w:before="120" w:after="0"/>
        <w:jc w:val="left"/>
        <w:rPr>
          <w:rFonts w:ascii="Times New Roman" w:hAnsi="Times New Roman"/>
          <w:sz w:val="20"/>
        </w:rPr>
      </w:pPr>
      <w:r>
        <w:rPr>
          <w:rFonts w:ascii="Times New Roman" w:hAnsi="Times New Roman"/>
          <w:sz w:val="20"/>
        </w:rPr>
        <w:t xml:space="preserve">The proposed return of capital transaction requires shareholder approval and an annual and special meeting of shareholders will be held on June 14, 2023. While the full details of the proposed transaction are described in the accompanying management proxy circular and other related materials, </w:t>
      </w:r>
      <w:r>
        <w:rPr>
          <w:rFonts w:ascii="Times New Roman" w:hAnsi="Times New Roman"/>
          <w:sz w:val="20"/>
          <w:u w:val="single"/>
        </w:rPr>
        <w:t>action is required if an eligible non-</w:t>
      </w:r>
      <w:r>
        <w:rPr>
          <w:rFonts w:ascii="Times New Roman" w:hAnsi="Times New Roman"/>
          <w:sz w:val="20"/>
        </w:rPr>
        <w:t xml:space="preserve"> </w:t>
      </w:r>
      <w:r>
        <w:rPr>
          <w:rFonts w:ascii="Times New Roman" w:hAnsi="Times New Roman"/>
          <w:sz w:val="20"/>
          <w:u w:val="single"/>
        </w:rPr>
        <w:t>registered shareholder wishes to opt out of the transaction.</w:t>
      </w:r>
      <w:r>
        <w:rPr>
          <w:rFonts w:ascii="Times New Roman" w:hAnsi="Times New Roman"/>
          <w:sz w:val="20"/>
        </w:rPr>
        <w:t xml:space="preserve"> </w:t>
      </w:r>
      <w:r>
        <w:rPr>
          <w:rFonts w:ascii="Times New Roman" w:hAnsi="Times New Roman"/>
          <w:i/>
          <w:sz w:val="20"/>
        </w:rPr>
        <w:t>Youre a non-registered shareholder because you hold your Thomson Reuters shares indirectly and theyre registered in the name of an intermediary (such as an investment dealer, stock broker, bank, trust company or other nominee).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Heres what you should do: </w:t>
      </w:r>
    </w:p>
    <w:p>
      <w:pPr>
        <w:pStyle w:val="TextBody"/>
        <w:spacing w:before="0" w:after="0"/>
        <w:jc w:val="left"/>
        <w:rPr/>
      </w:pPr>
      <w:r>
        <w:rPr/>
        <w:t> </w:t>
      </w:r>
    </w:p>
    <w:tbl>
      <w:tblPr>
        <w:tblW w:w="4750" w:type="pct"/>
        <w:jc w:val="left"/>
        <w:tblInd w:w="0" w:type="dxa"/>
        <w:tblCellMar>
          <w:top w:w="0" w:type="dxa"/>
          <w:left w:w="0" w:type="dxa"/>
          <w:bottom w:w="0" w:type="dxa"/>
          <w:right w:w="0" w:type="dxa"/>
        </w:tblCellMar>
      </w:tblPr>
      <w:tblGrid>
        <w:gridCol w:w="9694"/>
      </w:tblGrid>
      <w:tr>
        <w:trPr/>
        <w:tc>
          <w:tcPr>
            <w:tcW w:w="9694" w:type="dxa"/>
            <w:tcBorders/>
            <w:shd w:fill="auto" w:val="clear"/>
            <w:vAlign w:val="center"/>
          </w:tcPr>
          <w:p>
            <w:pPr>
              <w:pStyle w:val="TableContents"/>
              <w:spacing w:before="0" w:after="283"/>
              <w:rPr>
                <w:sz w:val="4"/>
                <w:szCs w:val="4"/>
              </w:rPr>
            </w:pPr>
            <w:r>
              <w:rPr>
                <w:sz w:val="4"/>
                <w:szCs w:val="4"/>
              </w:rPr>
            </w:r>
          </w:p>
        </w:tc>
      </w:tr>
      <w:tr>
        <w:trPr/>
        <w:tc>
          <w:tcPr>
            <w:tcW w:w="9694"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40" w:type="dxa"/>
            </w:tcMar>
          </w:tcPr>
          <w:p>
            <w:pPr>
              <w:pStyle w:val="TableContents"/>
              <w:spacing w:before="0" w:after="283"/>
              <w:rPr>
                <w:b/>
              </w:rPr>
            </w:pPr>
            <w:r>
              <w:rPr>
                <w:b/>
              </w:rPr>
              <w:t>Action</w:t>
            </w:r>
          </w:p>
        </w:tc>
      </w:tr>
      <w:tr>
        <w:trPr/>
        <w:tc>
          <w:tcPr>
            <w:tcW w:w="9694" w:type="dxa"/>
            <w:tcBorders>
              <w:left w:val="single" w:sz="2" w:space="0" w:color="000000"/>
              <w:bottom w:val="single" w:sz="2" w:space="0" w:color="000000"/>
              <w:right w:val="single" w:sz="2" w:space="0" w:color="000000"/>
            </w:tcBorders>
            <w:shd w:fill="auto" w:val="clear"/>
            <w:tcMar>
              <w:left w:w="160" w:type="dxa"/>
              <w:bottom w:w="28" w:type="dxa"/>
              <w:right w:w="40" w:type="dxa"/>
            </w:tcMar>
          </w:tcPr>
          <w:p>
            <w:pPr>
              <w:pStyle w:val="TableContents"/>
              <w:spacing w:before="0" w:after="0"/>
              <w:rPr>
                <w:rFonts w:ascii="Times New Roman" w:hAnsi="Times New Roman"/>
                <w:sz w:val="20"/>
              </w:rPr>
            </w:pPr>
            <w:r>
              <w:rPr>
                <w:rFonts w:ascii="Times New Roman" w:hAnsi="Times New Roman"/>
                <w:sz w:val="20"/>
              </w:rPr>
              <w:t>Follow your intermediarys instructions if youre eligible to opt out of the transaction and decide to do so. Any opt-out elections should be completed by your intermediarys deadline. You should contact your intermediary if you did not receive information regarding how to opt out.</w:t>
            </w:r>
          </w:p>
          <w:p>
            <w:pPr>
              <w:pStyle w:val="TableContents"/>
              <w:spacing w:before="0" w:after="0"/>
              <w:rPr/>
            </w:pPr>
            <w:r>
              <w:rPr/>
              <w:t> </w:t>
            </w:r>
          </w:p>
          <w:p>
            <w:pPr>
              <w:pStyle w:val="TableContents"/>
              <w:spacing w:before="0" w:after="0"/>
              <w:rPr>
                <w:rFonts w:ascii="Times New Roman" w:hAnsi="Times New Roman"/>
                <w:i/>
                <w:sz w:val="20"/>
              </w:rPr>
            </w:pPr>
            <w:r>
              <w:rPr>
                <w:rFonts w:ascii="Times New Roman" w:hAnsi="Times New Roman"/>
                <w:i/>
                <w:sz w:val="20"/>
              </w:rPr>
              <w:t>(Certain shareholders who are taxable in a jurisdiction outside of Canada - including taxable U.S. resident shareholders and others - can opt out of the transaction)</w:t>
            </w:r>
          </w:p>
          <w:p>
            <w:pPr>
              <w:pStyle w:val="TableContents"/>
              <w:spacing w:before="0" w:after="20"/>
              <w:rPr/>
            </w:pPr>
            <w:r>
              <w:rPr/>
              <w:t> </w:t>
            </w:r>
          </w:p>
        </w:tc>
      </w:tr>
      <w:tr>
        <w:trPr/>
        <w:tc>
          <w:tcPr>
            <w:tcW w:w="9694" w:type="dxa"/>
            <w:tcBorders>
              <w:left w:val="single" w:sz="2" w:space="0" w:color="000000"/>
              <w:bottom w:val="single" w:sz="2" w:space="0" w:color="000000"/>
              <w:right w:val="single" w:sz="2" w:space="0" w:color="000000"/>
            </w:tcBorders>
            <w:shd w:fill="auto" w:val="clear"/>
            <w:tcMar>
              <w:left w:w="160" w:type="dxa"/>
              <w:bottom w:w="28" w:type="dxa"/>
              <w:right w:w="40" w:type="dxa"/>
            </w:tcMa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xml:space="preserve">If youre not eligible to opt out of the transaction </w:t>
            </w:r>
            <w:r>
              <w:rPr>
                <w:rFonts w:ascii="Times New Roman" w:hAnsi="Times New Roman"/>
                <w:sz w:val="20"/>
                <w:u w:val="single"/>
              </w:rPr>
              <w:t>or</w:t>
            </w:r>
            <w:r>
              <w:rPr>
                <w:rFonts w:ascii="Times New Roman" w:hAnsi="Times New Roman"/>
                <w:sz w:val="20"/>
              </w:rPr>
              <w:t xml:space="preserve"> are eligible to opt out but decide not to, </w:t>
            </w:r>
            <w:r>
              <w:rPr>
                <w:rFonts w:ascii="Times New Roman" w:hAnsi="Times New Roman"/>
                <w:i/>
                <w:sz w:val="20"/>
              </w:rPr>
              <w:t>no further action is required to participate in the transaction</w:t>
            </w:r>
            <w:r>
              <w:rPr>
                <w:rFonts w:ascii="Times New Roman" w:hAnsi="Times New Roman"/>
                <w:sz w:val="20"/>
              </w:rPr>
              <w:t>.</w:t>
            </w:r>
          </w:p>
        </w:tc>
      </w:tr>
    </w:tbl>
    <w:p>
      <w:pPr>
        <w:pStyle w:val="TextBody"/>
        <w:spacing w:before="240" w:after="0"/>
        <w:jc w:val="left"/>
        <w:rPr>
          <w:rFonts w:ascii="Times New Roman" w:hAnsi="Times New Roman"/>
          <w:sz w:val="20"/>
        </w:rPr>
      </w:pPr>
      <w:r>
        <w:rPr>
          <w:rFonts w:ascii="Times New Roman" w:hAnsi="Times New Roman"/>
          <w:sz w:val="20"/>
        </w:rPr>
        <w:t xml:space="preserve">Please note that as a non-registered shareholder, you are subject to voting deadlines set out in the proxy or voting instructions provided by your intermediary. You should contact your intermediary if you have any questions regarding your proxy or voting instructions. </w:t>
      </w:r>
    </w:p>
    <w:p>
      <w:pPr>
        <w:pStyle w:val="TextBody"/>
        <w:spacing w:before="240" w:after="0"/>
        <w:jc w:val="center"/>
        <w:rPr>
          <w:rFonts w:ascii="Times New Roman" w:hAnsi="Times New Roman"/>
          <w:b/>
          <w:sz w:val="20"/>
        </w:rPr>
      </w:pPr>
      <w:r>
        <w:rPr>
          <w:rFonts w:ascii="Times New Roman" w:hAnsi="Times New Roman"/>
          <w:b/>
          <w:sz w:val="20"/>
        </w:rPr>
        <w:t xml:space="preserve">Questions? Need Help? </w:t>
      </w:r>
    </w:p>
    <w:p>
      <w:pPr>
        <w:pStyle w:val="TextBody"/>
        <w:spacing w:before="0" w:after="0"/>
        <w:jc w:val="center"/>
        <w:rPr>
          <w:rFonts w:ascii="Times New Roman" w:hAnsi="Times New Roman"/>
          <w:sz w:val="20"/>
        </w:rPr>
      </w:pPr>
      <w:r>
        <w:rPr>
          <w:rFonts w:ascii="Times New Roman" w:hAnsi="Times New Roman"/>
          <w:sz w:val="20"/>
        </w:rPr>
        <w:t xml:space="preserve">Please contact our Information Agent, D.F. King &amp; Co., Inc. </w:t>
      </w:r>
    </w:p>
    <w:p>
      <w:pPr>
        <w:pStyle w:val="TextBody"/>
        <w:spacing w:before="0" w:after="0"/>
        <w:jc w:val="center"/>
        <w:rPr>
          <w:rFonts w:ascii="Times New Roman" w:hAnsi="Times New Roman"/>
          <w:sz w:val="20"/>
        </w:rPr>
      </w:pPr>
      <w:r>
        <w:rPr>
          <w:rFonts w:ascii="Times New Roman" w:hAnsi="Times New Roman"/>
          <w:sz w:val="20"/>
        </w:rPr>
        <w:t xml:space="preserve">Canada/U.S. Toll Free Phone: </w:t>
      </w:r>
    </w:p>
    <w:p>
      <w:pPr>
        <w:pStyle w:val="TextBody"/>
        <w:spacing w:before="0" w:after="0"/>
        <w:jc w:val="center"/>
        <w:rPr>
          <w:rFonts w:ascii="Times New Roman" w:hAnsi="Times New Roman"/>
          <w:sz w:val="20"/>
        </w:rPr>
      </w:pPr>
      <w:r>
        <w:rPr>
          <w:rFonts w:ascii="Times New Roman" w:hAnsi="Times New Roman"/>
          <w:sz w:val="20"/>
        </w:rPr>
        <w:t xml:space="preserve">1-866-864-4943 </w:t>
      </w:r>
    </w:p>
    <w:p>
      <w:pPr>
        <w:pStyle w:val="TextBody"/>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tri@dfking.com</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Outside Canada/U.S., call collect: 1-212-269-5550 </w:t>
      </w:r>
    </w:p>
    <w:p>
      <w:pPr>
        <w:pStyle w:val="TextBody"/>
        <w:spacing w:before="240" w:after="0"/>
        <w:jc w:val="left"/>
        <w:rPr>
          <w:rFonts w:ascii="Times New Roman" w:hAnsi="Times New Roman"/>
          <w:i/>
          <w:sz w:val="20"/>
        </w:rPr>
      </w:pPr>
      <w:r>
        <w:rPr>
          <w:rFonts w:ascii="Times New Roman" w:hAnsi="Times New Roman"/>
          <w:i/>
          <w:sz w:val="20"/>
        </w:rPr>
        <w:t xml:space="preserve">This summary is provided for convenience only and should be read in conjunction with, and is qualified in its entirety by, the more detailed information and provisions in the accompanying management proxy circular and other related materials. Your intermediary may require the delivery of other documents in connection with the transaction.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915"/>
        <w:gridCol w:w="121"/>
        <w:gridCol w:w="5169"/>
      </w:tblGrid>
      <w:tr>
        <w:trPr/>
        <w:tc>
          <w:tcPr>
            <w:tcW w:w="491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169" w:type="dxa"/>
            <w:tcBorders/>
            <w:shd w:fill="auto" w:val="clear"/>
            <w:vAlign w:val="center"/>
          </w:tcPr>
          <w:p>
            <w:pPr>
              <w:pStyle w:val="TableContents"/>
              <w:spacing w:before="0" w:after="283"/>
              <w:rPr>
                <w:sz w:val="4"/>
                <w:szCs w:val="4"/>
              </w:rPr>
            </w:pPr>
            <w:r>
              <w:rPr>
                <w:sz w:val="4"/>
                <w:szCs w:val="4"/>
              </w:rPr>
            </w:r>
          </w:p>
        </w:tc>
      </w:tr>
      <w:tr>
        <w:trPr/>
        <w:tc>
          <w:tcPr>
            <w:tcW w:w="491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169" w:type="dxa"/>
            <w:tcBorders/>
            <w:shd w:fill="auto" w:val="clear"/>
          </w:tcPr>
          <w:p>
            <w:pPr>
              <w:pStyle w:val="TableContents"/>
              <w:spacing w:before="0" w:after="283"/>
              <w:jc w:val="right"/>
              <w:rPr/>
            </w:pPr>
            <w:r>
              <w:rPr/>
              <w:drawing>
                <wp:inline distT="0" distB="0" distL="0" distR="0">
                  <wp:extent cx="1619250" cy="219075"/>
                  <wp:effectExtent l="0" t="0" r="0" b="0"/>
                  <wp:docPr id="1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1" descr=""/>
                          <pic:cNvPicPr>
                            <a:picLocks noChangeAspect="1" noChangeArrowheads="1"/>
                          </pic:cNvPicPr>
                        </pic:nvPicPr>
                        <pic:blipFill>
                          <a:blip r:embed="rId102"/>
                          <a:stretch>
                            <a:fillRect/>
                          </a:stretch>
                        </pic:blipFill>
                        <pic:spPr bwMode="auto">
                          <a:xfrm>
                            <a:off x="0" y="0"/>
                            <a:ext cx="1619250" cy="219075"/>
                          </a:xfrm>
                          <a:prstGeom prst="rect">
                            <a:avLst/>
                          </a:prstGeom>
                        </pic:spPr>
                      </pic:pic>
                    </a:graphicData>
                  </a:graphic>
                </wp:inline>
              </w:drawing>
            </w:r>
            <w:r>
              <w:rPr/>
              <w:t xml:space="preserve"> </w:t>
            </w:r>
          </w:p>
        </w:tc>
      </w:tr>
    </w:tbl>
    <w:p>
      <w:pPr>
        <w:pStyle w:val="TextBody"/>
        <w:spacing w:before="0" w:after="0"/>
        <w:jc w:val="right"/>
        <w:rPr>
          <w:rFonts w:ascii="Times New Roman" w:hAnsi="Times New Roman"/>
          <w:b/>
          <w:sz w:val="20"/>
        </w:rPr>
      </w:pPr>
      <w:r>
        <w:br w:type="page"/>
      </w:r>
      <w:bookmarkStart w:id="122" w:name="d490645dex998.htm"/>
      <w:bookmarkStart w:id="123" w:name="ksd490645dex998"/>
      <w:bookmarkEnd w:id="122"/>
      <w:bookmarkEnd w:id="123"/>
      <w:r>
        <w:rPr>
          <w:rFonts w:ascii="Times New Roman" w:hAnsi="Times New Roman"/>
          <w:b/>
          <w:sz w:val="20"/>
        </w:rPr>
        <w:t xml:space="preserve">Exhibit 99.8 </w:t>
      </w:r>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1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2" descr=""/>
                    <pic:cNvPicPr>
                      <a:picLocks noChangeAspect="1" noChangeArrowheads="1"/>
                    </pic:cNvPicPr>
                  </pic:nvPicPr>
                  <pic:blipFill>
                    <a:blip r:embed="rId103"/>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USER GUIDE VIRTUALMEETING PLEASE READ CAREFULLY To start To participate online This years annual and special meeting of shareholders of 1. Make sure the browser on your device is compatible. Thomson Reuters Corporation will be held virtually on You will need the latest version of Chrome, Safari, Edge, Wednesday, June 14, 2023, at 12:00 p.m. (Eastern Daylight or Firefox. Internet Explorer is not supported. Time). You will be able to participate online using your Caution: Internal network security protocols including firewalls smartphone, tablet or computer. and VPN connections may block access to the Lumi platform for your meeting. If you are experiencing any difficulty By participating online, you will be able to view a live audio connecting to the meeting, ensure your VPN setting is disabled webcast of the meeting, submit or ask questions during the or use a computer on a network not restricted to security meeting and vote in real time, provided that you are settings of your organization. connected to the Internet. Questions may be typed or asked 2. Non-registered shareholders who wish to appoint by phone (as described on the next page). themselves as proxyholder and non-As usual, you may also provide voting instructions before registered/registered shareholders who wish to appoint another person as proxyholder MUST register the meeting by completing the proxy or voting information the proxyholder at form that has been provided to you. Please refer to the www.computershare.com/ThomsonReuters. Failure to Voting Information and How to Attend section of the do so will result in the appointee not receiving a circular for further details. username thats required to submit or ask questions or vote at the meeting. Important Notice for Non-Registered Holders Using your smartphone, tablet or computer, go to the following address: Non-registered holders (being shareholders who hold their Meeting Access shares through a broker, investment dealer, bank, trust company, custodian, nominee or other intermediary) who www.tr.com/agm2023 have not duly appointed themselves as a proxyholder may virtually attend as guests but will not be able to vote or You will need the following information to log in: submit or ask questions during the meeting. Meeting ID Password If you are a non-registered holder and wish to attend, 451-573-659 tri2023 submit or ask questions and vote at the meeting, you should carefully follow the instructions set out on your Registered Shareholders voting information form and in the circular in order to appoint and register yourself as a proxyholder. If you are a The control number listed on your form of proxy. non-registered shareholder located in the United States, you also need to obtain a valid legal proxy from your Appointed Proxyholder intermediary. Please see the Voting Information and How to Attend section of the circular for details. The control number or username provided by the transfer agent. Registered Shareholders and Appointed Proxyholder: Registered Shareholders Select I have a login. Enter the control number listed on your form of proxy or Guests: Select I am a guest and fill in the form. e-mail notification as your username and the password above. You will be able to log into the site from 11:00 a.m. Appointed Proxyholder (Eastern Daylight Time) on June 14, 2023. We Enter the control number or username provided by the recommend that you log in at least 15 minutes before transfer agent, provided your appointment has been the meeting starts at 12:00 p.m. (Eastern Daylight Time). registered, and the password above.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1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3" descr=""/>
                    <pic:cNvPicPr>
                      <a:picLocks noChangeAspect="1" noChangeArrowheads="1"/>
                    </pic:cNvPicPr>
                  </pic:nvPicPr>
                  <pic:blipFill>
                    <a:blip r:embed="rId104"/>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To watch the live audio meeting, press on the broadcast icon. On a computer, the broadcast will appear automatically at the right side once the meeting has started. Once logged in, you will see the home page, where you can access the meeting information, documents and the audio broadcast. Voting Questions Once voting has opened, the voting tab will appear. Only registered shareholders or appointed The resolutions and voting choices will be displayed proxyholders may ask questions during the meeting. in that tab. To vote, select one of To ask a question, select the messaging tab. the voting options. Type your question within the box at the top Your choice will be of the screen and click the send arrow. highlighted. To ask a question verbally instead, send your phone A confirmation number and subject in the messaging tab. The Lumi message will also platform will dial you in the conference. Please mute appear to show your your computer and listen to the meeting on your vote has been phone only. This will prevent any delay or feedback received. from occurring. When called upon to ask your question, you will be unmuted. The items of business Questions sent via the Lumi AGM online platform for which you have will be moderated before being sent to the voted, or not yet voted, Chairman. is displayed at the top of the screen. You can change your votes until the end the voting period by simply selecting another choice. If you wish to cancel your vote, please press Cancel. You will continue to hear the meeting proceedings. To return to the broadcast tab on mobile, tap on the broadcast button after having voted. Please ensure that you are connected to the Internet at all times to be able to vote. If you are not connected, your vote will not be recorded. It is your responsibility to ensure you stay connected for the duration of the meeting. www.lumiglobal.com </w:t>
      </w:r>
      <w:r>
        <w:br w:type="page"/>
      </w:r>
    </w:p>
    <w:p>
      <w:pPr>
        <w:pStyle w:val="TextBody"/>
        <w:spacing w:before="0" w:after="0"/>
        <w:jc w:val="right"/>
        <w:rPr>
          <w:rFonts w:ascii="Times New Roman" w:hAnsi="Times New Roman"/>
          <w:b/>
          <w:sz w:val="20"/>
        </w:rPr>
      </w:pPr>
      <w:bookmarkStart w:id="124" w:name="d490645dex999.htm"/>
      <w:bookmarkStart w:id="125" w:name="ksd490645dex999"/>
      <w:bookmarkEnd w:id="124"/>
      <w:bookmarkEnd w:id="125"/>
      <w:r>
        <w:rPr>
          <w:rFonts w:ascii="Times New Roman" w:hAnsi="Times New Roman"/>
          <w:b/>
          <w:sz w:val="20"/>
        </w:rPr>
        <w:t xml:space="preserve">Exhibit 99.9 </w:t>
      </w:r>
    </w:p>
    <w:p>
      <w:pPr>
        <w:pStyle w:val="TextBody"/>
        <w:spacing w:before="240" w:after="0"/>
        <w:jc w:val="center"/>
        <w:rPr>
          <w:rFonts w:ascii="Times New Roman" w:hAnsi="Times New Roman"/>
          <w:b/>
          <w:sz w:val="20"/>
        </w:rPr>
      </w:pPr>
      <w:r>
        <w:rPr>
          <w:rFonts w:ascii="Times New Roman" w:hAnsi="Times New Roman"/>
          <w:b/>
          <w:sz w:val="20"/>
        </w:rPr>
        <w:t xml:space="preserve">THOMSON REUTERS CORPORATION </w:t>
      </w:r>
    </w:p>
    <w:p>
      <w:pPr>
        <w:pStyle w:val="TextBody"/>
        <w:spacing w:before="120" w:after="0"/>
        <w:jc w:val="center"/>
        <w:rPr>
          <w:rFonts w:ascii="Times New Roman" w:hAnsi="Times New Roman"/>
          <w:b/>
          <w:sz w:val="20"/>
        </w:rPr>
      </w:pPr>
      <w:r>
        <w:rPr>
          <w:rFonts w:ascii="Times New Roman" w:hAnsi="Times New Roman"/>
          <w:b/>
          <w:sz w:val="20"/>
        </w:rPr>
        <w:t xml:space="preserve">Certificate Pursuant to National Instrument 54-101 </w:t>
      </w:r>
    </w:p>
    <w:p>
      <w:pPr>
        <w:pStyle w:val="TextBody"/>
        <w:spacing w:before="0" w:after="0"/>
        <w:jc w:val="center"/>
        <w:rPr>
          <w:rFonts w:ascii="Times New Roman" w:hAnsi="Times New Roman"/>
          <w:b/>
          <w:i/>
          <w:sz w:val="20"/>
        </w:rPr>
      </w:pPr>
      <w:r>
        <w:rPr>
          <w:rFonts w:ascii="Times New Roman" w:hAnsi="Times New Roman"/>
          <w:b/>
          <w:i/>
          <w:sz w:val="20"/>
        </w:rPr>
        <w:t xml:space="preserve">Communication with Beneficial Owners of Securities of a Reporting Issuer </w:t>
      </w:r>
    </w:p>
    <w:p>
      <w:pPr>
        <w:pStyle w:val="TextBody"/>
        <w:spacing w:before="240" w:after="0"/>
        <w:jc w:val="left"/>
        <w:rPr>
          <w:rFonts w:ascii="Times New Roman" w:hAnsi="Times New Roman"/>
          <w:sz w:val="20"/>
        </w:rPr>
      </w:pPr>
      <w:r>
        <w:rPr>
          <w:rFonts w:ascii="Times New Roman" w:hAnsi="Times New Roman"/>
          <w:sz w:val="20"/>
        </w:rPr>
        <w:t xml:space="preserve">TO: CANADIAN SECURITIES REGULATORY AUTHORITIES </w:t>
      </w:r>
    </w:p>
    <w:p>
      <w:pPr>
        <w:pStyle w:val="TextBody"/>
        <w:spacing w:before="120" w:after="0"/>
        <w:jc w:val="left"/>
        <w:rPr>
          <w:rFonts w:ascii="Times New Roman" w:hAnsi="Times New Roman"/>
          <w:sz w:val="20"/>
        </w:rPr>
      </w:pPr>
      <w:r>
        <w:rPr>
          <w:rFonts w:ascii="Times New Roman" w:hAnsi="Times New Roman"/>
          <w:sz w:val="20"/>
        </w:rPr>
        <w:t>Thomson Reuters Corporation (the </w:t>
      </w:r>
      <w:r>
        <w:rPr>
          <w:rFonts w:ascii="Times New Roman" w:hAnsi="Times New Roman"/>
          <w:b/>
          <w:sz w:val="20"/>
        </w:rPr>
        <w:t>Issuer</w:t>
      </w:r>
      <w:r>
        <w:rPr>
          <w:rFonts w:ascii="Times New Roman" w:hAnsi="Times New Roman"/>
          <w:sz w:val="20"/>
        </w:rPr>
        <w:t>) hereby certifies, pursuant to paragraph 2.20(c) of National Instrument 54-101 (</w:t>
      </w:r>
      <w:r>
        <w:rPr>
          <w:rFonts w:ascii="Times New Roman" w:hAnsi="Times New Roman"/>
          <w:b/>
          <w:sz w:val="20"/>
        </w:rPr>
        <w:t>NI 54-101</w:t>
      </w:r>
      <w:r>
        <w:rPr>
          <w:rFonts w:ascii="Times New Roman" w:hAnsi="Times New Roman"/>
          <w:sz w:val="20"/>
        </w:rPr>
        <w:t xml:space="preserve">), that it is relying upon section 2.20 of NI 54-101 in connection with the proxy-related materials relating to the annual and special meeting of the Issuers shareholders scheduled for June 14, 2023 and that it has made the arrangements described in paragraphs 2.20(a) and 2.20(b) of NI 54-101. </w:t>
      </w:r>
    </w:p>
    <w:p>
      <w:pPr>
        <w:pStyle w:val="TextBody"/>
        <w:spacing w:before="240" w:after="0"/>
        <w:jc w:val="left"/>
        <w:rPr>
          <w:rFonts w:ascii="Times New Roman" w:hAnsi="Times New Roman"/>
          <w:sz w:val="20"/>
        </w:rPr>
      </w:pPr>
      <w:r>
        <w:rPr>
          <w:rFonts w:ascii="Times New Roman" w:hAnsi="Times New Roman"/>
          <w:sz w:val="20"/>
        </w:rPr>
        <w:t xml:space="preserve">Dated April 26,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3"/>
        <w:gridCol w:w="60"/>
        <w:gridCol w:w="3629"/>
      </w:tblGrid>
      <w:tr>
        <w:trPr/>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THOMSON REUTERS CORPORATION</w:t>
            </w:r>
          </w:p>
        </w:tc>
      </w:tr>
      <w:tr>
        <w:trPr>
          <w:trHeight w:val="240" w:hRule="atLeast"/>
        </w:trPr>
        <w:tc>
          <w:tcPr>
            <w:tcW w:w="393" w:type="dxa"/>
            <w:tcBorders/>
            <w:shd w:fill="auto" w:val="clear"/>
            <w:vAlign w:val="center"/>
          </w:tcPr>
          <w:p>
            <w:pPr>
              <w:pStyle w:val="TableContents"/>
              <w:spacing w:before="0" w:after="283"/>
              <w:rPr>
                <w:sz w:val="4"/>
                <w:szCs w:val="4"/>
              </w:rPr>
            </w:pPr>
            <w:r>
              <w:rPr>
                <w:sz w:val="4"/>
                <w:szCs w:val="4"/>
              </w:rPr>
            </w:r>
          </w:p>
        </w:tc>
        <w:tc>
          <w:tcPr>
            <w:tcW w:w="3689" w:type="dxa"/>
            <w:gridSpan w:val="2"/>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29" w:type="dxa"/>
            <w:tcBorders>
              <w:bottom w:val="single" w:sz="2" w:space="0" w:color="000000"/>
            </w:tcBorders>
            <w:shd w:fill="auto" w:val="clear"/>
            <w:tcMar>
              <w:bottom w:w="28" w:type="dxa"/>
            </w:tcMar>
          </w:tcPr>
          <w:p>
            <w:pPr>
              <w:pStyle w:val="TableContents"/>
              <w:spacing w:before="0" w:after="283"/>
              <w:rPr/>
            </w:pPr>
            <w:r>
              <w:rPr/>
              <w:t>/s/ Jennifer Ruddick</w:t>
            </w:r>
          </w:p>
        </w:tc>
      </w:tr>
      <w:tr>
        <w:trPr/>
        <w:tc>
          <w:tcPr>
            <w:tcW w:w="3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Name:Jennifer Ruddick</w:t>
            </w:r>
          </w:p>
          <w:p>
            <w:pPr>
              <w:pStyle w:val="TableContents"/>
              <w:spacing w:before="0" w:after="20"/>
              <w:rPr>
                <w:rFonts w:ascii="Times New Roman" w:hAnsi="Times New Roman"/>
                <w:sz w:val="20"/>
              </w:rPr>
            </w:pPr>
            <w:r>
              <w:rPr>
                <w:rFonts w:ascii="Times New Roman" w:hAnsi="Times New Roman"/>
                <w:sz w:val="20"/>
              </w:rPr>
              <w:t>Title:Deputy Company Secretary</w:t>
            </w:r>
          </w:p>
        </w:tc>
      </w:tr>
    </w:tbl>
    <w:p>
      <w:pPr>
        <w:pStyle w:val="Heading5"/>
        <w:jc w:val="left"/>
        <w:rPr/>
      </w:pPr>
      <w:r>
        <w:br w:type="page"/>
      </w:r>
      <w:hyperlink w:anchor="toc">
        <w:bookmarkStart w:id="126" w:name="d490645dex9910.htm"/>
        <w:bookmarkStart w:id="127" w:name="ksd490645dex9910"/>
        <w:bookmarkEnd w:id="126"/>
        <w:bookmarkEnd w:id="127"/>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Exhibit 99.10 </w:t>
      </w:r>
    </w:p>
    <w:p>
      <w:pPr>
        <w:pStyle w:val="TextBody"/>
        <w:spacing w:before="4800" w:after="0"/>
        <w:jc w:val="center"/>
        <w:rPr>
          <w:rFonts w:ascii="Times New Roman" w:hAnsi="Times New Roman"/>
          <w:b/>
          <w:sz w:val="36"/>
        </w:rPr>
      </w:pPr>
      <w:r>
        <w:rPr>
          <w:rFonts w:ascii="Times New Roman" w:hAnsi="Times New Roman"/>
          <w:b/>
          <w:sz w:val="36"/>
        </w:rPr>
        <w:t xml:space="preserve">THOMSON REUTERS </w:t>
      </w:r>
    </w:p>
    <w:p>
      <w:pPr>
        <w:pStyle w:val="TextBody"/>
        <w:spacing w:before="240" w:after="0"/>
        <w:jc w:val="center"/>
        <w:rPr>
          <w:rFonts w:ascii="Times New Roman" w:hAnsi="Times New Roman"/>
          <w:b/>
          <w:sz w:val="36"/>
        </w:rPr>
      </w:pPr>
      <w:r>
        <w:rPr>
          <w:rFonts w:ascii="Times New Roman" w:hAnsi="Times New Roman"/>
          <w:b/>
          <w:sz w:val="36"/>
        </w:rPr>
        <w:t xml:space="preserve">CORPORATE GOVERNANCE GUIDELINES </w:t>
      </w:r>
    </w:p>
    <w:p>
      <w:pPr>
        <w:pStyle w:val="TextBody"/>
        <w:spacing w:before="3000" w:after="0"/>
        <w:jc w:val="center"/>
        <w:rPr>
          <w:rFonts w:ascii="Times New Roman" w:hAnsi="Times New Roman"/>
          <w:b/>
          <w:sz w:val="20"/>
        </w:rPr>
      </w:pPr>
      <w:r>
        <w:rPr>
          <w:rFonts w:ascii="Times New Roman" w:hAnsi="Times New Roman"/>
          <w:b/>
          <w:sz w:val="20"/>
        </w:rPr>
        <w:t xml:space="preserve">ADOPTED EFFECTIVE </w:t>
      </w:r>
    </w:p>
    <w:p>
      <w:pPr>
        <w:pStyle w:val="TextBody"/>
        <w:spacing w:before="0" w:after="0"/>
        <w:jc w:val="center"/>
        <w:rPr>
          <w:rFonts w:ascii="Times New Roman" w:hAnsi="Times New Roman"/>
          <w:b/>
          <w:sz w:val="20"/>
        </w:rPr>
      </w:pPr>
      <w:r>
        <w:rPr>
          <w:rFonts w:ascii="Times New Roman" w:hAnsi="Times New Roman"/>
          <w:b/>
          <w:sz w:val="20"/>
        </w:rPr>
        <w:t xml:space="preserve">MARCH 1,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8" w:name="toc1"/>
      <w:bookmarkEnd w:id="128"/>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9"/>
        <w:gridCol w:w="140"/>
        <w:gridCol w:w="9284"/>
        <w:gridCol w:w="140"/>
        <w:gridCol w:w="60"/>
        <w:gridCol w:w="260"/>
        <w:gridCol w:w="62"/>
      </w:tblGrid>
      <w:tr>
        <w:trPr/>
        <w:tc>
          <w:tcPr>
            <w:tcW w:w="2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pPr>
            <w:r>
              <w:rPr/>
              <w:t>1.</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GENERAL</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2.</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BOARD COMPOSITION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3.</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BOARD RESPONSIBILITIES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4.</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PRINCIPAL SHAREHOLDER</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5.</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CHAIRMAN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6.</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DEPUTY CHAIRMAN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7.</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LEAD INDEPENDENT DIRECTOR</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8.</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COMPANY SECRETARY</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9.</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BOARD COMMITTEES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10.</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BOARD AND COMMITTEE MEETINGS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11.</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DIRECTOR COMPENSATION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12.</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REIMBURSEMENT OF EXPENSES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13.</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SHARE OWNERSHIP GUIDELINES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14.</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DIRECTOR ORIENTATION AND CONTINUING EDUCATION</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15.</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BOARD ACCESS TO MANAGEMENT AND ADVISORS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16.</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PERFORMANCE ASSESSMENTS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17.</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CODE OF BUSINESS CONDUCT AND ETHICS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18.</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PROHIBITION ON PERSONAL LOANS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19.</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INDEMNIFICATION AND INSURANCE</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20.</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CONFLICTS OF INTEREST</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259" w:type="dxa"/>
            <w:tcBorders/>
            <w:shd w:fill="auto" w:val="clear"/>
          </w:tcPr>
          <w:p>
            <w:pPr>
              <w:pStyle w:val="TableContents"/>
              <w:spacing w:before="0" w:after="283"/>
              <w:rPr/>
            </w:pPr>
            <w:r>
              <w:rPr/>
              <w:t>21.</w:t>
            </w:r>
          </w:p>
        </w:tc>
        <w:tc>
          <w:tcPr>
            <w:tcW w:w="140"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pPr>
            <w:r>
              <w:rPr/>
              <w:t>TO CONTACT THE BOARD AND ITS COMMITTEES</w:t>
            </w:r>
          </w:p>
        </w:tc>
        <w:tc>
          <w:tcPr>
            <w:tcW w:w="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THOMSON REUTERS </w:t>
      </w:r>
    </w:p>
    <w:p>
      <w:pPr>
        <w:pStyle w:val="TextBody"/>
        <w:spacing w:before="240" w:after="0"/>
        <w:jc w:val="center"/>
        <w:rPr>
          <w:rFonts w:ascii="Times New Roman" w:hAnsi="Times New Roman"/>
          <w:b/>
          <w:sz w:val="20"/>
        </w:rPr>
      </w:pPr>
      <w:r>
        <w:rPr>
          <w:rFonts w:ascii="Times New Roman" w:hAnsi="Times New Roman"/>
          <w:b/>
          <w:sz w:val="20"/>
        </w:rPr>
        <w:t xml:space="preserve">CORPORATE GOVERNANCE GUIDELINES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bookmarkStart w:id="129" w:name="ex99_10toc490645_1"/>
            <w:bookmarkEnd w:id="129"/>
            <w:r>
              <w:rPr>
                <w:b/>
              </w:rPr>
              <w:t>1.</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GENERAL </w:t>
            </w:r>
          </w:p>
        </w:tc>
      </w:tr>
    </w:tbl>
    <w:p>
      <w:pPr>
        <w:pStyle w:val="TextBody"/>
        <w:spacing w:before="120" w:after="0"/>
        <w:jc w:val="left"/>
        <w:rPr>
          <w:rFonts w:ascii="Times New Roman" w:hAnsi="Times New Roman"/>
          <w:sz w:val="20"/>
        </w:rPr>
      </w:pPr>
      <w:r>
        <w:rPr>
          <w:rFonts w:ascii="Times New Roman" w:hAnsi="Times New Roman"/>
          <w:sz w:val="20"/>
        </w:rPr>
        <w:t xml:space="preserve">The Board of Directors (the Board) of Thomson Reuters Corporation (the Corporation) believes that sound corporate governance practices are essential to the well-being of the Corporation and its subsidiaries (collectively, Thomson Reuters) and the promotion and protection of its shareholders interests. The Board oversees the functioning of Thomson Reuters governance system, in part, through the work of the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The Board has adopted these guidelines, which reflect Thomson Reuters commitment to high standards of corporate governance, to assist the Board in supervising the management of the business and affairs of Thomson Reuters as required under applicable law and stock exchange rules and requirements. </w:t>
      </w:r>
    </w:p>
    <w:p>
      <w:pPr>
        <w:pStyle w:val="TextBody"/>
        <w:spacing w:before="120" w:after="0"/>
        <w:jc w:val="left"/>
        <w:rPr>
          <w:rFonts w:ascii="Times New Roman" w:hAnsi="Times New Roman"/>
          <w:sz w:val="20"/>
        </w:rPr>
      </w:pPr>
      <w:r>
        <w:rPr>
          <w:rFonts w:ascii="Times New Roman" w:hAnsi="Times New Roman"/>
          <w:sz w:val="20"/>
        </w:rPr>
        <w:t xml:space="preserve">The fundamental responsibility of the Board is to supervise the management of the business and affairs of Thomson Reuters with a view to sustainable value creation for all shareholders. The Board seeks to ensure fair reporting, including financial reporting, to shareholders of the Corporation and other interested persons as well as ethical and legal corporate conduct by maintaining an appropriate system of corporate governance, internal control over financial reporting and 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The Board believes that Thomson Reuters is best served by a board of directors that functions independently of management and that is informed and engaged. The Board also values the benefits that diversity can bring to the boardroom and throughout Thomson Reuters. Diversity promotes the inclusion of different perspectives and ideas, mitigates against group think and improves oversight, decision-making and governance. </w:t>
      </w:r>
    </w:p>
    <w:p>
      <w:pPr>
        <w:pStyle w:val="TextBody"/>
        <w:spacing w:before="120" w:after="0"/>
        <w:jc w:val="left"/>
        <w:rPr>
          <w:rFonts w:ascii="Times New Roman" w:hAnsi="Times New Roman"/>
          <w:sz w:val="20"/>
        </w:rPr>
      </w:pPr>
      <w:r>
        <w:rPr>
          <w:rFonts w:ascii="Times New Roman" w:hAnsi="Times New Roman"/>
          <w:sz w:val="20"/>
        </w:rPr>
        <w:t xml:space="preserve">The Corporate Governance Committee will review these guidelines annually, or more often if warranted, and recommend to the Board such changes as it determines necessary and appropriate in light of Thomson Reuters needs and legal, regulatory and other developments.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0" w:name="ex99_10toc490645_2"/>
            <w:bookmarkEnd w:id="130"/>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COMPOSITION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Membership Criteria and Diversity Policy </w:t>
            </w:r>
          </w:p>
        </w:tc>
      </w:tr>
    </w:tbl>
    <w:p>
      <w:pPr>
        <w:pStyle w:val="TextBody"/>
        <w:spacing w:before="120" w:after="0"/>
        <w:jc w:val="left"/>
        <w:rPr>
          <w:rFonts w:ascii="Times New Roman" w:hAnsi="Times New Roman"/>
          <w:sz w:val="20"/>
        </w:rPr>
      </w:pPr>
      <w:r>
        <w:rPr>
          <w:rFonts w:ascii="Times New Roman" w:hAnsi="Times New Roman"/>
          <w:sz w:val="20"/>
        </w:rPr>
        <w:t xml:space="preserve">The Corporate Governance Committee is responsible for assessing the need for new directors, the preferred experience and qualifications for new directors, and the skills and competencies that the Board, its committees, individual directors and candidates should possess. The Corporate Governance Committee recommends candidates for initial Board membership and Board members for renomination. Recommendations are based on character, integrity, judgment, skills, competencies, business experience, specific areas of expertise, record of achievement and any other attributes which would enhance the Board and overall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 of the business and affairs of Thomson Reuters. Diversity is among these other attributes as the Corporate Governance Committee believes that having a diverse Board enhances Board operations. While the Corporate Governance Committee focuses on finding the best qualified candidates for the Board, a nominees diversity may be considered favorably in his or her assessment. For purposes of these guidelines, diversity includes business experience, thought, style, culture, gender, geographic background, race, visible minorities, national origin, Indigenous persons, religion, gender identity and expression, sexual orientation, disability, age and other personal characteristics. </w:t>
      </w:r>
    </w:p>
    <w:p>
      <w:pPr>
        <w:pStyle w:val="TextBody"/>
        <w:spacing w:before="120" w:after="0"/>
        <w:jc w:val="left"/>
        <w:rPr>
          <w:rFonts w:ascii="Times New Roman" w:hAnsi="Times New Roman"/>
          <w:sz w:val="20"/>
        </w:rPr>
      </w:pPr>
      <w:r>
        <w:rPr>
          <w:rFonts w:ascii="Times New Roman" w:hAnsi="Times New Roman"/>
          <w:sz w:val="20"/>
        </w:rPr>
        <w:t xml:space="preserve">In identifying candidates for election or re-election, the Board and the Corporate Governance Committee specifically consider the level of representation of women on the Board. The Board has a goal that women represent at least 30% of the Boards directors. </w:t>
      </w:r>
    </w:p>
    <w:p>
      <w:pPr>
        <w:pStyle w:val="TextBody"/>
        <w:spacing w:before="120" w:after="0"/>
        <w:jc w:val="left"/>
        <w:rPr>
          <w:rFonts w:ascii="Times New Roman" w:hAnsi="Times New Roman"/>
          <w:sz w:val="20"/>
        </w:rPr>
      </w:pPr>
      <w:r>
        <w:rPr>
          <w:rFonts w:ascii="Times New Roman" w:hAnsi="Times New Roman"/>
          <w:sz w:val="20"/>
        </w:rPr>
        <w:t xml:space="preserve">Each director must have an understanding of Thomson Reuters principal operational and financial objectives, plans and strategies, financial position and performance and the performance of Thomson Reuters relative to its principal competitors. </w:t>
      </w:r>
    </w:p>
    <w:p>
      <w:pPr>
        <w:pStyle w:val="TextBody"/>
        <w:spacing w:before="120" w:after="0"/>
        <w:jc w:val="left"/>
        <w:rPr>
          <w:rFonts w:ascii="Times New Roman" w:hAnsi="Times New Roman"/>
          <w:sz w:val="20"/>
        </w:rPr>
      </w:pPr>
      <w:r>
        <w:rPr>
          <w:rFonts w:ascii="Times New Roman" w:hAnsi="Times New Roman"/>
          <w:sz w:val="20"/>
        </w:rPr>
        <w:t xml:space="preserve">Directors must be able to dedicate sufficient time to carry out their duties and not assume responsibilities that would materially interfere with or be incompatible with Board membership. Directors who change their principal occupation are expected to advise the Corporate Governance Committee and, if determined appropriate by the Corporate Governance Committee, resign from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Director Independence</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Boards composition and procedures are designed to permit it to function independently from management and to promote and protect the interests of all shareholders. The Board believes that, except during periods of temporary vacancies, at least a majority of its members should be independent. </w:t>
      </w:r>
    </w:p>
    <w:p>
      <w:pPr>
        <w:pStyle w:val="TextBody"/>
        <w:spacing w:before="120" w:after="0"/>
        <w:jc w:val="left"/>
        <w:rPr>
          <w:rFonts w:ascii="Times New Roman" w:hAnsi="Times New Roman"/>
          <w:sz w:val="20"/>
        </w:rPr>
      </w:pPr>
      <w:r>
        <w:rPr>
          <w:rFonts w:ascii="Times New Roman" w:hAnsi="Times New Roman"/>
          <w:sz w:val="20"/>
        </w:rPr>
        <w:t xml:space="preserve">The Board determines whether a director is independent. In determining independence, the Board relies on the applicable definitions in National Instrument 58-101  </w:t>
      </w:r>
      <w:r>
        <w:rPr>
          <w:rFonts w:ascii="Times New Roman" w:hAnsi="Times New Roman"/>
          <w:i/>
          <w:sz w:val="20"/>
        </w:rPr>
        <w:t>Disclosure of Corporate Governance Practices</w:t>
      </w:r>
      <w:r>
        <w:rPr>
          <w:rFonts w:ascii="Times New Roman" w:hAnsi="Times New Roman"/>
          <w:sz w:val="20"/>
        </w:rPr>
        <w:t xml:space="preserve"> and the New York Stock Exchange (NYSE) listing standards. Generally, an independent director means a director who has been affirmatively determined by the Board to have no material relationship with Thomson Reuters. In determining the independence of directors, the Board considers all relevant facts and circumstances, including that in the normal course of business, Thomson Reuters provides services to, and receives services from, companies that some of the independent directors are affiliated with. </w:t>
      </w:r>
    </w:p>
    <w:p>
      <w:pPr>
        <w:pStyle w:val="TextBody"/>
        <w:spacing w:before="120" w:after="0"/>
        <w:jc w:val="left"/>
        <w:rPr>
          <w:rFonts w:ascii="Times New Roman" w:hAnsi="Times New Roman"/>
          <w:sz w:val="20"/>
        </w:rPr>
      </w:pPr>
      <w:r>
        <w:rPr>
          <w:rFonts w:ascii="Times New Roman" w:hAnsi="Times New Roman"/>
          <w:sz w:val="20"/>
        </w:rPr>
        <w:t xml:space="preserve">The Board reviews the independence of all directors on an annual basis and publicly discloses its determinations. Directors have an ongoing obligation to inform the Board of any material changes in their circumstances or relationships that may affect the Boards determination as to their independence.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Board Size</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Corporations Articles provide that the Board shall consist of no less than five members and no more than 20 members. The size of the Board for effective decision-making and committee work may vary from time to time as appropriate, including because of or in anticipation of retirements from the Board. The Corporate Governance Committee will make recommendations to the Board periodically regarding the size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Term</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All directors are elected or appointed until the next annual meeting of shareholders or until they resign or their successor is elected or appointed. </w:t>
      </w:r>
    </w:p>
    <w:p>
      <w:pPr>
        <w:pStyle w:val="TextBody"/>
        <w:spacing w:before="120" w:after="0"/>
        <w:jc w:val="left"/>
        <w:rPr>
          <w:rFonts w:ascii="Times New Roman" w:hAnsi="Times New Roman"/>
          <w:sz w:val="20"/>
        </w:rPr>
      </w:pPr>
      <w:r>
        <w:rPr>
          <w:rFonts w:ascii="Times New Roman" w:hAnsi="Times New Roman"/>
          <w:sz w:val="20"/>
        </w:rPr>
        <w:t xml:space="preserve">The Board does not believe it should establish term limits or mandatory retirement ages for its members as such limits may deprive Thomson Reuters and its shareholders of the contributions of members who have been able to develop, over time, valuable insights into Thomson Reuters, its strategy and business operations.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Majority Voting Policy</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If a director does not receive the support of a majority of votes cast at a meeting of shareholders (other than at contested meetings), the director must immediately tender his or her resignation, to be effective when accepted by the Board. The Corporate Governance Committee will consider the directors offer to resign and make a recommendation to the Board as to whether to accept it. The Board will accept resignations, absent exceptional circumstances, and in any case, must make its decision within 90 days of the relevant meeting of shareholders. A director who tenders a resignation will not participate in any meeting of the Corporate Governance Committee or the Board at which the resignation is considered. The Boards decision will be promptly announced by news release and provided to the Toronto Stock Exchange and if a resignation is not accepted, the news release will fully state the reasons for that decision.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(f)</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Board Succession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Corporate Governance Committee is responsible for maintaining a succession plan for the Board that is responsive to Thomson Reuters needs and the interests of its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Service on Other Boards and Audit Committees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does not believe that its members should be prohibited from serving on the boards of other public or private companies so long as these commitments do not materially interfere with and are not incompatible with their ability to fulfill their duties as a member of the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 must receive approval from the Chair of the Corporate Governance Committee in advance of accepting an invitation to serve, or being publicly reflected as a nominee to serve, on the board of another public company. Directors must notify the Chair of the Corporate Governance Committee in advance of accepting an invitation to serve, or being publicly reflected as a nominee to serve, on the board of a for-profit, private company that is not a family business. In either case, the director must indicate whether another director of the Corporation is also a member of the board of the other company. </w:t>
      </w:r>
    </w:p>
    <w:p>
      <w:pPr>
        <w:pStyle w:val="TextBody"/>
        <w:spacing w:before="120" w:after="0"/>
        <w:jc w:val="left"/>
        <w:rPr>
          <w:rFonts w:ascii="Times New Roman" w:hAnsi="Times New Roman"/>
          <w:sz w:val="20"/>
        </w:rPr>
      </w:pPr>
      <w:r>
        <w:rPr>
          <w:rFonts w:ascii="Times New Roman" w:hAnsi="Times New Roman"/>
          <w:sz w:val="20"/>
        </w:rPr>
        <w:t xml:space="preserve">As a general rule, directors are not allowed to join a board of another public company on which two or more other directors of the Corporation serve (unless otherwise approved by the Corporate Governance Committee or its Chair). </w:t>
      </w:r>
    </w:p>
    <w:p>
      <w:pPr>
        <w:pStyle w:val="TextBody"/>
        <w:spacing w:before="120" w:after="0"/>
        <w:jc w:val="left"/>
        <w:rPr>
          <w:rFonts w:ascii="Times New Roman" w:hAnsi="Times New Roman"/>
          <w:sz w:val="20"/>
        </w:rPr>
      </w:pPr>
      <w:r>
        <w:rPr>
          <w:rFonts w:ascii="Times New Roman" w:hAnsi="Times New Roman"/>
          <w:sz w:val="20"/>
        </w:rPr>
        <w:t xml:space="preserve">Members of the Audit Committee may not serve on the audit committees of more than two other public companies without the prior approval of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31" w:name="ex99_10toc490645_3"/>
            <w:bookmarkEnd w:id="131"/>
            <w:r>
              <w:rPr>
                <w:b/>
              </w:rPr>
              <w:t>3.</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RESPONSIBILITIES </w:t>
            </w:r>
          </w:p>
        </w:tc>
      </w:tr>
    </w:tbl>
    <w:p>
      <w:pPr>
        <w:pStyle w:val="TextBody"/>
        <w:spacing w:before="120" w:after="0"/>
        <w:jc w:val="left"/>
        <w:rPr>
          <w:rFonts w:ascii="Times New Roman" w:hAnsi="Times New Roman"/>
          <w:sz w:val="20"/>
        </w:rPr>
      </w:pPr>
      <w:r>
        <w:rPr>
          <w:rFonts w:ascii="Times New Roman" w:hAnsi="Times New Roman"/>
          <w:sz w:val="20"/>
        </w:rPr>
        <w:t xml:space="preserve">Directors have a duty to act honestly and in good faith with a view to the best interests of Thomson Reuters. In fulfilling its responsibilities, the Board is responsible for the following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Appointment and Supervision of the Chief Executive Officer and Senior Management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appoints and supervises the Chief Executive Officer and other members of Thomson Reuters senior management, approves their compensation and, as permitted by applicable law, delegates to senior management responsibility for the day-to-day operations of Thomson Reuters. </w:t>
      </w:r>
    </w:p>
    <w:p>
      <w:pPr>
        <w:pStyle w:val="TextBody"/>
        <w:spacing w:before="120" w:after="0"/>
        <w:jc w:val="left"/>
        <w:rPr>
          <w:rFonts w:ascii="Times New Roman" w:hAnsi="Times New Roman"/>
          <w:sz w:val="20"/>
        </w:rPr>
      </w:pPr>
      <w:r>
        <w:rPr>
          <w:rFonts w:ascii="Times New Roman" w:hAnsi="Times New Roman"/>
          <w:sz w:val="20"/>
        </w:rPr>
        <w:t xml:space="preserve">The Board will satisfy itself that a process is in place to provide for the development, evaluation and succession of the Chief Executive Officer and other members of senior management. The Board maintains a position description for the Chief Executive Officer. </w:t>
      </w:r>
    </w:p>
    <w:p>
      <w:pPr>
        <w:pStyle w:val="TextBody"/>
        <w:spacing w:before="120" w:after="0"/>
        <w:jc w:val="left"/>
        <w:rPr>
          <w:rFonts w:ascii="Times New Roman" w:hAnsi="Times New Roman"/>
          <w:sz w:val="20"/>
        </w:rPr>
      </w:pPr>
      <w:r>
        <w:rPr>
          <w:rFonts w:ascii="Times New Roman" w:hAnsi="Times New Roman"/>
          <w:sz w:val="20"/>
        </w:rPr>
        <w:t xml:space="preserve">The Board will satisfy itself as to the integrity of the Chief Executive Officer and other members of senior management, including confirming that the Chief Executive Officer and other members of senior management maintain a culture of integrity throughout Thomson Reuters. </w:t>
      </w:r>
    </w:p>
    <w:p>
      <w:pPr>
        <w:pStyle w:val="TextBody"/>
        <w:spacing w:before="120" w:after="0"/>
        <w:jc w:val="left"/>
        <w:rPr>
          <w:rFonts w:ascii="Times New Roman" w:hAnsi="Times New Roman"/>
          <w:sz w:val="20"/>
        </w:rPr>
      </w:pPr>
      <w:r>
        <w:rPr>
          <w:rFonts w:ascii="Times New Roman" w:hAnsi="Times New Roman"/>
          <w:sz w:val="20"/>
        </w:rPr>
        <w:t xml:space="preserve">A key component of Thomson Reuters diversity and inclusion approach is identification, development and advancement of women globally for leadership and executive officer positions.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Strategic Planning and Risk Management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establish and maintain Thomson Reuters mission, values, long-term strategic goals, performance objectives and operational policies. In this regard, the Board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adopt a strategic planning process and review and approve, on an annual basis, a strategic plan which takes into account, among other things, the opportunities and risks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approve on an annual basis a business plan developed with management which includes rigorous but realistic goals;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approve strategic and operational policies within which management will operate in relation to capital expenditures, acquisitions and dispositions, disclosure and communications, finance and investment, risk management, human resources, internal control over financial reporting, disclosure controls and procedures and management information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 annual corporate and management performance targets;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confirm that a system is in place to identify the principal risks facing Thomson Reuters and its businesses and that appropriate procedures and systems are in place to monitor, mitigate and manage such risks;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3"/>
        <w:gridCol w:w="104"/>
        <w:gridCol w:w="8873"/>
      </w:tblGrid>
      <w:tr>
        <w:trPr/>
        <w:tc>
          <w:tcPr>
            <w:tcW w:w="1015"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confirm that processes are in place for Thomson Reuters and its businesses to address and comply with applicable legal, regulatory, corporate, securities and other compliance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Financial Reporting and Management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2"/>
        <w:gridCol w:w="103"/>
        <w:gridCol w:w="8875"/>
      </w:tblGrid>
      <w:tr>
        <w:trPr/>
        <w:tc>
          <w:tcPr>
            <w:tcW w:w="101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oversee the integrity of Thomson Reuters with regard to its compliance with applicable audit, accounting and financial reporting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approve annual financial statements and related managements discussion and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approve the annual operating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confirm the integrity of Thomson Reuters internal controls and management information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approve Thomson Reuters dividend policy;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operating and financial performance results relative to established strategies, plans, budgets and objectives.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Disclosure and Communications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satisfy itself that appropriate policies and procedures are in place regarding public disclosure and restricted trading by insiders. In this regard, the Board will periodically review Thomson Reuters corporate disclosure policy and will confirm that a process is in place to disclose all material information in compliance with Thomson Reuters timely disclosure obligations and to prevent market abuse, whether by way of selective disclosure of material information to analysts, institutional investors, market professionals and others or otherwise.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Environmental, Social and Governance (ESG)</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 Thomson Reuters approach to corporate governance, including establishing appropriate principles and guidelines relating to corporate governance that are specifically applicable to Thomson Reuters and practices to facilitate the Boards independence;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oversee Thomson Reuters overall approach to ESG and its alignment with the Corporations long-term business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committees and approve their respective charters and the limits of authority delegated to each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2"/>
        <w:gridCol w:w="103"/>
        <w:gridCol w:w="8875"/>
      </w:tblGrid>
      <w:tr>
        <w:trPr/>
        <w:tc>
          <w:tcPr>
            <w:tcW w:w="101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appropriate processes for the regular evaluation of the effectiveness of the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3"/>
        <w:gridCol w:w="104"/>
        <w:gridCol w:w="8873"/>
      </w:tblGrid>
      <w:tr>
        <w:trPr/>
        <w:tc>
          <w:tcPr>
            <w:tcW w:w="1015"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approve the nomination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the adequacy and form of directors compensation to confirm that it is competitive and appropriately compensates directors for the responsibilities, time commitment and risks involved in being a director or a member of one or more Board committees,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4"/>
        <w:gridCol w:w="101"/>
        <w:gridCol w:w="8882"/>
      </w:tblGrid>
      <w:tr>
        <w:trPr/>
        <w:tc>
          <w:tcPr>
            <w:tcW w:w="101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arrange for non-management directors to meet at least quarterly without management present and for independent directors to meet at least annually;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sufficient funds are available for its effective operation and that of its committees.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(f)</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Observance of Thomson Reuters Trust Principles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satisfy itself that Thomson Reuters observes and upholds the Thomson Reuters Trust Principles.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Approval of Certain Other Matters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must itself approve those matters which may not be delegated by the Board under applicable corporate law including, among others, the issuance of securities (except in the manner and on terms authorized by the Board), the declaration of dividends, the repurchase or redemption of shares and matters relating to the adoption, repeal or amendment of the by-laws of the Corporation. The Board may also reserve to itself the right to approve certain matters notwithstanding the delegation to senior management of the authority to manage the business of Thomson Reuters.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32" w:name="ex99_10toc490645_4"/>
            <w:bookmarkEnd w:id="132"/>
            <w:r>
              <w:rPr>
                <w:b/>
              </w:rPr>
              <w:t>4.</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PRINCIPAL SHAREHOLDER </w:t>
            </w:r>
          </w:p>
        </w:tc>
      </w:tr>
    </w:tbl>
    <w:p>
      <w:pPr>
        <w:pStyle w:val="TextBody"/>
        <w:spacing w:before="120" w:after="0"/>
        <w:jc w:val="left"/>
        <w:rPr>
          <w:rFonts w:ascii="Times New Roman" w:hAnsi="Times New Roman"/>
          <w:sz w:val="20"/>
        </w:rPr>
      </w:pPr>
      <w:r>
        <w:rPr>
          <w:rFonts w:ascii="Times New Roman" w:hAnsi="Times New Roman"/>
          <w:sz w:val="20"/>
        </w:rPr>
        <w:t xml:space="preserve">As of the date hereof, The Woodbridge Company Limited (Woodbridge), a private company that is the primary investment vehicle for members of the family of the late First Lord Thomson of Fleet, is the principal shareholder of the Corporation. Woodbridges primary investment is its investment in the Corporation. It actively monitors Thomson Reuters as a principal shareholder. In its involvement with Thomson Reuters, Woodbridge focuses principally on the following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corporate governance, including the effectiveness of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appointment of the Chief Executive Officer and other members of senior management and related succession planning;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development of the long-term business strategy of Thomson Reuters and assessment of its implementation;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capital strategy. </w:t>
            </w:r>
          </w:p>
        </w:tc>
      </w:tr>
    </w:tbl>
    <w:p>
      <w:pPr>
        <w:pStyle w:val="TextBody"/>
        <w:spacing w:before="120" w:after="0"/>
        <w:jc w:val="left"/>
        <w:rPr>
          <w:rFonts w:ascii="Times New Roman" w:hAnsi="Times New Roman"/>
          <w:sz w:val="20"/>
        </w:rPr>
      </w:pPr>
      <w:r>
        <w:rPr>
          <w:rFonts w:ascii="Times New Roman" w:hAnsi="Times New Roman"/>
          <w:sz w:val="20"/>
        </w:rPr>
        <w:t xml:space="preserve">With its substantial equity investment in the Corporation, Woodbridge considers that its interests as a shareholder are aligned with those of all other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3" w:name="ex99_10toc490645_5"/>
            <w:bookmarkEnd w:id="133"/>
            <w:r>
              <w:rPr>
                <w:b/>
              </w:rPr>
              <w:t>5.</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CHAIRMAN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in each year elect from among its members a Chairman who is not the Chief Executive Officer or otherwise a member of senior management. </w:t>
      </w:r>
    </w:p>
    <w:p>
      <w:pPr>
        <w:pStyle w:val="TextBody"/>
        <w:spacing w:before="120" w:after="0"/>
        <w:jc w:val="left"/>
        <w:rPr>
          <w:rFonts w:ascii="Times New Roman" w:hAnsi="Times New Roman"/>
          <w:sz w:val="20"/>
        </w:rPr>
      </w:pPr>
      <w:r>
        <w:rPr>
          <w:rFonts w:ascii="Times New Roman" w:hAnsi="Times New Roman"/>
          <w:sz w:val="20"/>
        </w:rPr>
        <w:t xml:space="preserve">The Chairman is principally responsible for overseeing the operations and affairs of the Board. The Board maintains a position description for the Chairman.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4" w:name="ex99_10toc490645_6"/>
            <w:bookmarkEnd w:id="134"/>
            <w:r>
              <w:rPr>
                <w:b/>
              </w:rPr>
              <w:t>6.</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DEPUTY CHAIRMAN </w:t>
            </w:r>
          </w:p>
        </w:tc>
      </w:tr>
    </w:tbl>
    <w:p>
      <w:pPr>
        <w:pStyle w:val="TextBody"/>
        <w:spacing w:before="120" w:after="0"/>
        <w:jc w:val="left"/>
        <w:rPr>
          <w:rFonts w:ascii="Times New Roman" w:hAnsi="Times New Roman"/>
          <w:sz w:val="20"/>
        </w:rPr>
      </w:pPr>
      <w:r>
        <w:rPr>
          <w:rFonts w:ascii="Times New Roman" w:hAnsi="Times New Roman"/>
          <w:sz w:val="20"/>
        </w:rPr>
        <w:t xml:space="preserve">The Board may in each year elect from among its members one or more Deputy Chairmen who are not the Chief Executive Officer or otherwise members of senior management. </w:t>
      </w:r>
    </w:p>
    <w:p>
      <w:pPr>
        <w:pStyle w:val="TextBody"/>
        <w:spacing w:before="120" w:after="0"/>
        <w:jc w:val="left"/>
        <w:rPr>
          <w:rFonts w:ascii="Times New Roman" w:hAnsi="Times New Roman"/>
          <w:sz w:val="20"/>
        </w:rPr>
      </w:pPr>
      <w:r>
        <w:rPr>
          <w:rFonts w:ascii="Times New Roman" w:hAnsi="Times New Roman"/>
          <w:sz w:val="20"/>
        </w:rPr>
        <w:t xml:space="preserve">Any Deputy Chairman is responsible for assisting the Chairman in fulfilling his duties and for performing additional duties requested by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5" w:name="ex99_10toc490645_7"/>
            <w:bookmarkEnd w:id="135"/>
            <w:r>
              <w:rPr>
                <w:b/>
              </w:rPr>
              <w:t>7.</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LEAD INDEPENDENT DIRECTOR </w:t>
            </w:r>
          </w:p>
        </w:tc>
      </w:tr>
    </w:tbl>
    <w:p>
      <w:pPr>
        <w:pStyle w:val="TextBody"/>
        <w:spacing w:before="120" w:after="0"/>
        <w:jc w:val="left"/>
        <w:rPr>
          <w:rFonts w:ascii="Times New Roman" w:hAnsi="Times New Roman"/>
          <w:sz w:val="20"/>
        </w:rPr>
      </w:pPr>
      <w:r>
        <w:rPr>
          <w:rFonts w:ascii="Times New Roman" w:hAnsi="Times New Roman"/>
          <w:sz w:val="20"/>
        </w:rPr>
        <w:t xml:space="preserve">The Board may in each year elect a Lead Independent Director from among its members who have been determined to be independent.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6" w:name="ex99_10toc490645_8"/>
            <w:bookmarkEnd w:id="136"/>
            <w:r>
              <w:rPr>
                <w:b/>
              </w:rPr>
              <w:t>8.</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COMPANY SECRETARY </w:t>
            </w:r>
          </w:p>
        </w:tc>
      </w:tr>
    </w:tbl>
    <w:p>
      <w:pPr>
        <w:pStyle w:val="TextBody"/>
        <w:spacing w:before="120" w:after="0"/>
        <w:jc w:val="left"/>
        <w:rPr>
          <w:rFonts w:ascii="Times New Roman" w:hAnsi="Times New Roman"/>
          <w:sz w:val="20"/>
        </w:rPr>
      </w:pPr>
      <w:r>
        <w:rPr>
          <w:rFonts w:ascii="Times New Roman" w:hAnsi="Times New Roman"/>
          <w:sz w:val="20"/>
        </w:rPr>
        <w:t xml:space="preserve">The Board will appoint an individual to act as the Company Secretary. </w:t>
      </w:r>
    </w:p>
    <w:p>
      <w:pPr>
        <w:pStyle w:val="TextBody"/>
        <w:spacing w:before="120" w:after="0"/>
        <w:jc w:val="left"/>
        <w:rPr>
          <w:rFonts w:ascii="Times New Roman" w:hAnsi="Times New Roman"/>
          <w:sz w:val="20"/>
        </w:rPr>
      </w:pPr>
      <w:r>
        <w:rPr>
          <w:rFonts w:ascii="Times New Roman" w:hAnsi="Times New Roman"/>
          <w:sz w:val="20"/>
        </w:rPr>
        <w:t xml:space="preserve">The Company Secretary is responsible for assisting the Chairman, any Deputy Chairman and the Lead Independent Director in managing the operations and affairs of the Board and for performing additional duties requested by the Chairman, any Deputy Chairman, the Lead Independent Director or the Board or any of its committees. The Company Secretary reports directly to the Chairman and any Deputy Chairman.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bookmarkStart w:id="137" w:name="ex99_10toc490645_9"/>
            <w:bookmarkEnd w:id="137"/>
            <w:r>
              <w:rPr>
                <w:b/>
              </w:rPr>
              <w:t>9.</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Board carries out its responsibilities directly and through the following committees and such other committees as it may establish from time to time: the Audit Committee, the Corporate Governance Committee, the Human Resources Committee and the Risk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Composition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All committees are comprised solely of directors who are not members of management and who are selected by the Board on the recommendation of the Corporate Governance Committee. Thomson Reuters believes it is appropriate for directors who are affiliated with Woodbridge to serve on committees apart from the Audit Committee and the Board has approved the Corporations reliance on the controlled company exemption in the NYSE listing standards to do so. </w:t>
      </w:r>
    </w:p>
    <w:p>
      <w:pPr>
        <w:pStyle w:val="TextBody"/>
        <w:spacing w:before="120" w:after="0"/>
        <w:jc w:val="left"/>
        <w:rPr>
          <w:rFonts w:ascii="Times New Roman" w:hAnsi="Times New Roman"/>
          <w:sz w:val="20"/>
        </w:rPr>
      </w:pPr>
      <w:r>
        <w:rPr>
          <w:rFonts w:ascii="Times New Roman" w:hAnsi="Times New Roman"/>
          <w:sz w:val="20"/>
        </w:rPr>
        <w:t xml:space="preserve">The Board also seeks to maintain diversity in membership of its committees and in Board leadership roles and considers diversity when assigning chair roles for the Board and its committees. </w:t>
      </w:r>
    </w:p>
    <w:p>
      <w:pPr>
        <w:pStyle w:val="TextBody"/>
        <w:spacing w:before="120" w:after="0"/>
        <w:jc w:val="left"/>
        <w:rPr>
          <w:rFonts w:ascii="Times New Roman" w:hAnsi="Times New Roman"/>
          <w:sz w:val="20"/>
        </w:rPr>
      </w:pPr>
      <w:r>
        <w:rPr>
          <w:rFonts w:ascii="Times New Roman" w:hAnsi="Times New Roman"/>
          <w:sz w:val="20"/>
        </w:rPr>
        <w:t xml:space="preserve">Members of the Audit Committee must be independent and are subject to the additional requirements that they may not (i) accept directly or indirectly any consulting, advisory, or other compensatory fee from Thomson Reuters, other than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 and committee fees and pension or other forms of deferred compensation for prior service (provided such compensation is not contingent in any way on continued service), or (ii) be an affiliated person of Thomson Reuters (within the meaning of applicable law). Each member of the Audit Committee must be financially literate (within the meaning of applicable law). </w:t>
      </w:r>
    </w:p>
    <w:p>
      <w:pPr>
        <w:pStyle w:val="TextBody"/>
        <w:spacing w:before="120" w:after="0"/>
        <w:jc w:val="left"/>
        <w:rPr>
          <w:rFonts w:ascii="Times New Roman" w:hAnsi="Times New Roman"/>
          <w:sz w:val="20"/>
        </w:rPr>
      </w:pPr>
      <w:r>
        <w:rPr>
          <w:rFonts w:ascii="Times New Roman" w:hAnsi="Times New Roman"/>
          <w:sz w:val="20"/>
        </w:rPr>
        <w:t xml:space="preserve">In determining the independence of members of the Human Resources Committee who are not affiliated with Woodbridge, the Board shall also consider all factors specifically relevant to determining whether the director has a relationship to the Corporation that is material to that directors ability to be independent from management in connection with the duties of a Human Resources Committee member, including, but not limited to, the source of the directors compensation and whether the director is affiliated with the Corporation.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Chair</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Audit Committee, Corporate Governance Committee, Human Resources Committee and Risk Committee are each chaired by a director who is selected by the Board on the recommendation of the Corporate Governance Committee. The chair of each committee is responsible for determining the agenda, frequency and conduct of committee meetings. The Board maintains a position description for the committee chairs.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Charters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Each committee has its own charter that sets out its responsibilities and duties, qualifications for membership, procedures for committee member removal and appointment and reporting to the Board. On an annual basis, each committees charter is reviewed by both the committee itself and the Corporate Governance Committee and an update regarding the annual review is provided to the Board. Copies of each charter are posted on the Thomson Reuters website.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38" w:name="ex99_10toc490645_10"/>
            <w:bookmarkEnd w:id="138"/>
            <w:r>
              <w:rPr>
                <w:b/>
              </w:rPr>
              <w:t>10.</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AND COMMITTEE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Scheduling</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Board meetings are scheduled in advance at appropriate intervals throughout the year. In addition to regularly scheduled Board meetings, additional Board meetings may be called upon proper notice at any time to address specific needs of Thomson Reuters. The Board may also take action from time to time by unanimous written consent. A Board meeting may be called by the Chairman, any Deputy Chairman, the Chief Executive Officer or any two directors. </w:t>
      </w:r>
    </w:p>
    <w:p>
      <w:pPr>
        <w:pStyle w:val="TextBody"/>
        <w:spacing w:before="120" w:after="0"/>
        <w:jc w:val="left"/>
        <w:rPr>
          <w:rFonts w:ascii="Times New Roman" w:hAnsi="Times New Roman"/>
          <w:sz w:val="20"/>
        </w:rPr>
      </w:pPr>
      <w:r>
        <w:rPr>
          <w:rFonts w:ascii="Times New Roman" w:hAnsi="Times New Roman"/>
          <w:sz w:val="20"/>
        </w:rPr>
        <w:t xml:space="preserve">Each committee meets as often as it determines is necessary to fulfill its responsibilities. A meeting of any committee may be called by the chair or any other member of the committee, the Chairman, any Deputy Chairman, the Chief Executive Officer or the Company Secretary.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Board meetings are held in a manner and at a location or virtually, as determined by the Chairman, and meetings of each committee are held in a manner and at a location or virtually, as determined by the committee chair. The Board generally meets at least once a year at the offices of one of Thomson Reuters businesses so that directors may meet operating management and develop a deeper understanding of a particular business group.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Agenda</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Chairman establishes the agenda for each Board meeting in consultation with any Deputy Chairman, any Lead Independent Director, the other directors, the Company Secretary and the Chief Executive Officer. Any director may propose the inclusion of items on the agenda or at any Board meeting raise subjects that are not on the agenda for that meeting. </w:t>
      </w:r>
    </w:p>
    <w:p>
      <w:pPr>
        <w:pStyle w:val="TextBody"/>
        <w:spacing w:before="120" w:after="0"/>
        <w:jc w:val="left"/>
        <w:rPr>
          <w:rFonts w:ascii="Times New Roman" w:hAnsi="Times New Roman"/>
          <w:sz w:val="20"/>
        </w:rPr>
      </w:pPr>
      <w:r>
        <w:rPr>
          <w:rFonts w:ascii="Times New Roman" w:hAnsi="Times New Roman"/>
          <w:sz w:val="20"/>
        </w:rPr>
        <w:t xml:space="preserve">Committee chairs establish the agenda for each committee meeting. Any committee member may propose the inclusion of items on the agenda or at any committee meeting raise subjects that are not on the agenda for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Meetings of Non-Management and Independent Directors </w:t>
            </w:r>
          </w:p>
        </w:tc>
      </w:tr>
    </w:tbl>
    <w:p>
      <w:pPr>
        <w:pStyle w:val="TextBody"/>
        <w:spacing w:before="120" w:after="0"/>
        <w:jc w:val="left"/>
        <w:rPr>
          <w:rFonts w:ascii="Times New Roman" w:hAnsi="Times New Roman"/>
          <w:sz w:val="20"/>
        </w:rPr>
      </w:pPr>
      <w:r>
        <w:rPr>
          <w:rFonts w:ascii="Times New Roman" w:hAnsi="Times New Roman"/>
          <w:sz w:val="20"/>
        </w:rPr>
        <w:t xml:space="preserve">To facilitate the Boards independence, non-management directors meet as a group during each regularly scheduled Board meeting without management present. Non-management directors may also meet without management present at such other times as appropriate. Any Deputy Chairman, any Lead Independent Director or the Chair of the Corporate Governance Committee will chair these meetings and inform management of their substance to the extent that action is appropriate or required. The independent directors meet separately as a group as part of each regularly scheduled Board meeting without management or non-independent directors present. Any Lead Independent Director (or if none has been elected, the Chair of the Corporate Governance Committee) chairs these meetings and informs the Chairman of the substance of these meetings to the extent that action is appropriate or required.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Distribution of Information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Information that is important to the Boards understanding of the business and its meeting agenda is distributed to the Board before it meets. Sensitive subject matters may be discussed at a meeting without written materials being distributed in advance or at the meeting. The Board periodically receives reports on the operating activities of Thomson Reuters, as well as reports on certain non-operational matters, including corporate governance, tax, information security, pensions and treasury matters. Thomson Reuters utilizes a board portal for directors, which is used to distribute information and to foster communication among directors and between directors and Thomson Reuters senior management.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Preparation, Attendance and Participation</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Each director is expected to prepare adequately for and attend all meetings of the Board and any committee of which he or she is a member. A director who is unable to attend a Board or committee meeting in person may participate by telephone, teleconference, videoconference or telepresence.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(f)</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Procedures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Procedures for Board meetings are determined by the Chairman unless otherwise determined by the by-laws of the Corporation or a resolution of the Board. </w:t>
      </w:r>
    </w:p>
    <w:p>
      <w:pPr>
        <w:pStyle w:val="TextBody"/>
        <w:spacing w:before="120" w:after="0"/>
        <w:jc w:val="left"/>
        <w:rPr>
          <w:rFonts w:ascii="Times New Roman" w:hAnsi="Times New Roman"/>
          <w:sz w:val="20"/>
        </w:rPr>
      </w:pPr>
      <w:r>
        <w:rPr>
          <w:rFonts w:ascii="Times New Roman" w:hAnsi="Times New Roman"/>
          <w:sz w:val="20"/>
        </w:rPr>
        <w:t xml:space="preserve">Procedures for committee meetings are determined by the chair of the committee unless otherwise determined by the by-laws of the Corporation or a resolution of the committee or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39" w:name="ex99_10toc490645_11"/>
            <w:bookmarkEnd w:id="139"/>
            <w:r>
              <w:rPr>
                <w:b/>
              </w:rPr>
              <w:t>11.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DIRECTOR COMPENSATION </w:t>
            </w:r>
          </w:p>
        </w:tc>
      </w:tr>
    </w:tbl>
    <w:p>
      <w:pPr>
        <w:pStyle w:val="TextBody"/>
        <w:spacing w:before="120" w:after="0"/>
        <w:jc w:val="left"/>
        <w:rPr>
          <w:rFonts w:ascii="Times New Roman" w:hAnsi="Times New Roman"/>
          <w:sz w:val="20"/>
        </w:rPr>
      </w:pPr>
      <w:r>
        <w:rPr>
          <w:rFonts w:ascii="Times New Roman" w:hAnsi="Times New Roman"/>
          <w:sz w:val="20"/>
        </w:rPr>
        <w:t xml:space="preserve">Compensation for directors of the Corporation is designed to attract and retain highly talented, committed and experienced directors. The Board believes that directors must be competitively compensated, taking into account the size and complexity of Thomson Reuters. The Corporate Governance Committee is responsible for reviewing directors compensation to ensure that it is competitive and consistent with the responsibilities, time commitment and risks associated with being an effective director and, to this end, periodically reviews directors compensation in the marketplace. </w:t>
      </w:r>
    </w:p>
    <w:p>
      <w:pPr>
        <w:pStyle w:val="TextBody"/>
        <w:spacing w:before="120" w:after="0"/>
        <w:jc w:val="left"/>
        <w:rPr>
          <w:rFonts w:ascii="Times New Roman" w:hAnsi="Times New Roman"/>
          <w:sz w:val="20"/>
        </w:rPr>
      </w:pPr>
      <w:r>
        <w:rPr>
          <w:rFonts w:ascii="Times New Roman" w:hAnsi="Times New Roman"/>
          <w:sz w:val="20"/>
        </w:rPr>
        <w:t xml:space="preserve">Non-management directors (other than the Chairman) are required to receive a specified portion of their annual retainer paid in deferred share units and they have the option to receive the remaining portion of their annual retainer in the form of deferred share units, common shares of the Corporation or cash (or a mix thereof). The mandatory equity component will be established by the Corporate Governance Committee. If a director elects to receive any portion of his or her annual retainer or other compensation in the form of common shares, the amount (net of withholding taxes) is used to buy common shares on the open market. If a director elects to receive deferred share units, units representing the value of the common shares are credited to the directors account based on the market value of a share. Deferred share units are paid to the director following termination of Board service. Payment will be made in common shares or cash (net of withholding taxes) based on the market value of the common shares. Deferred share units also accumulate additional units based on notional equivalents of dividends paid on the Corporations common shares. The Board believes that the Corporations director compensation arrangements further align the interests of directors with the interests of other shareholders. </w:t>
      </w:r>
    </w:p>
    <w:p>
      <w:pPr>
        <w:pStyle w:val="TextBody"/>
        <w:spacing w:before="120" w:after="0"/>
        <w:jc w:val="left"/>
        <w:rPr>
          <w:rFonts w:ascii="Times New Roman" w:hAnsi="Times New Roman"/>
          <w:sz w:val="20"/>
        </w:rPr>
      </w:pPr>
      <w:r>
        <w:rPr>
          <w:rFonts w:ascii="Times New Roman" w:hAnsi="Times New Roman"/>
          <w:sz w:val="20"/>
        </w:rPr>
        <w:t xml:space="preserve">The Chairman, any Deputy Chairman and any Lead Independent Director receive an annual retainer. The Chief Executive Officer does not receive additional compensation for serving as a director.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0" w:name="ex99_10toc490645_12"/>
            <w:bookmarkEnd w:id="140"/>
            <w:r>
              <w:rPr>
                <w:b/>
              </w:rPr>
              <w:t>12.</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REIMBURSEMENT OF EXPENSES </w:t>
            </w:r>
          </w:p>
        </w:tc>
      </w:tr>
    </w:tbl>
    <w:p>
      <w:pPr>
        <w:pStyle w:val="TextBody"/>
        <w:spacing w:before="120" w:after="0"/>
        <w:jc w:val="left"/>
        <w:rPr>
          <w:rFonts w:ascii="Times New Roman" w:hAnsi="Times New Roman"/>
          <w:sz w:val="20"/>
        </w:rPr>
      </w:pPr>
      <w:r>
        <w:rPr>
          <w:rFonts w:ascii="Times New Roman" w:hAnsi="Times New Roman"/>
          <w:sz w:val="20"/>
        </w:rPr>
        <w:t xml:space="preserve">Directors are reimbursed by Thomson Reuters for reasonable travel and out-of-pocket expenses incurred in connection with their duties as directors. The Corporate Governance Committee periodically reviews expenses submitted for reimbursement.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bookmarkStart w:id="141" w:name="ex99_10toc490645_13"/>
            <w:bookmarkEnd w:id="141"/>
            <w:r>
              <w:rPr>
                <w:b/>
              </w:rPr>
              <w:t>13.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 OWNERSHIP GUIDELINES </w:t>
            </w:r>
          </w:p>
        </w:tc>
      </w:tr>
    </w:tbl>
    <w:p>
      <w:pPr>
        <w:pStyle w:val="TextBody"/>
        <w:spacing w:before="120" w:after="0"/>
        <w:jc w:val="left"/>
        <w:rPr>
          <w:rFonts w:ascii="Times New Roman" w:hAnsi="Times New Roman"/>
          <w:sz w:val="20"/>
        </w:rPr>
      </w:pPr>
      <w:r>
        <w:rPr>
          <w:rFonts w:ascii="Times New Roman" w:hAnsi="Times New Roman"/>
          <w:sz w:val="20"/>
        </w:rPr>
        <w:t xml:space="preserve">The Board believes that meaningful share ownership by directors and senior executive officers is in the best interest of Thomson Reuters because it further aligns the interests of directors and senior executive officers with those of its shareholders.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Directors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Non-management directors are required to hold common shares of the Corporation and/or deferred share units having a value equal to at least three times the amount of the annual directors retainer within five years from the date of their initial election or appointment to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Senior Executive Officers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Chief Executive Officer is required to hold common shares of the Corporation and/or deferred share units having a value equal to at least six times his or her annual base salary. The other senior executive officers of the Corporation are required to hold common shares of the Corporation and/or deferred share units having a value equal to a multiple of their annual base salary depending on their position with the Corporation. </w:t>
      </w:r>
    </w:p>
    <w:p>
      <w:pPr>
        <w:pStyle w:val="TextBody"/>
        <w:spacing w:before="120" w:after="0"/>
        <w:jc w:val="left"/>
        <w:rPr>
          <w:rFonts w:ascii="Times New Roman" w:hAnsi="Times New Roman"/>
          <w:sz w:val="20"/>
        </w:rPr>
      </w:pPr>
      <w:r>
        <w:rPr>
          <w:rFonts w:ascii="Times New Roman" w:hAnsi="Times New Roman"/>
          <w:sz w:val="20"/>
        </w:rPr>
        <w:t xml:space="preserve">The Chief Executive Officer and the other executive officers of the Corporation do not have a deadline by which to meet the share ownership guidelines. They are, however, required to retain a specified percentage of the common shares of the Corporation that they acquire (after applicable tax withholdings) through option exercises and the vesting of restricted share units until they have met the share ownership guidelines. The Chief Executive Officer is currently required to retain 100% of the common shares of the Corporation that he or she acquires and the other executive officers of the Corporation are required to retain 50% of the common shares of the Corporation that they acquire, until they meet the share ownership guidelines.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bookmarkStart w:id="142" w:name="ex99_10toc490645_14"/>
            <w:bookmarkEnd w:id="142"/>
            <w:r>
              <w:rPr>
                <w:b/>
              </w:rPr>
              <w:t>14.</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DIRECTOR ORIENTATION AND CONTINUING EDUCATION </w:t>
            </w:r>
          </w:p>
        </w:tc>
      </w:tr>
    </w:tbl>
    <w:p>
      <w:pPr>
        <w:pStyle w:val="TextBody"/>
        <w:spacing w:before="120" w:after="0"/>
        <w:jc w:val="left"/>
        <w:rPr>
          <w:rFonts w:ascii="Times New Roman" w:hAnsi="Times New Roman"/>
          <w:sz w:val="20"/>
        </w:rPr>
      </w:pPr>
      <w:r>
        <w:rPr>
          <w:rFonts w:ascii="Times New Roman" w:hAnsi="Times New Roman"/>
          <w:sz w:val="20"/>
        </w:rPr>
        <w:t xml:space="preserve">New directors receive orientation materials describing the Thomson Reuters business, its corporate governance structure and related policies and information. New directors also have meetings with the Chairman, any Deputy Chairman, any Lead Independent Director, Chief Executive Officer and Chief Financial Officer and other executive officers, including the heads of Thomson Reuters major businesses. Early in their tenure, new directors are provided with the opportunity to visit major facilities and meet with operating management.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Corporate Governance Committee is responsible for confirming that procedures are in place and resources are made available to provide directors with appropriate continuing education opportunities. Directors may attend continuing education programs at Thomson Reuters expense.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43" w:name="ex99_10toc490645_15"/>
            <w:bookmarkEnd w:id="143"/>
            <w:r>
              <w:rPr>
                <w:b/>
              </w:rPr>
              <w:t>15.</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BOARD ACCESS TO MANAGEMENT AND ADVISORS </w:t>
            </w:r>
          </w:p>
        </w:tc>
      </w:tr>
    </w:tbl>
    <w:p>
      <w:pPr>
        <w:pStyle w:val="TextBody"/>
        <w:spacing w:before="120" w:after="0"/>
        <w:jc w:val="left"/>
        <w:rPr>
          <w:rFonts w:ascii="Times New Roman" w:hAnsi="Times New Roman"/>
          <w:sz w:val="20"/>
        </w:rPr>
      </w:pPr>
      <w:r>
        <w:rPr>
          <w:rFonts w:ascii="Times New Roman" w:hAnsi="Times New Roman"/>
          <w:sz w:val="20"/>
        </w:rPr>
        <w:t xml:space="preserve">The Board has complete access to members of Thomson Reuters management and directors are encouraged to raise any questions or concerns directly with management. The Board and its committees may invite any member of senior management, employee, outside advisor or other person to attend or report at any of their meetings. </w:t>
      </w:r>
    </w:p>
    <w:p>
      <w:pPr>
        <w:pStyle w:val="TextBody"/>
        <w:spacing w:before="120" w:after="0"/>
        <w:jc w:val="left"/>
        <w:rPr>
          <w:rFonts w:ascii="Times New Roman" w:hAnsi="Times New Roman"/>
          <w:sz w:val="20"/>
        </w:rPr>
      </w:pPr>
      <w:r>
        <w:rPr>
          <w:rFonts w:ascii="Times New Roman" w:hAnsi="Times New Roman"/>
          <w:sz w:val="20"/>
        </w:rPr>
        <w:t xml:space="preserve">In carrying out their duties, the Board and any of its committees may at any time retain an outside advisor at the expense of Thomson Reuters and have the authority to determine the advisors fees and other retention terms. Individual directors may retain an outside advisor at the expense of Thomson Reuters subject to notifying the Corporate Governance Committee in advance.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bookmarkStart w:id="144" w:name="ex99_10toc490645_16"/>
            <w:bookmarkEnd w:id="144"/>
            <w:r>
              <w:rPr>
                <w:b/>
              </w:rPr>
              <w:t>16.</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PERFORMANCE ASSESSMENTS </w:t>
            </w:r>
          </w:p>
        </w:tc>
      </w:tr>
    </w:tbl>
    <w:p>
      <w:pPr>
        <w:pStyle w:val="TextBody"/>
        <w:spacing w:before="120" w:after="0"/>
        <w:jc w:val="left"/>
        <w:rPr>
          <w:rFonts w:ascii="Times New Roman" w:hAnsi="Times New Roman"/>
          <w:sz w:val="20"/>
        </w:rPr>
      </w:pPr>
      <w:r>
        <w:rPr>
          <w:rFonts w:ascii="Times New Roman" w:hAnsi="Times New Roman"/>
          <w:sz w:val="20"/>
        </w:rPr>
        <w:t xml:space="preserve">The Board, acting through the Corporate Governance Committee, annually reviews the effectiveness of the Board and each Board committee in fulfilling their responsibilities and duties. The form of the Corporate Governance Committees annual review and assessment may vary from year to year, but is designed to solicit constructive feedback on the performance of the Chairman, any Deputy Chairman, any Lead Independent Director, the chair of each of the Board committees and individual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5" w:name="ex99_10toc490645_17"/>
            <w:bookmarkEnd w:id="145"/>
            <w:r>
              <w:rPr>
                <w:b/>
              </w:rPr>
              <w:t>17.</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CODE OF BUSINESS CONDUCT AND ETHICS </w:t>
            </w:r>
          </w:p>
        </w:tc>
      </w:tr>
    </w:tbl>
    <w:p>
      <w:pPr>
        <w:pStyle w:val="TextBody"/>
        <w:spacing w:before="120" w:after="0"/>
        <w:jc w:val="left"/>
        <w:rPr>
          <w:rFonts w:ascii="Times New Roman" w:hAnsi="Times New Roman"/>
          <w:sz w:val="20"/>
        </w:rPr>
      </w:pPr>
      <w:r>
        <w:rPr>
          <w:rFonts w:ascii="Times New Roman" w:hAnsi="Times New Roman"/>
          <w:sz w:val="20"/>
        </w:rPr>
        <w:t xml:space="preserve">The Board has adopted a Code of Business Conduct and Ethics. The Board expects all directors, officers and employees of Thomson Reuters to conduct themselves in accordance with the highest ethical standards and to adhere to the Code. Any waiver of the Code for directors or executive officers may only be made by the Board or one of its committees and will be disclosed by Thomson Reuters to the extent required by law, regulation or stock exchange rules and requirements.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6" w:name="ex99_10toc490645_18"/>
            <w:bookmarkEnd w:id="146"/>
            <w:r>
              <w:rPr>
                <w:b/>
              </w:rPr>
              <w:t>18.</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PROHIBITION ON PERSONAL LOANS </w:t>
            </w:r>
          </w:p>
        </w:tc>
      </w:tr>
    </w:tbl>
    <w:p>
      <w:pPr>
        <w:pStyle w:val="TextBody"/>
        <w:spacing w:before="120" w:after="0"/>
        <w:jc w:val="left"/>
        <w:rPr>
          <w:rFonts w:ascii="Times New Roman" w:hAnsi="Times New Roman"/>
          <w:sz w:val="20"/>
        </w:rPr>
      </w:pPr>
      <w:r>
        <w:rPr>
          <w:rFonts w:ascii="Times New Roman" w:hAnsi="Times New Roman"/>
          <w:sz w:val="20"/>
        </w:rPr>
        <w:t xml:space="preserve">Thomson Reuters does not extend or maintain credit, arrange for the extension of credit, or renew an extension of credit, in the form of a personal loan to or for any director or executive officer.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7" w:name="ex99_10toc490645_19"/>
            <w:bookmarkEnd w:id="147"/>
            <w:r>
              <w:rPr>
                <w:b/>
              </w:rPr>
              <w:t>19.</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INDEMNIFICATION AND INSURANCE </w:t>
            </w:r>
          </w:p>
        </w:tc>
      </w:tr>
    </w:tbl>
    <w:p>
      <w:pPr>
        <w:pStyle w:val="TextBody"/>
        <w:spacing w:before="120" w:after="0"/>
        <w:jc w:val="left"/>
        <w:rPr>
          <w:rFonts w:ascii="Times New Roman" w:hAnsi="Times New Roman"/>
          <w:sz w:val="20"/>
        </w:rPr>
      </w:pPr>
      <w:r>
        <w:rPr>
          <w:rFonts w:ascii="Times New Roman" w:hAnsi="Times New Roman"/>
          <w:sz w:val="20"/>
        </w:rPr>
        <w:t xml:space="preserve">Directors are indemnified by the Corporation to the extent permitted by applicable laws and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Corporation maintains insurance for the benefit of its directors and officers against any liability incurred by them. The amount and terms of the insurance coverage are dependent upon prevailing market conditions and practices with the objective of adequately protecting directors and officers from such liability.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8" w:name="ex99_10toc490645_20"/>
            <w:bookmarkEnd w:id="148"/>
            <w:r>
              <w:rPr>
                <w:b/>
              </w:rPr>
              <w:t>20.</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CONFLICTS OF INTEREST </w:t>
            </w:r>
          </w:p>
        </w:tc>
      </w:tr>
    </w:tbl>
    <w:p>
      <w:pPr>
        <w:pStyle w:val="TextBody"/>
        <w:spacing w:before="120" w:after="0"/>
        <w:jc w:val="left"/>
        <w:rPr>
          <w:rFonts w:ascii="Times New Roman" w:hAnsi="Times New Roman"/>
          <w:sz w:val="20"/>
        </w:rPr>
      </w:pPr>
      <w:r>
        <w:rPr>
          <w:rFonts w:ascii="Times New Roman" w:hAnsi="Times New Roman"/>
          <w:sz w:val="20"/>
        </w:rPr>
        <w:t xml:space="preserve">Each director is required to inform the Board of any potential or actual conflict of interest he or she may have with Thomson Reuters. Thomson Reuters policies on conflicts of interest are reflected in the Code, these guidelines and supplemental guidance provided to the Board. A director who has a conflict of interest in a matter before the Board or a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 If a director has a significant, ongoing and irreconcilable conflict, voluntary resignation from the Board or the conflicting interest may be appropriate or required. </w:t>
      </w:r>
    </w:p>
    <w:p>
      <w:pPr>
        <w:pStyle w:val="TextBody"/>
        <w:spacing w:before="120" w:after="0"/>
        <w:jc w:val="left"/>
        <w:rPr>
          <w:rFonts w:ascii="Times New Roman" w:hAnsi="Times New Roman"/>
          <w:sz w:val="20"/>
        </w:rPr>
      </w:pPr>
      <w:r>
        <w:rPr>
          <w:rFonts w:ascii="Times New Roman" w:hAnsi="Times New Roman"/>
          <w:sz w:val="20"/>
        </w:rPr>
        <w:t xml:space="preserve">To avoid potential conflicts of interest, a member of senior management of the Corporation may not serve on the board or as a trustee of a company or institution that employs a director of the Corporation.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bookmarkStart w:id="149" w:name="ex99_10toc490645_21"/>
            <w:bookmarkEnd w:id="149"/>
            <w:r>
              <w:rPr>
                <w:b/>
              </w:rPr>
              <w:t>21.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TO CONTACT THE BOARD AND ITS COMMITTEES </w:t>
            </w:r>
          </w:p>
        </w:tc>
      </w:tr>
    </w:tbl>
    <w:p>
      <w:pPr>
        <w:pStyle w:val="TextBody"/>
        <w:spacing w:before="120" w:after="0"/>
        <w:jc w:val="left"/>
        <w:rPr>
          <w:rFonts w:ascii="Times New Roman" w:hAnsi="Times New Roman"/>
          <w:sz w:val="20"/>
        </w:rPr>
      </w:pPr>
      <w:r>
        <w:rPr>
          <w:rFonts w:ascii="Times New Roman" w:hAnsi="Times New Roman"/>
          <w:sz w:val="20"/>
        </w:rPr>
        <w:t xml:space="preserve">The Board welcomes input and comments from shareholders of the Corporation. You may contact one or more members of the Board or its committees by writing to the Company Secretary at: </w:t>
      </w:r>
    </w:p>
    <w:p>
      <w:pPr>
        <w:pStyle w:val="TextBody"/>
        <w:spacing w:before="240" w:after="0"/>
        <w:jc w:val="center"/>
        <w:rPr>
          <w:rFonts w:ascii="Times New Roman" w:hAnsi="Times New Roman"/>
          <w:sz w:val="20"/>
        </w:rPr>
      </w:pPr>
      <w:r>
        <w:rPr>
          <w:rFonts w:ascii="Times New Roman" w:hAnsi="Times New Roman"/>
          <w:sz w:val="20"/>
        </w:rPr>
        <w:t xml:space="preserve">Board of Directors of Thomson Reuters Corporation </w:t>
      </w:r>
    </w:p>
    <w:p>
      <w:pPr>
        <w:pStyle w:val="TextBody"/>
        <w:spacing w:before="0" w:after="0"/>
        <w:jc w:val="center"/>
        <w:rPr>
          <w:rFonts w:ascii="Times New Roman" w:hAnsi="Times New Roman"/>
          <w:sz w:val="20"/>
        </w:rPr>
      </w:pPr>
      <w:r>
        <w:rPr>
          <w:rFonts w:ascii="Times New Roman" w:hAnsi="Times New Roman"/>
          <w:sz w:val="20"/>
        </w:rPr>
        <w:t xml:space="preserve">c/o Jimma Elliott-Stevens, Interim Chief Legal Officer and Company Secretary </w:t>
      </w:r>
    </w:p>
    <w:p>
      <w:pPr>
        <w:pStyle w:val="TextBody"/>
        <w:spacing w:before="0" w:after="0"/>
        <w:jc w:val="center"/>
        <w:rPr>
          <w:rFonts w:ascii="Times New Roman" w:hAnsi="Times New Roman"/>
          <w:sz w:val="20"/>
        </w:rPr>
      </w:pPr>
      <w:r>
        <w:rPr>
          <w:rFonts w:ascii="Times New Roman" w:hAnsi="Times New Roman"/>
          <w:sz w:val="20"/>
        </w:rPr>
        <w:t xml:space="preserve">Thomson Reuters Corporation </w:t>
      </w:r>
    </w:p>
    <w:p>
      <w:pPr>
        <w:pStyle w:val="TextBody"/>
        <w:spacing w:before="0" w:after="0"/>
        <w:jc w:val="center"/>
        <w:rPr>
          <w:rFonts w:ascii="Times New Roman" w:hAnsi="Times New Roman"/>
          <w:sz w:val="20"/>
        </w:rPr>
      </w:pPr>
      <w:r>
        <w:rPr>
          <w:rFonts w:ascii="Times New Roman" w:hAnsi="Times New Roman"/>
          <w:sz w:val="20"/>
        </w:rPr>
        <w:t xml:space="preserve">19 Duncan Street </w:t>
      </w:r>
    </w:p>
    <w:p>
      <w:pPr>
        <w:pStyle w:val="TextBody"/>
        <w:spacing w:before="0" w:after="0"/>
        <w:jc w:val="center"/>
        <w:rPr>
          <w:rFonts w:ascii="Times New Roman" w:hAnsi="Times New Roman"/>
          <w:sz w:val="20"/>
        </w:rPr>
      </w:pPr>
      <w:r>
        <w:rPr>
          <w:rFonts w:ascii="Times New Roman" w:hAnsi="Times New Roman"/>
          <w:sz w:val="20"/>
        </w:rPr>
        <w:t xml:space="preserve">Toronto, Ontario M5H 3G6 </w:t>
      </w:r>
    </w:p>
    <w:p>
      <w:pPr>
        <w:pStyle w:val="TextBody"/>
        <w:spacing w:before="0" w:after="0"/>
        <w:jc w:val="center"/>
        <w:rPr>
          <w:rFonts w:ascii="Times New Roman" w:hAnsi="Times New Roman"/>
          <w:sz w:val="20"/>
        </w:rPr>
      </w:pPr>
      <w:r>
        <w:rPr>
          <w:rFonts w:ascii="Times New Roman" w:hAnsi="Times New Roman"/>
          <w:sz w:val="20"/>
        </w:rPr>
        <w:t xml:space="preserve">Canada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- 14 -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Arial">
    <w:charset w:val="00"/>
    <w:family w:val="auto"/>
    <w:pitch w:val="default"/>
  </w:font>
  <w:font w:name="SYMBOL">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gif"/><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gif"/><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218</Pages>
  <Words>117561</Words>
  <CharactersWithSpaces>746045</CharactersWithSpaces>
  <Paragraphs>15436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EX-99.10 Corporate Governance Guidelines</dc:title>
</cp:coreProperties>
</file>