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87"/>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U.S. SECURITIES AND EXCHANGE COMMISSION</w:t>
      </w:r>
    </w:p>
    <w:p>
      <w:pPr>
        <w:spacing w:after="0" w:line="40" w:lineRule="exact"/>
        <w:rPr>
          <w:sz w:val="24"/>
          <w:szCs w:val="24"/>
          <w:color w:val="auto"/>
        </w:rPr>
      </w:pPr>
    </w:p>
    <w:p>
      <w:pPr>
        <w:ind w:left="4107"/>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2571750</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407"/>
        <w:spacing w:after="0"/>
        <w:rPr>
          <w:sz w:val="20"/>
          <w:szCs w:val="20"/>
          <w:color w:val="auto"/>
        </w:rPr>
      </w:pPr>
      <w:r>
        <w:rPr>
          <w:rFonts w:ascii="Times New Roman" w:cs="Times New Roman" w:eastAsia="Times New Roman" w:hAnsi="Times New Roman"/>
          <w:sz w:val="32"/>
          <w:szCs w:val="32"/>
          <w:b w:val="1"/>
          <w:bCs w:val="1"/>
          <w:color w:val="auto"/>
        </w:rPr>
        <w:t>FORM F-X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2571750</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687"/>
        <w:spacing w:after="0"/>
        <w:rPr>
          <w:sz w:val="20"/>
          <w:szCs w:val="20"/>
          <w:color w:val="auto"/>
        </w:rPr>
      </w:pPr>
      <w:r>
        <w:rPr>
          <w:rFonts w:ascii="Times New Roman" w:cs="Times New Roman" w:eastAsia="Times New Roman" w:hAnsi="Times New Roman"/>
          <w:sz w:val="22"/>
          <w:szCs w:val="22"/>
          <w:b w:val="1"/>
          <w:bCs w:val="1"/>
          <w:color w:val="auto"/>
        </w:rPr>
        <w:t>APPOINTMENT OF AGENT FOR SERVICE</w:t>
      </w:r>
    </w:p>
    <w:p>
      <w:pPr>
        <w:spacing w:after="0" w:line="18" w:lineRule="exact"/>
        <w:rPr>
          <w:sz w:val="24"/>
          <w:szCs w:val="24"/>
          <w:color w:val="auto"/>
        </w:rPr>
      </w:pPr>
    </w:p>
    <w:p>
      <w:pPr>
        <w:jc w:val="center"/>
        <w:ind w:right="-687"/>
        <w:spacing w:after="0"/>
        <w:rPr>
          <w:sz w:val="20"/>
          <w:szCs w:val="20"/>
          <w:color w:val="auto"/>
        </w:rPr>
      </w:pPr>
      <w:r>
        <w:rPr>
          <w:rFonts w:ascii="Times New Roman" w:cs="Times New Roman" w:eastAsia="Times New Roman" w:hAnsi="Times New Roman"/>
          <w:sz w:val="22"/>
          <w:szCs w:val="22"/>
          <w:b w:val="1"/>
          <w:bCs w:val="1"/>
          <w:color w:val="auto"/>
        </w:rPr>
        <w:t>OF PROCESS AND UNDERTAKING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2571750</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47"/>
        <w:spacing w:after="0"/>
        <w:tabs>
          <w:tab w:leader="none" w:pos="366" w:val="left"/>
          <w:tab w:leader="none" w:pos="3887"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Name of issuer or person filing (“Filer”):</w:t>
      </w:r>
      <w:r>
        <w:rPr>
          <w:sz w:val="20"/>
          <w:szCs w:val="20"/>
          <w:color w:val="auto"/>
        </w:rPr>
        <w:tab/>
      </w:r>
      <w:r>
        <w:rPr>
          <w:rFonts w:ascii="Times New Roman" w:cs="Times New Roman" w:eastAsia="Times New Roman" w:hAnsi="Times New Roman"/>
          <w:sz w:val="17"/>
          <w:szCs w:val="17"/>
          <w:b w:val="1"/>
          <w:bCs w:val="1"/>
          <w:color w:val="auto"/>
        </w:rPr>
        <w:t>THOMSON REUTERS CORPORATION</w:t>
      </w:r>
    </w:p>
    <w:p>
      <w:pPr>
        <w:spacing w:after="0" w:line="227" w:lineRule="exact"/>
        <w:rPr>
          <w:sz w:val="24"/>
          <w:szCs w:val="24"/>
          <w:color w:val="auto"/>
        </w:rPr>
      </w:pPr>
    </w:p>
    <w:p>
      <w:pPr>
        <w:ind w:left="307" w:hanging="307"/>
        <w:spacing w:after="0"/>
        <w:tabs>
          <w:tab w:leader="none" w:pos="30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  This is [</w:t>
      </w:r>
      <w:r>
        <w:rPr>
          <w:rFonts w:ascii="Times New Roman" w:cs="Times New Roman" w:eastAsia="Times New Roman" w:hAnsi="Times New Roman"/>
          <w:sz w:val="18"/>
          <w:szCs w:val="18"/>
          <w:i w:val="1"/>
          <w:iCs w:val="1"/>
          <w:color w:val="auto"/>
        </w:rPr>
        <w:t>check one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jc w:val="both"/>
        <w:ind w:left="307" w:right="6879"/>
        <w:spacing w:after="0" w:line="290"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original filing for the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amended filing for the Filer</w:t>
      </w:r>
    </w:p>
    <w:p>
      <w:pPr>
        <w:ind w:left="307"/>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  Check the following box if you are filing the Form F-X in paper in accordance with Regulation S-T Rule 101(b)(9)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b w:val="1"/>
          <w:bCs w:val="1"/>
          <w:color w:val="auto"/>
        </w:rPr>
      </w:pPr>
    </w:p>
    <w:p>
      <w:pPr>
        <w:ind w:left="307" w:hanging="307"/>
        <w:spacing w:after="0"/>
        <w:tabs>
          <w:tab w:leader="none" w:pos="30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Identify the filing in conjunction with which this Form is being filed:</w:t>
      </w:r>
    </w:p>
    <w:p>
      <w:pPr>
        <w:spacing w:after="0" w:line="127" w:lineRule="exact"/>
        <w:rPr>
          <w:sz w:val="24"/>
          <w:szCs w:val="24"/>
          <w:color w:val="auto"/>
        </w:rPr>
      </w:pPr>
    </w:p>
    <w:p>
      <w:pPr>
        <w:ind w:left="387"/>
        <w:spacing w:after="0"/>
        <w:tabs>
          <w:tab w:leader="none" w:pos="4227" w:val="left"/>
        </w:tabs>
        <w:rPr>
          <w:sz w:val="20"/>
          <w:szCs w:val="20"/>
          <w:color w:val="auto"/>
        </w:rPr>
      </w:pPr>
      <w:r>
        <w:rPr>
          <w:rFonts w:ascii="Times New Roman" w:cs="Times New Roman" w:eastAsia="Times New Roman" w:hAnsi="Times New Roman"/>
          <w:sz w:val="18"/>
          <w:szCs w:val="18"/>
          <w:color w:val="auto"/>
        </w:rPr>
        <w:t>Name of Registrant:</w:t>
      </w:r>
      <w:r>
        <w:rPr>
          <w:sz w:val="20"/>
          <w:szCs w:val="20"/>
          <w:color w:val="auto"/>
        </w:rPr>
        <w:tab/>
      </w:r>
      <w:r>
        <w:rPr>
          <w:rFonts w:ascii="Times New Roman" w:cs="Times New Roman" w:eastAsia="Times New Roman" w:hAnsi="Times New Roman"/>
          <w:sz w:val="17"/>
          <w:szCs w:val="17"/>
          <w:b w:val="1"/>
          <w:bCs w:val="1"/>
          <w:color w:val="auto"/>
        </w:rPr>
        <w:t>Thomson Reuters Corporation</w:t>
      </w:r>
    </w:p>
    <w:p>
      <w:pPr>
        <w:spacing w:after="0" w:line="77" w:lineRule="exact"/>
        <w:rPr>
          <w:sz w:val="24"/>
          <w:szCs w:val="24"/>
          <w:color w:val="auto"/>
        </w:rPr>
      </w:pPr>
    </w:p>
    <w:p>
      <w:pPr>
        <w:ind w:left="387"/>
        <w:spacing w:after="0"/>
        <w:tabs>
          <w:tab w:leader="none" w:pos="4227" w:val="left"/>
        </w:tabs>
        <w:rPr>
          <w:sz w:val="20"/>
          <w:szCs w:val="20"/>
          <w:color w:val="auto"/>
        </w:rPr>
      </w:pPr>
      <w:r>
        <w:rPr>
          <w:rFonts w:ascii="Times New Roman" w:cs="Times New Roman" w:eastAsia="Times New Roman" w:hAnsi="Times New Roman"/>
          <w:sz w:val="18"/>
          <w:szCs w:val="18"/>
          <w:color w:val="auto"/>
        </w:rPr>
        <w:t>Form Type:</w:t>
      </w:r>
      <w:r>
        <w:rPr>
          <w:sz w:val="20"/>
          <w:szCs w:val="20"/>
          <w:color w:val="auto"/>
        </w:rPr>
        <w:tab/>
      </w:r>
      <w:r>
        <w:rPr>
          <w:rFonts w:ascii="Times New Roman" w:cs="Times New Roman" w:eastAsia="Times New Roman" w:hAnsi="Times New Roman"/>
          <w:sz w:val="18"/>
          <w:szCs w:val="18"/>
          <w:b w:val="1"/>
          <w:bCs w:val="1"/>
          <w:color w:val="auto"/>
        </w:rPr>
        <w:t>Registration Statement on Form F-10</w:t>
      </w:r>
    </w:p>
    <w:p>
      <w:pPr>
        <w:spacing w:after="0" w:line="77" w:lineRule="exact"/>
        <w:rPr>
          <w:sz w:val="24"/>
          <w:szCs w:val="24"/>
          <w:color w:val="auto"/>
        </w:rPr>
      </w:pPr>
    </w:p>
    <w:p>
      <w:pPr>
        <w:ind w:left="387"/>
        <w:spacing w:after="0"/>
        <w:tabs>
          <w:tab w:leader="none" w:pos="4227" w:val="left"/>
        </w:tabs>
        <w:rPr>
          <w:sz w:val="20"/>
          <w:szCs w:val="20"/>
          <w:color w:val="auto"/>
        </w:rPr>
      </w:pPr>
      <w:r>
        <w:rPr>
          <w:rFonts w:ascii="Times New Roman" w:cs="Times New Roman" w:eastAsia="Times New Roman" w:hAnsi="Times New Roman"/>
          <w:sz w:val="18"/>
          <w:szCs w:val="18"/>
          <w:color w:val="auto"/>
        </w:rPr>
        <w:t>File Number (</w:t>
      </w:r>
      <w:r>
        <w:rPr>
          <w:rFonts w:ascii="Times New Roman" w:cs="Times New Roman" w:eastAsia="Times New Roman" w:hAnsi="Times New Roman"/>
          <w:sz w:val="18"/>
          <w:szCs w:val="18"/>
          <w:i w:val="1"/>
          <w:iCs w:val="1"/>
          <w:color w:val="auto"/>
        </w:rPr>
        <w:t>if known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333-265525</w:t>
      </w:r>
    </w:p>
    <w:p>
      <w:pPr>
        <w:spacing w:after="0" w:line="77" w:lineRule="exact"/>
        <w:rPr>
          <w:sz w:val="24"/>
          <w:szCs w:val="24"/>
          <w:color w:val="auto"/>
        </w:rPr>
      </w:pPr>
    </w:p>
    <w:p>
      <w:pPr>
        <w:ind w:left="387"/>
        <w:spacing w:after="0"/>
        <w:tabs>
          <w:tab w:leader="none" w:pos="4227" w:val="left"/>
        </w:tabs>
        <w:rPr>
          <w:sz w:val="20"/>
          <w:szCs w:val="20"/>
          <w:color w:val="auto"/>
        </w:rPr>
      </w:pPr>
      <w:r>
        <w:rPr>
          <w:rFonts w:ascii="Times New Roman" w:cs="Times New Roman" w:eastAsia="Times New Roman" w:hAnsi="Times New Roman"/>
          <w:sz w:val="18"/>
          <w:szCs w:val="18"/>
          <w:color w:val="auto"/>
        </w:rPr>
        <w:t>Filed by:</w:t>
      </w:r>
      <w:r>
        <w:rPr>
          <w:sz w:val="20"/>
          <w:szCs w:val="20"/>
          <w:color w:val="auto"/>
        </w:rPr>
        <w:tab/>
      </w:r>
      <w:r>
        <w:rPr>
          <w:rFonts w:ascii="Times New Roman" w:cs="Times New Roman" w:eastAsia="Times New Roman" w:hAnsi="Times New Roman"/>
          <w:sz w:val="17"/>
          <w:szCs w:val="17"/>
          <w:b w:val="1"/>
          <w:bCs w:val="1"/>
          <w:color w:val="auto"/>
        </w:rPr>
        <w:t>Thomson Reuters Corporation</w:t>
      </w:r>
    </w:p>
    <w:p>
      <w:pPr>
        <w:spacing w:after="0" w:line="77" w:lineRule="exact"/>
        <w:rPr>
          <w:sz w:val="24"/>
          <w:szCs w:val="24"/>
          <w:color w:val="auto"/>
        </w:rPr>
      </w:pPr>
    </w:p>
    <w:p>
      <w:pPr>
        <w:ind w:left="387"/>
        <w:spacing w:after="0"/>
        <w:tabs>
          <w:tab w:leader="none" w:pos="4227" w:val="left"/>
        </w:tabs>
        <w:rPr>
          <w:sz w:val="20"/>
          <w:szCs w:val="20"/>
          <w:color w:val="auto"/>
        </w:rPr>
      </w:pPr>
      <w:r>
        <w:rPr>
          <w:rFonts w:ascii="Times New Roman" w:cs="Times New Roman" w:eastAsia="Times New Roman" w:hAnsi="Times New Roman"/>
          <w:sz w:val="18"/>
          <w:szCs w:val="18"/>
          <w:color w:val="auto"/>
        </w:rPr>
        <w:t>Date Filed (if filed concurrently, so indicate):</w:t>
      </w:r>
      <w:r>
        <w:rPr>
          <w:sz w:val="20"/>
          <w:szCs w:val="20"/>
          <w:color w:val="auto"/>
        </w:rPr>
        <w:tab/>
      </w:r>
      <w:r>
        <w:rPr>
          <w:rFonts w:ascii="Times New Roman" w:cs="Times New Roman" w:eastAsia="Times New Roman" w:hAnsi="Times New Roman"/>
          <w:sz w:val="17"/>
          <w:szCs w:val="17"/>
          <w:b w:val="1"/>
          <w:bCs w:val="1"/>
          <w:color w:val="auto"/>
        </w:rPr>
        <w:t>June 10, 2022 (filed concurrently)</w:t>
      </w:r>
    </w:p>
    <w:p>
      <w:pPr>
        <w:sectPr>
          <w:pgSz w:w="11900" w:h="16838" w:orient="portrait"/>
          <w:cols w:equalWidth="0" w:num="1">
            <w:col w:w="9726"/>
          </w:cols>
          <w:pgMar w:left="733" w:top="403" w:right="1440" w:bottom="1440" w:gutter="0" w:footer="0" w:header="0"/>
        </w:sectPr>
      </w:pPr>
    </w:p>
    <w:bookmarkStart w:id="1" w:name="page2"/>
    <w:bookmarkEnd w:id="1"/>
    <w:p>
      <w:pPr>
        <w:ind w:left="327" w:hanging="327"/>
        <w:spacing w:after="0"/>
        <w:tabs>
          <w:tab w:leader="none" w:pos="32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Filer is incorporated or organized under the laws of </w:t>
      </w:r>
      <w:r>
        <w:rPr>
          <w:rFonts w:ascii="Times New Roman" w:cs="Times New Roman" w:eastAsia="Times New Roman" w:hAnsi="Times New Roman"/>
          <w:sz w:val="18"/>
          <w:szCs w:val="18"/>
          <w:b w:val="1"/>
          <w:bCs w:val="1"/>
          <w:color w:val="auto"/>
        </w:rPr>
        <w:t>Ontario, Canada</w:t>
      </w:r>
      <w:r>
        <w:rPr>
          <w:rFonts w:ascii="Times New Roman" w:cs="Times New Roman" w:eastAsia="Times New Roman" w:hAnsi="Times New Roman"/>
          <w:sz w:val="18"/>
          <w:szCs w:val="18"/>
          <w:color w:val="auto"/>
        </w:rPr>
        <w:t xml:space="preserve"> and has its principal place of business at</w:t>
      </w:r>
    </w:p>
    <w:p>
      <w:pPr>
        <w:spacing w:after="0" w:line="130" w:lineRule="exact"/>
        <w:rPr>
          <w:rFonts w:ascii="Times New Roman" w:cs="Times New Roman" w:eastAsia="Times New Roman" w:hAnsi="Times New Roman"/>
          <w:sz w:val="18"/>
          <w:szCs w:val="18"/>
          <w:b w:val="1"/>
          <w:bCs w:val="1"/>
          <w:color w:val="auto"/>
        </w:rPr>
      </w:pPr>
    </w:p>
    <w:p>
      <w:pPr>
        <w:ind w:left="327" w:right="926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333 Bay Street Suite 300</w:t>
      </w:r>
    </w:p>
    <w:p>
      <w:pPr>
        <w:spacing w:after="0" w:line="1" w:lineRule="exact"/>
        <w:rPr>
          <w:rFonts w:ascii="Times New Roman" w:cs="Times New Roman" w:eastAsia="Times New Roman" w:hAnsi="Times New Roman"/>
          <w:sz w:val="18"/>
          <w:szCs w:val="18"/>
          <w:b w:val="1"/>
          <w:bCs w:val="1"/>
          <w:color w:val="auto"/>
        </w:rPr>
      </w:pPr>
    </w:p>
    <w:p>
      <w:pPr>
        <w:ind w:left="327" w:right="75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Toronto, Ontario, M5H 2R2, Canada (telephone: (416) 687-7500)</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b w:val="1"/>
          <w:bCs w:val="1"/>
          <w:color w:val="auto"/>
        </w:rPr>
      </w:pPr>
    </w:p>
    <w:p>
      <w:pPr>
        <w:ind w:left="327" w:hanging="327"/>
        <w:spacing w:after="0"/>
        <w:tabs>
          <w:tab w:leader="none" w:pos="32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Filer designates and appoints </w:t>
      </w:r>
      <w:r>
        <w:rPr>
          <w:rFonts w:ascii="Times New Roman" w:cs="Times New Roman" w:eastAsia="Times New Roman" w:hAnsi="Times New Roman"/>
          <w:sz w:val="18"/>
          <w:szCs w:val="18"/>
          <w:b w:val="1"/>
          <w:bCs w:val="1"/>
          <w:color w:val="auto"/>
        </w:rPr>
        <w:t>Thomson Reuters Holdings Inc.</w:t>
      </w:r>
      <w:r>
        <w:rPr>
          <w:rFonts w:ascii="Times New Roman" w:cs="Times New Roman" w:eastAsia="Times New Roman" w:hAnsi="Times New Roman"/>
          <w:sz w:val="18"/>
          <w:szCs w:val="18"/>
          <w:color w:val="auto"/>
        </w:rPr>
        <w:t xml:space="preserve"> (the “Agent”), located at</w:t>
      </w:r>
    </w:p>
    <w:p>
      <w:pPr>
        <w:spacing w:after="0" w:line="130" w:lineRule="exact"/>
        <w:rPr>
          <w:rFonts w:ascii="Times New Roman" w:cs="Times New Roman" w:eastAsia="Times New Roman" w:hAnsi="Times New Roman"/>
          <w:sz w:val="18"/>
          <w:szCs w:val="18"/>
          <w:b w:val="1"/>
          <w:bCs w:val="1"/>
          <w:color w:val="auto"/>
        </w:rPr>
      </w:pPr>
    </w:p>
    <w:p>
      <w:pPr>
        <w:ind w:left="32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 Times Square</w:t>
      </w:r>
    </w:p>
    <w:p>
      <w:pPr>
        <w:spacing w:after="0" w:line="31" w:lineRule="exact"/>
        <w:rPr>
          <w:rFonts w:ascii="Times New Roman" w:cs="Times New Roman" w:eastAsia="Times New Roman" w:hAnsi="Times New Roman"/>
          <w:sz w:val="18"/>
          <w:szCs w:val="18"/>
          <w:b w:val="1"/>
          <w:bCs w:val="1"/>
          <w:color w:val="auto"/>
        </w:rPr>
      </w:pPr>
    </w:p>
    <w:p>
      <w:pPr>
        <w:ind w:left="327" w:right="6420"/>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New York, New York 10036, United States Attention: Thomas Kim (telephone: (646) 223-4000)</w:t>
      </w:r>
    </w:p>
    <w:p>
      <w:pPr>
        <w:spacing w:after="0" w:line="62" w:lineRule="exact"/>
        <w:rPr>
          <w:rFonts w:ascii="Times New Roman" w:cs="Times New Roman" w:eastAsia="Times New Roman" w:hAnsi="Times New Roman"/>
          <w:sz w:val="18"/>
          <w:szCs w:val="18"/>
          <w:b w:val="1"/>
          <w:bCs w:val="1"/>
          <w:color w:val="auto"/>
        </w:rPr>
      </w:pPr>
    </w:p>
    <w:p>
      <w:pPr>
        <w:ind w:left="32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agent of the Filer upon whom may be served any process, pleadings, subpoenas, or other papers in:</w:t>
      </w:r>
    </w:p>
    <w:p>
      <w:pPr>
        <w:spacing w:after="0" w:line="76" w:lineRule="exact"/>
        <w:rPr>
          <w:rFonts w:ascii="Times New Roman" w:cs="Times New Roman" w:eastAsia="Times New Roman" w:hAnsi="Times New Roman"/>
          <w:sz w:val="18"/>
          <w:szCs w:val="18"/>
          <w:b w:val="1"/>
          <w:bCs w:val="1"/>
          <w:color w:val="auto"/>
        </w:rPr>
      </w:pPr>
    </w:p>
    <w:p>
      <w:pPr>
        <w:ind w:left="647" w:hanging="323"/>
        <w:spacing w:after="0"/>
        <w:tabs>
          <w:tab w:leader="none" w:pos="64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or administrative proceeding conducted by the Commission; and</w:t>
      </w:r>
    </w:p>
    <w:p>
      <w:pPr>
        <w:spacing w:after="0" w:line="63" w:lineRule="exact"/>
        <w:rPr>
          <w:rFonts w:ascii="Times New Roman" w:cs="Times New Roman" w:eastAsia="Times New Roman" w:hAnsi="Times New Roman"/>
          <w:sz w:val="18"/>
          <w:szCs w:val="18"/>
          <w:color w:val="auto"/>
        </w:rPr>
      </w:pPr>
    </w:p>
    <w:p>
      <w:pPr>
        <w:ind w:left="647" w:hanging="323"/>
        <w:spacing w:after="0" w:line="254" w:lineRule="auto"/>
        <w:tabs>
          <w:tab w:leader="none" w:pos="64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any offering made or purported to be made in connection with the securities registered or qualified by the Filer on Form F-10 on the date hereof (the “Form F-10”) or any purchases or sales of any security in connection therewith. The Filer stipulates and agrees that any such civil suit or action or administrative proceeding may be commenced by the service of process upon, and that service of an administrative subpoena shall be effected by service upon such agent for service of process, and that the service as aforesaid shall be taken and held in all courts and administrative tribunals to be valid and binding as if personal service thereof had been made.</w:t>
      </w:r>
    </w:p>
    <w:p>
      <w:pPr>
        <w:spacing w:after="0" w:line="191" w:lineRule="exact"/>
        <w:rPr>
          <w:rFonts w:ascii="Times New Roman" w:cs="Times New Roman" w:eastAsia="Times New Roman" w:hAnsi="Times New Roman"/>
          <w:sz w:val="18"/>
          <w:szCs w:val="18"/>
          <w:color w:val="auto"/>
        </w:rPr>
      </w:pPr>
    </w:p>
    <w:p>
      <w:pPr>
        <w:jc w:val="both"/>
        <w:ind w:left="327" w:right="400" w:hanging="327"/>
        <w:spacing w:after="0" w:line="266" w:lineRule="auto"/>
        <w:tabs>
          <w:tab w:leader="none" w:pos="32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issuer of the securities to which such forms and schedules relate has ceased reporting under the Exchange Act.</w:t>
      </w:r>
    </w:p>
    <w:p>
      <w:pPr>
        <w:spacing w:after="0" w:line="81" w:lineRule="exact"/>
        <w:rPr>
          <w:rFonts w:ascii="Times New Roman" w:cs="Times New Roman" w:eastAsia="Times New Roman" w:hAnsi="Times New Roman"/>
          <w:sz w:val="18"/>
          <w:szCs w:val="18"/>
          <w:b w:val="1"/>
          <w:bCs w:val="1"/>
          <w:color w:val="auto"/>
        </w:rPr>
      </w:pPr>
    </w:p>
    <w:p>
      <w:pPr>
        <w:ind w:left="327"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75" w:lineRule="exact"/>
        <w:rPr>
          <w:rFonts w:ascii="Times New Roman" w:cs="Times New Roman" w:eastAsia="Times New Roman" w:hAnsi="Times New Roman"/>
          <w:sz w:val="18"/>
          <w:szCs w:val="18"/>
          <w:b w:val="1"/>
          <w:bCs w:val="1"/>
          <w:color w:val="auto"/>
        </w:rPr>
      </w:pPr>
    </w:p>
    <w:p>
      <w:pPr>
        <w:ind w:left="327" w:right="60" w:hanging="327"/>
        <w:spacing w:after="0" w:line="261" w:lineRule="auto"/>
        <w:tabs>
          <w:tab w:leader="none" w:pos="32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 F-10; the securities to which the</w:t>
      </w:r>
    </w:p>
    <w:p>
      <w:pPr>
        <w:ind w:left="32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Form F-10 relates; and the transactions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151765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194310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07"/>
          </w:cols>
          <w:pgMar w:left="733" w:top="266" w:right="459" w:bottom="1440" w:gutter="0" w:footer="0" w:header="0"/>
        </w:sectPr>
      </w:pPr>
    </w:p>
    <w:bookmarkStart w:id="2" w:name="page3"/>
    <w:bookmarkEnd w:id="2"/>
    <w:p>
      <w:pPr>
        <w:ind w:lef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Filer certifies that it has duly caused this power of attorney, consent, stipulation and agreement to be signed on its behalf by the undersigned, thereto duly authorized, in Toronto, Canada, on June 10, 2022.</w:t>
      </w:r>
    </w:p>
    <w:p>
      <w:pPr>
        <w:spacing w:after="0" w:line="198"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color w:val="auto"/>
        </w:rPr>
        <w:t>Filer:</w:t>
      </w:r>
      <w:r>
        <w:rPr>
          <w:sz w:val="20"/>
          <w:szCs w:val="20"/>
          <w:color w:val="auto"/>
        </w:rPr>
        <w:tab/>
      </w:r>
      <w:r>
        <w:rPr>
          <w:rFonts w:ascii="Times New Roman" w:cs="Times New Roman" w:eastAsia="Times New Roman" w:hAnsi="Times New Roman"/>
          <w:sz w:val="18"/>
          <w:szCs w:val="18"/>
          <w:b w:val="1"/>
          <w:bCs w:val="1"/>
          <w:color w:val="auto"/>
        </w:rPr>
        <w:t>THOMSON REUTERS CORPORATION</w:t>
      </w:r>
    </w:p>
    <w:p>
      <w:pPr>
        <w:spacing w:after="0" w:line="229" w:lineRule="exact"/>
        <w:rPr>
          <w:sz w:val="20"/>
          <w:szCs w:val="20"/>
          <w:color w:val="auto"/>
        </w:rPr>
      </w:pPr>
    </w:p>
    <w:p>
      <w:pPr>
        <w:ind w:left="5540"/>
        <w:spacing w:after="0"/>
        <w:tabs>
          <w:tab w:leader="none" w:pos="5940" w:val="left"/>
        </w:tabs>
        <w:rPr>
          <w:sz w:val="20"/>
          <w:szCs w:val="20"/>
          <w:color w:val="auto"/>
        </w:rPr>
      </w:pPr>
      <w:r>
        <w:rPr>
          <w:rFonts w:ascii="Times New Roman" w:cs="Times New Roman" w:eastAsia="Times New Roman" w:hAnsi="Times New Roman"/>
          <w:sz w:val="18"/>
          <w:szCs w:val="18"/>
          <w:color w:val="auto"/>
        </w:rPr>
        <w:t>By:</w:t>
        <w:tab/>
        <w:t>/s/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17145</wp:posOffset>
            </wp:positionV>
            <wp:extent cx="2931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Jennifer Ruddick</w:t>
      </w:r>
    </w:p>
    <w:p>
      <w:pPr>
        <w:spacing w:after="0" w:line="23"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Assistant Secretary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has been signed by the following person in the capacity and on the date indicated:</w:t>
      </w: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THOMSON REUTERS HOLDINGS INC.</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as agent for service of process</w:t>
      </w:r>
    </w:p>
    <w:p>
      <w:pPr>
        <w:spacing w:after="0" w:line="225" w:lineRule="exact"/>
        <w:rPr>
          <w:sz w:val="20"/>
          <w:szCs w:val="20"/>
          <w:color w:val="auto"/>
        </w:rPr>
      </w:pPr>
    </w:p>
    <w:p>
      <w:pPr>
        <w:ind w:left="5540"/>
        <w:spacing w:after="0"/>
        <w:tabs>
          <w:tab w:leader="none" w:pos="5940" w:val="left"/>
        </w:tabs>
        <w:rPr>
          <w:sz w:val="20"/>
          <w:szCs w:val="20"/>
          <w:color w:val="auto"/>
        </w:rPr>
      </w:pPr>
      <w:r>
        <w:rPr>
          <w:rFonts w:ascii="Times New Roman" w:cs="Times New Roman" w:eastAsia="Times New Roman" w:hAnsi="Times New Roman"/>
          <w:sz w:val="18"/>
          <w:szCs w:val="18"/>
          <w:color w:val="auto"/>
        </w:rPr>
        <w:t>By:</w:t>
        <w:tab/>
        <w:t>/s/ Linda J.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17145</wp:posOffset>
            </wp:positionV>
            <wp:extent cx="2931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Linda J. Walker</w:t>
      </w:r>
    </w:p>
    <w:p>
      <w:pPr>
        <w:spacing w:after="0" w:line="23"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Dated: June 10, 2022</w:t>
      </w:r>
    </w:p>
    <w:sectPr>
      <w:pgSz w:w="11900" w:h="16838" w:orient="portrait"/>
      <w:cols w:equalWidth="0" w:num="1">
        <w:col w:w="9520"/>
      </w:cols>
      <w:pgMar w:left="980" w:top="391"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
    </w:lvl>
  </w:abstractNum>
  <w:abstractNum w:abstractNumId="1">
    <w:nsid w:val="66334873"/>
    <w:multiLevelType w:val="hybridMultilevel"/>
    <w:lvl w:ilvl="0">
      <w:lvlJc w:val="left"/>
      <w:lvlText w:val="%1."/>
      <w:numFmt w:val="upperLetter"/>
      <w:start w:val="4"/>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2022-06-10T16:19:30Z</dcterms:created>
  <dcterms:modified xsi:type="dcterms:W3CDTF">2022-06-10T16:19:30Z</dcterms:modified>
</cp:coreProperties>
</file>