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0001965737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Thomson Reuters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001-31349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 Duncan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Toronto</w:t>
      </w:r>
    </w:p>
    <w:p>
      <w:pPr>
        <w:spacing w:after="0" w:line="230" w:lineRule="auto"/>
        <w:rPr>
          <w:sz w:val="20"/>
          <w:szCs w:val="20"/>
          <w:color w:val="auto"/>
        </w:rPr>
      </w:pPr>
      <w:r>
        <w:rPr>
          <w:rFonts w:ascii="Times New Roman" w:cs="Times New Roman" w:eastAsia="Times New Roman" w:hAnsi="Times New Roman"/>
          <w:sz w:val="22"/>
          <w:szCs w:val="22"/>
          <w:color w:val="auto"/>
        </w:rPr>
        <w:t>ONTARIO, CANADA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M5H 3H1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647-480-7000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Paul Fischer</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6500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1031095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455491082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02/12/2024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03/10/2022 Restricted Share</w:t>
            </w:r>
          </w:p>
        </w:tc>
        <w:tc>
          <w:tcPr>
            <w:tcW w:w="14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1874</w:t>
            </w:r>
          </w:p>
        </w:tc>
        <w:tc>
          <w:tcPr>
            <w:tcW w:w="1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02/12/2024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01/31/2024 Restricted Share</w:t>
            </w:r>
          </w:p>
        </w:tc>
        <w:tc>
          <w:tcPr>
            <w:tcW w:w="14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4626</w:t>
            </w:r>
          </w:p>
        </w:tc>
        <w:tc>
          <w:tcPr>
            <w:tcW w:w="1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02/12/2024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The 455,491,082 Common Shares of Thomson Reuters Corporation outstanding are as of October 31, 2023, as indicated in Exhibit 99.1 to Thomson Reuters Corporation's Form 6-K dated November 2,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02/12/2024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UBS Financial Services Inc, as attorney-in-fact for Paul Fischer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2024-02-12T15:51:49Z</dcterms:created>
  <dcterms:modified xsi:type="dcterms:W3CDTF">2024-02-12T15:51:49Z</dcterms:modified>
</cp:coreProperties>
</file>